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016A" w14:textId="1A4AE47D" w:rsidR="002E192D" w:rsidRDefault="00A31C45" w:rsidP="002E192D">
      <w:pPr>
        <w:spacing w:after="100" w:line="480" w:lineRule="auto"/>
        <w:rPr>
          <w:rFonts w:cs="Times New Roman"/>
        </w:rPr>
      </w:pPr>
      <w:r>
        <w:rPr>
          <w:rFonts w:cs="Times New Roman"/>
          <w:b/>
        </w:rPr>
        <w:t>Supplemental Table 1</w:t>
      </w:r>
      <w:bookmarkStart w:id="0" w:name="_GoBack"/>
      <w:bookmarkEnd w:id="0"/>
      <w:r w:rsidR="002E192D">
        <w:rPr>
          <w:rFonts w:cs="Times New Roman"/>
          <w:b/>
        </w:rPr>
        <w:t xml:space="preserve">. </w:t>
      </w:r>
      <w:r w:rsidR="002E192D" w:rsidRPr="001922F3">
        <w:rPr>
          <w:rFonts w:cs="Times New Roman"/>
        </w:rPr>
        <w:t>Test</w:t>
      </w:r>
      <w:r w:rsidR="002E192D" w:rsidRPr="000061E6">
        <w:rPr>
          <w:rFonts w:cs="Times New Roman"/>
        </w:rPr>
        <w:t xml:space="preserve"> </w:t>
      </w:r>
      <w:r w:rsidR="002E192D">
        <w:rPr>
          <w:rFonts w:cs="Times New Roman"/>
        </w:rPr>
        <w:t>characteristics of pre-dose #2 and pre-dose #3 infliximab concentration cut-offs with week 8 clinical remission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013"/>
        <w:gridCol w:w="1602"/>
        <w:gridCol w:w="1657"/>
        <w:gridCol w:w="1655"/>
        <w:gridCol w:w="1649"/>
      </w:tblGrid>
      <w:tr w:rsidR="002E192D" w14:paraId="6AF7E736" w14:textId="77777777" w:rsidTr="005217B8">
        <w:trPr>
          <w:trHeight w:val="1123"/>
        </w:trPr>
        <w:tc>
          <w:tcPr>
            <w:tcW w:w="3099" w:type="dxa"/>
          </w:tcPr>
          <w:p w14:paraId="1339ECEB" w14:textId="77777777" w:rsidR="002E192D" w:rsidRDefault="002E192D" w:rsidP="005217B8">
            <w:pPr>
              <w:spacing w:before="0" w:after="0"/>
              <w:rPr>
                <w:rFonts w:cs="Times New Roman"/>
                <w:b/>
              </w:rPr>
            </w:pPr>
            <w:r w:rsidRPr="001922F3">
              <w:rPr>
                <w:rFonts w:cs="Times New Roman"/>
                <w:b/>
              </w:rPr>
              <w:t>Infliximab concentration</w:t>
            </w:r>
          </w:p>
          <w:p w14:paraId="3042A9B2" w14:textId="77777777" w:rsidR="002E192D" w:rsidRPr="000061E6" w:rsidRDefault="002E192D" w:rsidP="005217B8">
            <w:pPr>
              <w:spacing w:before="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(ug/mL)</w:t>
            </w:r>
          </w:p>
        </w:tc>
        <w:tc>
          <w:tcPr>
            <w:tcW w:w="1625" w:type="dxa"/>
          </w:tcPr>
          <w:p w14:paraId="0874DF98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Sensitivity </w:t>
            </w:r>
          </w:p>
          <w:p w14:paraId="06B27A1A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(%)</w:t>
            </w:r>
          </w:p>
        </w:tc>
        <w:tc>
          <w:tcPr>
            <w:tcW w:w="1683" w:type="dxa"/>
          </w:tcPr>
          <w:p w14:paraId="0802ED8C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Specificity (%)</w:t>
            </w:r>
          </w:p>
        </w:tc>
        <w:tc>
          <w:tcPr>
            <w:tcW w:w="1683" w:type="dxa"/>
          </w:tcPr>
          <w:p w14:paraId="735FCCE1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Positive predictive value </w:t>
            </w:r>
          </w:p>
          <w:p w14:paraId="3D43B658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(%)</w:t>
            </w:r>
          </w:p>
        </w:tc>
        <w:tc>
          <w:tcPr>
            <w:tcW w:w="1677" w:type="dxa"/>
          </w:tcPr>
          <w:p w14:paraId="69B7294E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Negative predictive value </w:t>
            </w:r>
          </w:p>
          <w:p w14:paraId="32B87F49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(%)</w:t>
            </w:r>
          </w:p>
        </w:tc>
      </w:tr>
      <w:tr w:rsidR="002E192D" w14:paraId="5752A31E" w14:textId="77777777" w:rsidTr="005217B8">
        <w:trPr>
          <w:trHeight w:val="865"/>
        </w:trPr>
        <w:tc>
          <w:tcPr>
            <w:tcW w:w="3099" w:type="dxa"/>
          </w:tcPr>
          <w:p w14:paraId="436DFEB3" w14:textId="77777777" w:rsidR="002E192D" w:rsidRDefault="002E192D" w:rsidP="005217B8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Pre-dose #2 </w:t>
            </w:r>
          </w:p>
          <w:p w14:paraId="6DD0EB12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31</w:t>
            </w:r>
          </w:p>
          <w:p w14:paraId="02D70DC6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32</w:t>
            </w:r>
          </w:p>
          <w:p w14:paraId="0F381EB4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33</w:t>
            </w:r>
          </w:p>
          <w:p w14:paraId="76FE9497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34</w:t>
            </w:r>
          </w:p>
          <w:p w14:paraId="1F97545A" w14:textId="77777777" w:rsidR="002E192D" w:rsidRPr="00A73DE6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35</w:t>
            </w:r>
          </w:p>
        </w:tc>
        <w:tc>
          <w:tcPr>
            <w:tcW w:w="1625" w:type="dxa"/>
          </w:tcPr>
          <w:p w14:paraId="0B8BBEF7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0B29BB09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66.7</w:t>
            </w:r>
          </w:p>
          <w:p w14:paraId="5AF90FAD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62.5</w:t>
            </w:r>
          </w:p>
          <w:p w14:paraId="1FDB3DA9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62.5</w:t>
            </w:r>
          </w:p>
          <w:p w14:paraId="38D93FC1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58.3</w:t>
            </w:r>
          </w:p>
          <w:p w14:paraId="016FB445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58.3</w:t>
            </w:r>
          </w:p>
        </w:tc>
        <w:tc>
          <w:tcPr>
            <w:tcW w:w="1683" w:type="dxa"/>
          </w:tcPr>
          <w:p w14:paraId="356376C9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43D0CDF1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60.0</w:t>
            </w:r>
          </w:p>
          <w:p w14:paraId="3C798273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60.0</w:t>
            </w:r>
          </w:p>
          <w:p w14:paraId="1C8E3ED6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66.7</w:t>
            </w:r>
          </w:p>
          <w:p w14:paraId="180D4F0B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70.0</w:t>
            </w:r>
          </w:p>
          <w:p w14:paraId="519E0E6B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70.0</w:t>
            </w:r>
          </w:p>
        </w:tc>
        <w:tc>
          <w:tcPr>
            <w:tcW w:w="1683" w:type="dxa"/>
          </w:tcPr>
          <w:p w14:paraId="379C0C44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788F6E08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80.0</w:t>
            </w:r>
          </w:p>
          <w:p w14:paraId="317D273D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79.0</w:t>
            </w:r>
          </w:p>
          <w:p w14:paraId="29570C3A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83.3</w:t>
            </w:r>
          </w:p>
          <w:p w14:paraId="0B7CE856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82.4</w:t>
            </w:r>
          </w:p>
          <w:p w14:paraId="51E9E7DC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82.4</w:t>
            </w:r>
          </w:p>
        </w:tc>
        <w:tc>
          <w:tcPr>
            <w:tcW w:w="1677" w:type="dxa"/>
          </w:tcPr>
          <w:p w14:paraId="1570BABE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20B8BA01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42.9</w:t>
            </w:r>
          </w:p>
          <w:p w14:paraId="69C48DEE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40.0</w:t>
            </w:r>
          </w:p>
          <w:p w14:paraId="3485CDEF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40.0</w:t>
            </w:r>
          </w:p>
          <w:p w14:paraId="0C3A27F0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41.2</w:t>
            </w:r>
          </w:p>
          <w:p w14:paraId="2E1ADB0F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41.2</w:t>
            </w:r>
          </w:p>
        </w:tc>
      </w:tr>
      <w:tr w:rsidR="002E192D" w14:paraId="3BA3AC29" w14:textId="77777777" w:rsidTr="005217B8">
        <w:trPr>
          <w:trHeight w:val="825"/>
        </w:trPr>
        <w:tc>
          <w:tcPr>
            <w:tcW w:w="3099" w:type="dxa"/>
          </w:tcPr>
          <w:p w14:paraId="1848997B" w14:textId="77777777" w:rsidR="002E192D" w:rsidRDefault="002E192D" w:rsidP="005217B8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Pre-dose #3</w:t>
            </w:r>
          </w:p>
          <w:p w14:paraId="3434C685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12</w:t>
            </w:r>
          </w:p>
          <w:p w14:paraId="67B0B70D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13</w:t>
            </w:r>
          </w:p>
          <w:p w14:paraId="016B6CA8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14</w:t>
            </w:r>
          </w:p>
          <w:p w14:paraId="113410F9" w14:textId="77777777" w:rsidR="002E192D" w:rsidRDefault="002E192D" w:rsidP="005217B8">
            <w:pPr>
              <w:spacing w:before="0" w:after="0"/>
              <w:ind w:firstLine="300"/>
              <w:rPr>
                <w:rFonts w:cs="Times New Roman"/>
              </w:rPr>
            </w:pPr>
            <w:r>
              <w:rPr>
                <w:rFonts w:cs="Times New Roman"/>
              </w:rPr>
              <w:t>≥ 15</w:t>
            </w:r>
          </w:p>
          <w:p w14:paraId="157BCCD2" w14:textId="77777777" w:rsidR="002E192D" w:rsidRPr="00A73DE6" w:rsidRDefault="002E192D" w:rsidP="005217B8">
            <w:pPr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≥ 16</w:t>
            </w:r>
          </w:p>
        </w:tc>
        <w:tc>
          <w:tcPr>
            <w:tcW w:w="1625" w:type="dxa"/>
          </w:tcPr>
          <w:p w14:paraId="496D4149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7F6E570F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91.7</w:t>
            </w:r>
          </w:p>
          <w:p w14:paraId="470ED22F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87.5</w:t>
            </w:r>
          </w:p>
          <w:p w14:paraId="1EA2391B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87.5</w:t>
            </w:r>
          </w:p>
          <w:p w14:paraId="50758717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87.5</w:t>
            </w:r>
          </w:p>
          <w:p w14:paraId="47CC65BB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83.3</w:t>
            </w:r>
          </w:p>
        </w:tc>
        <w:tc>
          <w:tcPr>
            <w:tcW w:w="1683" w:type="dxa"/>
          </w:tcPr>
          <w:p w14:paraId="076791C0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2B4F2BEC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</w:t>
            </w:r>
          </w:p>
          <w:p w14:paraId="1754C6EB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</w:t>
            </w:r>
          </w:p>
          <w:p w14:paraId="2A5FD21B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</w:t>
            </w:r>
          </w:p>
          <w:p w14:paraId="390C1A25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</w:t>
            </w:r>
          </w:p>
          <w:p w14:paraId="2053CA18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</w:t>
            </w:r>
          </w:p>
        </w:tc>
        <w:tc>
          <w:tcPr>
            <w:tcW w:w="1683" w:type="dxa"/>
          </w:tcPr>
          <w:p w14:paraId="497CCD97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53E7EFA6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75.9</w:t>
            </w:r>
          </w:p>
          <w:p w14:paraId="03E18C53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75.0</w:t>
            </w:r>
          </w:p>
          <w:p w14:paraId="7ED0F788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75.0</w:t>
            </w:r>
          </w:p>
          <w:p w14:paraId="31B52321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75.0</w:t>
            </w:r>
          </w:p>
          <w:p w14:paraId="0D11733F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74.07</w:t>
            </w:r>
          </w:p>
        </w:tc>
        <w:tc>
          <w:tcPr>
            <w:tcW w:w="1677" w:type="dxa"/>
          </w:tcPr>
          <w:p w14:paraId="717EEB96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</w:p>
          <w:p w14:paraId="2D20C012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60.0</w:t>
            </w:r>
          </w:p>
          <w:p w14:paraId="5C753FA4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50.0</w:t>
            </w:r>
          </w:p>
          <w:p w14:paraId="19174CE6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50.0</w:t>
            </w:r>
          </w:p>
          <w:p w14:paraId="2DEDD09F" w14:textId="77777777" w:rsidR="002E192D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50.0</w:t>
            </w:r>
          </w:p>
          <w:p w14:paraId="17693F07" w14:textId="77777777" w:rsidR="002E192D" w:rsidRPr="00B706D8" w:rsidRDefault="002E192D" w:rsidP="005217B8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50.0</w:t>
            </w:r>
          </w:p>
        </w:tc>
      </w:tr>
    </w:tbl>
    <w:p w14:paraId="111078B7" w14:textId="77777777" w:rsidR="002E192D" w:rsidRPr="00891790" w:rsidRDefault="002E192D" w:rsidP="002E192D">
      <w:pPr>
        <w:spacing w:before="0" w:after="0"/>
        <w:rPr>
          <w:rFonts w:cs="Times New Roman"/>
        </w:rPr>
      </w:pPr>
      <w:r>
        <w:rPr>
          <w:rFonts w:cs="Times New Roman"/>
        </w:rPr>
        <w:t>IFX – infliximab, AUROC – area under receiver operator curve</w:t>
      </w:r>
    </w:p>
    <w:p w14:paraId="3FF3B376" w14:textId="77777777" w:rsidR="002E192D" w:rsidRDefault="002E192D" w:rsidP="002E192D">
      <w:pPr>
        <w:spacing w:after="100" w:line="480" w:lineRule="auto"/>
        <w:rPr>
          <w:rFonts w:cs="Times New Roman"/>
        </w:rPr>
      </w:pPr>
    </w:p>
    <w:p w14:paraId="03388B70" w14:textId="77777777" w:rsidR="002E192D" w:rsidRDefault="002E192D" w:rsidP="002E192D">
      <w:pPr>
        <w:spacing w:before="0" w:after="200" w:line="276" w:lineRule="auto"/>
        <w:rPr>
          <w:rFonts w:cs="Times New Roman"/>
          <w:b/>
        </w:rPr>
      </w:pPr>
    </w:p>
    <w:sectPr w:rsidR="002E192D" w:rsidSect="00497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D"/>
    <w:rsid w:val="002D356C"/>
    <w:rsid w:val="002E192D"/>
    <w:rsid w:val="00497FC9"/>
    <w:rsid w:val="00924C0D"/>
    <w:rsid w:val="00A31C45"/>
    <w:rsid w:val="00A54A54"/>
    <w:rsid w:val="00CB0D42"/>
    <w:rsid w:val="00E01F04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5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2D"/>
    <w:pPr>
      <w:spacing w:before="120" w:after="240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92D"/>
    <w:rPr>
      <w:rFonts w:asciiTheme="majorHAnsi" w:eastAsiaTheme="minorHAnsi" w:hAnsiTheme="maj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2D"/>
    <w:pPr>
      <w:spacing w:before="120" w:after="240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92D"/>
    <w:rPr>
      <w:rFonts w:asciiTheme="majorHAnsi" w:eastAsiaTheme="minorHAnsi" w:hAnsiTheme="maj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Amazon.com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deBruyn</dc:creator>
  <cp:lastModifiedBy>Manoj</cp:lastModifiedBy>
  <cp:revision>3</cp:revision>
  <dcterms:created xsi:type="dcterms:W3CDTF">2021-07-22T12:22:00Z</dcterms:created>
  <dcterms:modified xsi:type="dcterms:W3CDTF">2021-07-24T08:30:00Z</dcterms:modified>
</cp:coreProperties>
</file>