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F7" w:rsidRPr="00D66E17" w:rsidRDefault="001D7FF7" w:rsidP="001D7FF7">
      <w:pPr>
        <w:keepNext/>
        <w:keepLines/>
        <w:spacing w:before="360" w:after="0" w:line="480" w:lineRule="auto"/>
        <w:outlineLvl w:val="0"/>
        <w:rPr>
          <w:rFonts w:ascii="Times New Roman" w:eastAsiaTheme="majorEastAsia" w:hAnsi="Times New Roman" w:cs="Times New Roman"/>
          <w:b/>
          <w:sz w:val="24"/>
          <w:szCs w:val="32"/>
        </w:rPr>
      </w:pPr>
      <w:r w:rsidRPr="00D66E17">
        <w:rPr>
          <w:rFonts w:ascii="Times New Roman" w:eastAsiaTheme="majorEastAsia" w:hAnsi="Times New Roman" w:cs="Times New Roman"/>
          <w:b/>
          <w:sz w:val="24"/>
          <w:szCs w:val="32"/>
        </w:rPr>
        <w:t>Supplementary Appendix</w:t>
      </w:r>
    </w:p>
    <w:p w:rsidR="00CD0BCC" w:rsidRPr="00CD0BCC" w:rsidRDefault="00CD0BCC" w:rsidP="00D66E17">
      <w:pPr>
        <w:spacing w:before="120" w:after="240" w:line="240" w:lineRule="auto"/>
        <w:rPr>
          <w:rFonts w:ascii="Times New Roman" w:hAnsi="Times New Roman" w:cs="Times New Roman"/>
          <w:b/>
        </w:rPr>
      </w:pPr>
      <w:r w:rsidRPr="00CD0BCC">
        <w:rPr>
          <w:rFonts w:ascii="Times New Roman" w:hAnsi="Times New Roman" w:cs="Times New Roman"/>
          <w:b/>
        </w:rPr>
        <w:t>Supplementary Methods</w:t>
      </w:r>
    </w:p>
    <w:p w:rsidR="00CD0BCC" w:rsidRPr="00CD0BCC" w:rsidRDefault="00CD0BCC" w:rsidP="00CD0BCC">
      <w:pPr>
        <w:autoSpaceDE w:val="0"/>
        <w:autoSpaceDN w:val="0"/>
        <w:adjustRightInd w:val="0"/>
        <w:spacing w:after="0" w:line="240" w:lineRule="auto"/>
        <w:rPr>
          <w:rFonts w:ascii="Times New Roman" w:hAnsi="Times New Roman" w:cs="Times New Roman"/>
          <w:i/>
          <w:sz w:val="24"/>
          <w:szCs w:val="23"/>
        </w:rPr>
      </w:pPr>
      <w:r w:rsidRPr="00CD0BCC">
        <w:rPr>
          <w:rFonts w:ascii="Times New Roman" w:hAnsi="Times New Roman" w:cs="Times New Roman"/>
          <w:i/>
          <w:sz w:val="24"/>
          <w:szCs w:val="23"/>
        </w:rPr>
        <w:t>Relapse algorithm</w:t>
      </w:r>
    </w:p>
    <w:p w:rsidR="00CD0BCC" w:rsidRDefault="00CD0BCC" w:rsidP="00CD0BCC">
      <w:pPr>
        <w:autoSpaceDE w:val="0"/>
        <w:autoSpaceDN w:val="0"/>
        <w:adjustRightInd w:val="0"/>
        <w:spacing w:after="0" w:line="240" w:lineRule="auto"/>
        <w:rPr>
          <w:rFonts w:ascii="Times New Roman" w:hAnsi="Times New Roman" w:cs="Times New Roman"/>
          <w:sz w:val="24"/>
          <w:szCs w:val="23"/>
        </w:rPr>
      </w:pPr>
    </w:p>
    <w:p w:rsidR="00CD0BCC" w:rsidRPr="00CD0BCC" w:rsidRDefault="00CD0BCC" w:rsidP="00CD0BCC">
      <w:pPr>
        <w:autoSpaceDE w:val="0"/>
        <w:autoSpaceDN w:val="0"/>
        <w:adjustRightInd w:val="0"/>
        <w:spacing w:after="0" w:line="240" w:lineRule="auto"/>
        <w:rPr>
          <w:rFonts w:ascii="Times New Roman" w:hAnsi="Times New Roman" w:cs="Times New Roman"/>
          <w:szCs w:val="23"/>
        </w:rPr>
      </w:pPr>
      <w:r w:rsidRPr="00CD0BCC">
        <w:rPr>
          <w:rFonts w:ascii="Times New Roman" w:hAnsi="Times New Roman" w:cs="Times New Roman"/>
          <w:szCs w:val="23"/>
        </w:rPr>
        <w:t xml:space="preserve">Relapse episodes will be identified based on a published claims-based algorithm (Marriott, 2018). The algorithm has a sensitivity of 70%, specificity of 100%. This claims-based algorithm correctly classified 100% of patients with relapses (positive predictive value) and 96% of patients without relapses (negative predictive value; kappa 0.8). A patient will then be considered as having experienced a moderate/severe relapse if he/she has oral prednisone prescriptions &gt;50 mg/day (or equivalent </w:t>
      </w:r>
      <w:proofErr w:type="spellStart"/>
      <w:r w:rsidRPr="00CD0BCC">
        <w:rPr>
          <w:rFonts w:ascii="Times New Roman" w:hAnsi="Times New Roman" w:cs="Times New Roman"/>
          <w:szCs w:val="23"/>
        </w:rPr>
        <w:t>corticosteriods</w:t>
      </w:r>
      <w:proofErr w:type="spellEnd"/>
      <w:r w:rsidRPr="00CD0BCC">
        <w:rPr>
          <w:rFonts w:ascii="Times New Roman" w:hAnsi="Times New Roman" w:cs="Times New Roman"/>
          <w:szCs w:val="23"/>
        </w:rPr>
        <w:t xml:space="preserve"> such as betamethasone &gt;8mg/day, dexamethasone &gt;8mg/day, methylprednisolone &gt;40mg/day, prednisolone &gt;50 mg/day) for 3–60 days or same day hospital or ER assessment codes with MS as the most responsible diagnosis. As patients may have had multiple clinical encounters during one relapse, all qualified hospitalizations or outpatient visits that occurred within 30 days of each other will be considered as one relapse episode.</w:t>
      </w:r>
    </w:p>
    <w:p w:rsidR="00CD0BCC" w:rsidRPr="00CD0BCC" w:rsidRDefault="00CD0BCC" w:rsidP="00CD0BCC">
      <w:pPr>
        <w:autoSpaceDE w:val="0"/>
        <w:autoSpaceDN w:val="0"/>
        <w:adjustRightInd w:val="0"/>
        <w:spacing w:after="0" w:line="240" w:lineRule="auto"/>
        <w:rPr>
          <w:rFonts w:ascii="Times New Roman" w:hAnsi="Times New Roman" w:cs="Times New Roman"/>
          <w:szCs w:val="23"/>
        </w:rPr>
      </w:pPr>
    </w:p>
    <w:p w:rsidR="00CD0BCC" w:rsidRPr="00CD0BCC" w:rsidRDefault="00CD0BCC" w:rsidP="00CD0BCC">
      <w:pPr>
        <w:autoSpaceDE w:val="0"/>
        <w:autoSpaceDN w:val="0"/>
        <w:adjustRightInd w:val="0"/>
        <w:spacing w:after="0" w:line="240" w:lineRule="auto"/>
        <w:rPr>
          <w:rFonts w:ascii="Times New Roman" w:hAnsi="Times New Roman" w:cs="Times New Roman"/>
          <w:szCs w:val="23"/>
        </w:rPr>
      </w:pPr>
    </w:p>
    <w:p w:rsidR="00CD0BCC" w:rsidRPr="00CD0BCC" w:rsidRDefault="00CD0BCC" w:rsidP="00CD0BCC">
      <w:pPr>
        <w:autoSpaceDE w:val="0"/>
        <w:autoSpaceDN w:val="0"/>
        <w:adjustRightInd w:val="0"/>
        <w:spacing w:after="0" w:line="240" w:lineRule="auto"/>
        <w:rPr>
          <w:rFonts w:ascii="Times New Roman" w:hAnsi="Times New Roman" w:cs="Times New Roman"/>
          <w:szCs w:val="24"/>
        </w:rPr>
      </w:pPr>
      <w:r w:rsidRPr="00CD0BCC">
        <w:rPr>
          <w:rFonts w:ascii="Times New Roman" w:hAnsi="Times New Roman" w:cs="Times New Roman"/>
          <w:szCs w:val="24"/>
        </w:rPr>
        <w:t xml:space="preserve">Reference: </w:t>
      </w:r>
      <w:r w:rsidRPr="00CD0BCC">
        <w:rPr>
          <w:rFonts w:ascii="Times New Roman" w:hAnsi="Times New Roman" w:cs="Times New Roman"/>
          <w:szCs w:val="24"/>
          <w:shd w:val="clear" w:color="auto" w:fill="FFFFFF"/>
        </w:rPr>
        <w:t xml:space="preserve">Marriott JJ, Chen H, </w:t>
      </w:r>
      <w:proofErr w:type="spellStart"/>
      <w:r w:rsidRPr="00CD0BCC">
        <w:rPr>
          <w:rFonts w:ascii="Times New Roman" w:hAnsi="Times New Roman" w:cs="Times New Roman"/>
          <w:szCs w:val="24"/>
          <w:shd w:val="clear" w:color="auto" w:fill="FFFFFF"/>
        </w:rPr>
        <w:t>Fransoo</w:t>
      </w:r>
      <w:proofErr w:type="spellEnd"/>
      <w:r w:rsidRPr="00CD0BCC">
        <w:rPr>
          <w:rFonts w:ascii="Times New Roman" w:hAnsi="Times New Roman" w:cs="Times New Roman"/>
          <w:szCs w:val="24"/>
          <w:shd w:val="clear" w:color="auto" w:fill="FFFFFF"/>
        </w:rPr>
        <w:t xml:space="preserve"> R, </w:t>
      </w:r>
      <w:proofErr w:type="spellStart"/>
      <w:r w:rsidRPr="00CD0BCC">
        <w:rPr>
          <w:rFonts w:ascii="Times New Roman" w:hAnsi="Times New Roman" w:cs="Times New Roman"/>
          <w:szCs w:val="24"/>
          <w:shd w:val="clear" w:color="auto" w:fill="FFFFFF"/>
        </w:rPr>
        <w:t>Marrie</w:t>
      </w:r>
      <w:proofErr w:type="spellEnd"/>
      <w:r w:rsidRPr="00CD0BCC">
        <w:rPr>
          <w:rFonts w:ascii="Times New Roman" w:hAnsi="Times New Roman" w:cs="Times New Roman"/>
          <w:szCs w:val="24"/>
          <w:shd w:val="clear" w:color="auto" w:fill="FFFFFF"/>
        </w:rPr>
        <w:t xml:space="preserve"> RA. Validation of an algorithm to detect severe MS relapses in administrative health databases. </w:t>
      </w:r>
      <w:proofErr w:type="spellStart"/>
      <w:r w:rsidRPr="00CD0BCC">
        <w:rPr>
          <w:rFonts w:ascii="Times New Roman" w:hAnsi="Times New Roman" w:cs="Times New Roman"/>
          <w:szCs w:val="24"/>
          <w:shd w:val="clear" w:color="auto" w:fill="FFFFFF"/>
        </w:rPr>
        <w:t>Mult</w:t>
      </w:r>
      <w:proofErr w:type="spellEnd"/>
      <w:r w:rsidRPr="00CD0BCC">
        <w:rPr>
          <w:rFonts w:ascii="Times New Roman" w:hAnsi="Times New Roman" w:cs="Times New Roman"/>
          <w:szCs w:val="24"/>
          <w:shd w:val="clear" w:color="auto" w:fill="FFFFFF"/>
        </w:rPr>
        <w:t xml:space="preserve"> </w:t>
      </w:r>
      <w:proofErr w:type="spellStart"/>
      <w:r w:rsidRPr="00CD0BCC">
        <w:rPr>
          <w:rFonts w:ascii="Times New Roman" w:hAnsi="Times New Roman" w:cs="Times New Roman"/>
          <w:szCs w:val="24"/>
          <w:shd w:val="clear" w:color="auto" w:fill="FFFFFF"/>
        </w:rPr>
        <w:t>Scler</w:t>
      </w:r>
      <w:proofErr w:type="spellEnd"/>
      <w:r w:rsidRPr="00CD0BCC">
        <w:rPr>
          <w:rFonts w:ascii="Times New Roman" w:hAnsi="Times New Roman" w:cs="Times New Roman"/>
          <w:szCs w:val="24"/>
          <w:shd w:val="clear" w:color="auto" w:fill="FFFFFF"/>
        </w:rPr>
        <w:t xml:space="preserve"> </w:t>
      </w:r>
      <w:proofErr w:type="spellStart"/>
      <w:r w:rsidRPr="00CD0BCC">
        <w:rPr>
          <w:rFonts w:ascii="Times New Roman" w:hAnsi="Times New Roman" w:cs="Times New Roman"/>
          <w:szCs w:val="24"/>
          <w:shd w:val="clear" w:color="auto" w:fill="FFFFFF"/>
        </w:rPr>
        <w:t>Relat</w:t>
      </w:r>
      <w:proofErr w:type="spellEnd"/>
      <w:r w:rsidRPr="00CD0BCC">
        <w:rPr>
          <w:rFonts w:ascii="Times New Roman" w:hAnsi="Times New Roman" w:cs="Times New Roman"/>
          <w:szCs w:val="24"/>
          <w:shd w:val="clear" w:color="auto" w:fill="FFFFFF"/>
        </w:rPr>
        <w:t xml:space="preserve"> </w:t>
      </w:r>
      <w:proofErr w:type="spellStart"/>
      <w:r w:rsidRPr="00CD0BCC">
        <w:rPr>
          <w:rFonts w:ascii="Times New Roman" w:hAnsi="Times New Roman" w:cs="Times New Roman"/>
          <w:szCs w:val="24"/>
          <w:shd w:val="clear" w:color="auto" w:fill="FFFFFF"/>
        </w:rPr>
        <w:t>Disord</w:t>
      </w:r>
      <w:proofErr w:type="spellEnd"/>
      <w:r w:rsidRPr="00CD0BCC">
        <w:rPr>
          <w:rFonts w:ascii="Times New Roman" w:hAnsi="Times New Roman" w:cs="Times New Roman"/>
          <w:szCs w:val="24"/>
          <w:shd w:val="clear" w:color="auto" w:fill="FFFFFF"/>
        </w:rPr>
        <w:t xml:space="preserve">. </w:t>
      </w:r>
      <w:proofErr w:type="gramStart"/>
      <w:r w:rsidRPr="00CD0BCC">
        <w:rPr>
          <w:rFonts w:ascii="Times New Roman" w:hAnsi="Times New Roman" w:cs="Times New Roman"/>
          <w:szCs w:val="24"/>
          <w:shd w:val="clear" w:color="auto" w:fill="FFFFFF"/>
        </w:rPr>
        <w:t>2018;19:134</w:t>
      </w:r>
      <w:proofErr w:type="gramEnd"/>
      <w:r w:rsidRPr="00CD0BCC">
        <w:rPr>
          <w:rFonts w:ascii="Times New Roman" w:hAnsi="Times New Roman" w:cs="Times New Roman"/>
          <w:szCs w:val="24"/>
          <w:shd w:val="clear" w:color="auto" w:fill="FFFFFF"/>
        </w:rPr>
        <w:t xml:space="preserve">-139. </w:t>
      </w:r>
      <w:proofErr w:type="spellStart"/>
      <w:r w:rsidRPr="00CD0BCC">
        <w:rPr>
          <w:rFonts w:ascii="Times New Roman" w:hAnsi="Times New Roman" w:cs="Times New Roman"/>
          <w:szCs w:val="24"/>
          <w:shd w:val="clear" w:color="auto" w:fill="FFFFFF"/>
        </w:rPr>
        <w:t>doi</w:t>
      </w:r>
      <w:proofErr w:type="spellEnd"/>
      <w:r w:rsidRPr="00CD0BCC">
        <w:rPr>
          <w:rFonts w:ascii="Times New Roman" w:hAnsi="Times New Roman" w:cs="Times New Roman"/>
          <w:szCs w:val="24"/>
          <w:shd w:val="clear" w:color="auto" w:fill="FFFFFF"/>
        </w:rPr>
        <w:t>: 10.1016/j.msard.2017.11.022.</w:t>
      </w:r>
    </w:p>
    <w:p w:rsidR="00CD0BCC" w:rsidRDefault="00CD0BCC">
      <w:pPr>
        <w:rPr>
          <w:rFonts w:ascii="Times New Roman" w:hAnsi="Times New Roman" w:cs="Times New Roman"/>
        </w:rPr>
      </w:pPr>
      <w:r>
        <w:rPr>
          <w:rFonts w:ascii="Times New Roman" w:hAnsi="Times New Roman" w:cs="Times New Roman"/>
        </w:rPr>
        <w:br w:type="page"/>
      </w:r>
      <w:bookmarkStart w:id="0" w:name="_GoBack"/>
      <w:bookmarkEnd w:id="0"/>
    </w:p>
    <w:p w:rsidR="00CD0BCC" w:rsidRPr="00CD0BCC" w:rsidRDefault="00CD0BCC" w:rsidP="00D66E17">
      <w:pPr>
        <w:spacing w:before="120" w:after="240" w:line="240" w:lineRule="auto"/>
        <w:rPr>
          <w:rFonts w:ascii="Times New Roman" w:hAnsi="Times New Roman" w:cs="Times New Roman"/>
          <w:b/>
        </w:rPr>
      </w:pPr>
      <w:r w:rsidRPr="00CD0BCC">
        <w:rPr>
          <w:rFonts w:ascii="Times New Roman" w:hAnsi="Times New Roman" w:cs="Times New Roman"/>
          <w:b/>
        </w:rPr>
        <w:lastRenderedPageBreak/>
        <w:t>Supplementary Tables</w:t>
      </w:r>
    </w:p>
    <w:p w:rsidR="001D7FF7" w:rsidRDefault="001D7FF7" w:rsidP="00D66E17">
      <w:pPr>
        <w:spacing w:before="120" w:after="240" w:line="240" w:lineRule="auto"/>
        <w:rPr>
          <w:rFonts w:ascii="Times New Roman" w:hAnsi="Times New Roman" w:cs="Times New Roman"/>
        </w:rPr>
      </w:pPr>
      <w:r w:rsidRPr="00D66E17">
        <w:rPr>
          <w:rFonts w:ascii="Times New Roman" w:hAnsi="Times New Roman" w:cs="Times New Roman"/>
        </w:rPr>
        <w:t xml:space="preserve">Supplementary Table S1. Frequency of common co-morbidities and co-medications at 1 year after initiation of </w:t>
      </w:r>
      <w:proofErr w:type="spellStart"/>
      <w:r w:rsidRPr="00D66E17">
        <w:rPr>
          <w:rFonts w:ascii="Times New Roman" w:hAnsi="Times New Roman" w:cs="Times New Roman"/>
        </w:rPr>
        <w:t>sc</w:t>
      </w:r>
      <w:proofErr w:type="spellEnd"/>
      <w:r w:rsidRPr="00D66E17">
        <w:rPr>
          <w:rFonts w:ascii="Times New Roman" w:hAnsi="Times New Roman" w:cs="Times New Roman"/>
        </w:rPr>
        <w:t xml:space="preserve"> IFN β-1a treatment</w:t>
      </w:r>
    </w:p>
    <w:tbl>
      <w:tblPr>
        <w:tblStyle w:val="TableGrid"/>
        <w:tblpPr w:leftFromText="180" w:rightFromText="180" w:vertAnchor="page" w:horzAnchor="margin" w:tblpY="2806"/>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803"/>
        <w:gridCol w:w="1803"/>
        <w:gridCol w:w="1803"/>
        <w:gridCol w:w="1803"/>
        <w:gridCol w:w="1804"/>
      </w:tblGrid>
      <w:tr w:rsidR="00CD0BCC" w:rsidRPr="00D66E17" w:rsidTr="00CD0BCC">
        <w:tc>
          <w:tcPr>
            <w:tcW w:w="1803" w:type="dxa"/>
            <w:vMerge w:val="restart"/>
            <w:tcBorders>
              <w:top w:val="single" w:sz="4" w:space="0" w:color="auto"/>
              <w:left w:val="nil"/>
              <w:bottom w:val="single" w:sz="4" w:space="0" w:color="auto"/>
              <w:right w:val="nil"/>
            </w:tcBorders>
            <w:vAlign w:val="bottom"/>
            <w:hideMark/>
          </w:tcPr>
          <w:p w:rsidR="00CD0BCC" w:rsidRPr="00D66E17" w:rsidRDefault="00CD0BCC" w:rsidP="00CD0BCC">
            <w:pPr>
              <w:rPr>
                <w:rFonts w:ascii="Times New Roman" w:eastAsia="Calibri" w:hAnsi="Times New Roman"/>
                <w:b/>
              </w:rPr>
            </w:pPr>
            <w:r w:rsidRPr="00D66E17">
              <w:rPr>
                <w:rFonts w:ascii="Times New Roman" w:eastAsia="Calibri" w:hAnsi="Times New Roman"/>
                <w:b/>
              </w:rPr>
              <w:t xml:space="preserve">% (95% CI) </w:t>
            </w:r>
          </w:p>
        </w:tc>
        <w:tc>
          <w:tcPr>
            <w:tcW w:w="7213" w:type="dxa"/>
            <w:gridSpan w:val="4"/>
            <w:tcBorders>
              <w:top w:val="single" w:sz="4" w:space="0" w:color="auto"/>
              <w:left w:val="nil"/>
              <w:bottom w:val="single" w:sz="4" w:space="0" w:color="auto"/>
              <w:right w:val="nil"/>
            </w:tcBorders>
            <w:hideMark/>
          </w:tcPr>
          <w:p w:rsidR="00CD0BCC" w:rsidRPr="00D66E17" w:rsidRDefault="00CD0BCC" w:rsidP="00CD0BCC">
            <w:pPr>
              <w:jc w:val="center"/>
              <w:rPr>
                <w:rFonts w:ascii="Times New Roman" w:eastAsia="Calibri" w:hAnsi="Times New Roman"/>
                <w:b/>
              </w:rPr>
            </w:pPr>
            <w:r w:rsidRPr="00D66E17">
              <w:rPr>
                <w:rFonts w:ascii="Times New Roman" w:eastAsia="Calibri" w:hAnsi="Times New Roman"/>
                <w:b/>
              </w:rPr>
              <w:t>Age group, years</w:t>
            </w:r>
          </w:p>
        </w:tc>
      </w:tr>
      <w:tr w:rsidR="00CD0BCC" w:rsidRPr="00D66E17" w:rsidTr="00CD0BCC">
        <w:tc>
          <w:tcPr>
            <w:tcW w:w="0" w:type="auto"/>
            <w:vMerge/>
            <w:tcBorders>
              <w:top w:val="single" w:sz="4" w:space="0" w:color="auto"/>
              <w:left w:val="nil"/>
              <w:bottom w:val="single" w:sz="4" w:space="0" w:color="auto"/>
              <w:right w:val="nil"/>
            </w:tcBorders>
            <w:vAlign w:val="center"/>
            <w:hideMark/>
          </w:tcPr>
          <w:p w:rsidR="00CD0BCC" w:rsidRPr="00D66E17" w:rsidRDefault="00CD0BCC" w:rsidP="00CD0BCC">
            <w:pPr>
              <w:rPr>
                <w:rFonts w:ascii="Times New Roman" w:eastAsia="Calibri" w:hAnsi="Times New Roman"/>
                <w:b/>
              </w:rPr>
            </w:pPr>
          </w:p>
        </w:tc>
        <w:tc>
          <w:tcPr>
            <w:tcW w:w="1803" w:type="dxa"/>
            <w:tcBorders>
              <w:top w:val="single" w:sz="4" w:space="0" w:color="auto"/>
              <w:left w:val="nil"/>
              <w:bottom w:val="single" w:sz="4" w:space="0" w:color="auto"/>
              <w:right w:val="nil"/>
            </w:tcBorders>
            <w:shd w:val="clear" w:color="auto" w:fill="auto"/>
            <w:vAlign w:val="center"/>
            <w:hideMark/>
          </w:tcPr>
          <w:p w:rsidR="00CD0BCC" w:rsidRPr="00D66E17" w:rsidRDefault="00CD0BCC" w:rsidP="00CD0BCC">
            <w:pPr>
              <w:jc w:val="center"/>
              <w:rPr>
                <w:rFonts w:ascii="Times New Roman" w:hAnsi="Times New Roman"/>
                <w:b/>
              </w:rPr>
            </w:pPr>
            <w:r w:rsidRPr="00D66E17">
              <w:rPr>
                <w:rFonts w:ascii="Times New Roman" w:hAnsi="Times New Roman"/>
                <w:b/>
              </w:rPr>
              <w:t>18–30</w:t>
            </w:r>
          </w:p>
          <w:p w:rsidR="00CD0BCC" w:rsidRPr="00D66E17" w:rsidRDefault="00CD0BCC" w:rsidP="00CD0BCC">
            <w:pPr>
              <w:jc w:val="center"/>
              <w:rPr>
                <w:rFonts w:ascii="Times New Roman" w:eastAsia="Calibri" w:hAnsi="Times New Roman"/>
                <w:b/>
              </w:rPr>
            </w:pPr>
            <w:r w:rsidRPr="00D66E17">
              <w:rPr>
                <w:rFonts w:ascii="Times New Roman" w:hAnsi="Times New Roman"/>
                <w:b/>
              </w:rPr>
              <w:t>(N=773)</w:t>
            </w:r>
          </w:p>
        </w:tc>
        <w:tc>
          <w:tcPr>
            <w:tcW w:w="1803" w:type="dxa"/>
            <w:tcBorders>
              <w:top w:val="single" w:sz="4" w:space="0" w:color="auto"/>
              <w:left w:val="nil"/>
              <w:bottom w:val="single" w:sz="4" w:space="0" w:color="auto"/>
              <w:right w:val="nil"/>
            </w:tcBorders>
            <w:shd w:val="clear" w:color="auto" w:fill="auto"/>
            <w:vAlign w:val="center"/>
            <w:hideMark/>
          </w:tcPr>
          <w:p w:rsidR="00CD0BCC" w:rsidRPr="00D66E17" w:rsidRDefault="00CD0BCC" w:rsidP="00CD0BCC">
            <w:pPr>
              <w:jc w:val="center"/>
              <w:rPr>
                <w:rFonts w:ascii="Times New Roman" w:hAnsi="Times New Roman"/>
                <w:b/>
              </w:rPr>
            </w:pPr>
            <w:r w:rsidRPr="00D66E17">
              <w:rPr>
                <w:rFonts w:ascii="Times New Roman" w:hAnsi="Times New Roman"/>
                <w:b/>
              </w:rPr>
              <w:t>31–40</w:t>
            </w:r>
          </w:p>
          <w:p w:rsidR="00CD0BCC" w:rsidRPr="00D66E17" w:rsidRDefault="00CD0BCC" w:rsidP="00CD0BCC">
            <w:pPr>
              <w:jc w:val="center"/>
              <w:rPr>
                <w:rFonts w:ascii="Times New Roman" w:eastAsia="Calibri" w:hAnsi="Times New Roman"/>
                <w:b/>
              </w:rPr>
            </w:pPr>
            <w:r w:rsidRPr="00D66E17">
              <w:rPr>
                <w:rFonts w:ascii="Times New Roman" w:hAnsi="Times New Roman"/>
                <w:b/>
              </w:rPr>
              <w:t>(N=1468)</w:t>
            </w:r>
          </w:p>
        </w:tc>
        <w:tc>
          <w:tcPr>
            <w:tcW w:w="1803" w:type="dxa"/>
            <w:tcBorders>
              <w:top w:val="single" w:sz="4" w:space="0" w:color="auto"/>
              <w:left w:val="nil"/>
              <w:bottom w:val="single" w:sz="4" w:space="0" w:color="auto"/>
              <w:right w:val="nil"/>
            </w:tcBorders>
            <w:shd w:val="clear" w:color="auto" w:fill="auto"/>
            <w:vAlign w:val="center"/>
            <w:hideMark/>
          </w:tcPr>
          <w:p w:rsidR="00CD0BCC" w:rsidRPr="00D66E17" w:rsidRDefault="00CD0BCC" w:rsidP="00CD0BCC">
            <w:pPr>
              <w:jc w:val="center"/>
              <w:rPr>
                <w:rFonts w:ascii="Times New Roman" w:hAnsi="Times New Roman"/>
                <w:b/>
              </w:rPr>
            </w:pPr>
            <w:r w:rsidRPr="00D66E17">
              <w:rPr>
                <w:rFonts w:ascii="Times New Roman" w:hAnsi="Times New Roman"/>
                <w:b/>
              </w:rPr>
              <w:t>41–50</w:t>
            </w:r>
          </w:p>
          <w:p w:rsidR="00CD0BCC" w:rsidRPr="00D66E17" w:rsidRDefault="00CD0BCC" w:rsidP="00CD0BCC">
            <w:pPr>
              <w:jc w:val="center"/>
              <w:rPr>
                <w:rFonts w:ascii="Times New Roman" w:eastAsia="Calibri" w:hAnsi="Times New Roman"/>
                <w:b/>
              </w:rPr>
            </w:pPr>
            <w:r w:rsidRPr="00D66E17">
              <w:rPr>
                <w:rFonts w:ascii="Times New Roman" w:hAnsi="Times New Roman"/>
                <w:b/>
              </w:rPr>
              <w:t>(N=1630)</w:t>
            </w:r>
          </w:p>
        </w:tc>
        <w:tc>
          <w:tcPr>
            <w:tcW w:w="1804" w:type="dxa"/>
            <w:tcBorders>
              <w:top w:val="single" w:sz="4" w:space="0" w:color="auto"/>
              <w:left w:val="nil"/>
              <w:bottom w:val="single" w:sz="4" w:space="0" w:color="auto"/>
              <w:right w:val="nil"/>
            </w:tcBorders>
            <w:shd w:val="clear" w:color="auto" w:fill="auto"/>
            <w:vAlign w:val="center"/>
            <w:hideMark/>
          </w:tcPr>
          <w:p w:rsidR="00CD0BCC" w:rsidRPr="00D66E17" w:rsidRDefault="00CD0BCC" w:rsidP="00CD0BCC">
            <w:pPr>
              <w:jc w:val="center"/>
              <w:rPr>
                <w:rFonts w:ascii="Times New Roman" w:hAnsi="Times New Roman"/>
                <w:b/>
              </w:rPr>
            </w:pPr>
            <w:r w:rsidRPr="00D66E17">
              <w:rPr>
                <w:rFonts w:ascii="Times New Roman" w:hAnsi="Times New Roman"/>
                <w:b/>
              </w:rPr>
              <w:t>≥51</w:t>
            </w:r>
          </w:p>
          <w:p w:rsidR="00CD0BCC" w:rsidRPr="00D66E17" w:rsidRDefault="00CD0BCC" w:rsidP="00CD0BCC">
            <w:pPr>
              <w:jc w:val="center"/>
              <w:rPr>
                <w:rFonts w:ascii="Times New Roman" w:eastAsia="Calibri" w:hAnsi="Times New Roman"/>
                <w:b/>
              </w:rPr>
            </w:pPr>
            <w:r w:rsidRPr="00D66E17">
              <w:rPr>
                <w:rFonts w:ascii="Times New Roman" w:hAnsi="Times New Roman"/>
                <w:b/>
              </w:rPr>
              <w:t>(N=1469)</w:t>
            </w:r>
          </w:p>
        </w:tc>
      </w:tr>
      <w:tr w:rsidR="00CD0BCC" w:rsidRPr="00D66E17" w:rsidTr="00CD0BCC">
        <w:tc>
          <w:tcPr>
            <w:tcW w:w="9016" w:type="dxa"/>
            <w:gridSpan w:val="5"/>
            <w:tcBorders>
              <w:top w:val="single" w:sz="4" w:space="0" w:color="auto"/>
              <w:left w:val="nil"/>
              <w:bottom w:val="nil"/>
              <w:right w:val="nil"/>
            </w:tcBorders>
            <w:hideMark/>
          </w:tcPr>
          <w:p w:rsidR="00CD0BCC" w:rsidRPr="00D66E17" w:rsidRDefault="00CD0BCC" w:rsidP="00CD0BCC">
            <w:pPr>
              <w:rPr>
                <w:rFonts w:ascii="Times New Roman" w:eastAsia="Calibri" w:hAnsi="Times New Roman"/>
                <w:b/>
              </w:rPr>
            </w:pPr>
            <w:r w:rsidRPr="00D66E17">
              <w:rPr>
                <w:rFonts w:ascii="Times New Roman" w:eastAsia="Calibri" w:hAnsi="Times New Roman"/>
                <w:b/>
              </w:rPr>
              <w:t xml:space="preserve">Co-morbidities </w:t>
            </w:r>
          </w:p>
        </w:tc>
      </w:tr>
      <w:tr w:rsidR="00CD0BCC" w:rsidRPr="00D66E17" w:rsidTr="00CD0BCC">
        <w:tc>
          <w:tcPr>
            <w:tcW w:w="1803" w:type="dxa"/>
            <w:hideMark/>
          </w:tcPr>
          <w:p w:rsidR="00CD0BCC" w:rsidRPr="00D66E17" w:rsidRDefault="00CD0BCC" w:rsidP="00CD0BCC">
            <w:pPr>
              <w:ind w:left="142"/>
              <w:rPr>
                <w:rFonts w:ascii="Times New Roman" w:hAnsi="Times New Roman"/>
              </w:rPr>
            </w:pPr>
            <w:r w:rsidRPr="00D66E17">
              <w:rPr>
                <w:rFonts w:ascii="Times New Roman" w:hAnsi="Times New Roman"/>
              </w:rPr>
              <w:t>Alcohol use disorder</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0.5 (0.2–1.3)</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0.5 (0.3–1.1)</w:t>
            </w:r>
          </w:p>
        </w:tc>
        <w:tc>
          <w:tcPr>
            <w:tcW w:w="1803" w:type="dxa"/>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0.5 (0.3–1.0)</w:t>
            </w:r>
          </w:p>
          <w:p w:rsidR="00CD0BCC" w:rsidRPr="00D66E17" w:rsidRDefault="00CD0BCC" w:rsidP="00CD0BCC">
            <w:pPr>
              <w:jc w:val="center"/>
              <w:rPr>
                <w:rFonts w:ascii="Times New Roman" w:eastAsia="Calibri" w:hAnsi="Times New Roman"/>
              </w:rPr>
            </w:pPr>
          </w:p>
        </w:tc>
        <w:tc>
          <w:tcPr>
            <w:tcW w:w="1804"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0.1 (0.0–0.4)</w:t>
            </w:r>
          </w:p>
        </w:tc>
      </w:tr>
      <w:tr w:rsidR="00CD0BCC" w:rsidRPr="00D66E17" w:rsidTr="00CD0BCC">
        <w:tc>
          <w:tcPr>
            <w:tcW w:w="1803" w:type="dxa"/>
            <w:hideMark/>
          </w:tcPr>
          <w:p w:rsidR="00CD0BCC" w:rsidRPr="00D66E17" w:rsidRDefault="00CD0BCC" w:rsidP="00CD0BCC">
            <w:pPr>
              <w:ind w:left="142"/>
              <w:rPr>
                <w:rFonts w:ascii="Times New Roman" w:hAnsi="Times New Roman"/>
              </w:rPr>
            </w:pPr>
            <w:r w:rsidRPr="00D66E17">
              <w:rPr>
                <w:rFonts w:ascii="Times New Roman" w:hAnsi="Times New Roman"/>
              </w:rPr>
              <w:t>COPD</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0.4 (0.1–1.1)</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0.3 (0.2–0.8)</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0.7 (0.4–1.3)</w:t>
            </w:r>
          </w:p>
        </w:tc>
        <w:tc>
          <w:tcPr>
            <w:tcW w:w="1804"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2.3 (1.7–3.2)</w:t>
            </w:r>
          </w:p>
        </w:tc>
      </w:tr>
      <w:tr w:rsidR="00CD0BCC" w:rsidRPr="00D66E17" w:rsidTr="00CD0BCC">
        <w:tc>
          <w:tcPr>
            <w:tcW w:w="1803" w:type="dxa"/>
            <w:hideMark/>
          </w:tcPr>
          <w:p w:rsidR="00CD0BCC" w:rsidRPr="00D66E17" w:rsidRDefault="00CD0BCC" w:rsidP="00CD0BCC">
            <w:pPr>
              <w:ind w:left="142"/>
              <w:rPr>
                <w:rFonts w:ascii="Times New Roman" w:hAnsi="Times New Roman"/>
              </w:rPr>
            </w:pPr>
            <w:r w:rsidRPr="00D66E17">
              <w:rPr>
                <w:rFonts w:ascii="Times New Roman" w:hAnsi="Times New Roman"/>
              </w:rPr>
              <w:t>Diabetes mellitus</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1.2 (0.6–2.2)</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2.4 (1.7–3.3)</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6.3 (5.2–7.5)</w:t>
            </w:r>
          </w:p>
        </w:tc>
        <w:tc>
          <w:tcPr>
            <w:tcW w:w="1804"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10.5 (9.0–12.2)</w:t>
            </w:r>
          </w:p>
        </w:tc>
      </w:tr>
      <w:tr w:rsidR="00CD0BCC" w:rsidRPr="00D66E17" w:rsidTr="00CD0BCC">
        <w:tc>
          <w:tcPr>
            <w:tcW w:w="1803" w:type="dxa"/>
            <w:hideMark/>
          </w:tcPr>
          <w:p w:rsidR="00CD0BCC" w:rsidRPr="00D66E17" w:rsidRDefault="00CD0BCC" w:rsidP="00CD0BCC">
            <w:pPr>
              <w:ind w:left="142"/>
              <w:rPr>
                <w:rFonts w:ascii="Times New Roman" w:eastAsia="Calibri" w:hAnsi="Times New Roman"/>
              </w:rPr>
            </w:pPr>
            <w:r w:rsidRPr="00D66E17">
              <w:rPr>
                <w:rFonts w:ascii="Times New Roman" w:eastAsia="Calibri" w:hAnsi="Times New Roman"/>
              </w:rPr>
              <w:t>Autoimmune disorders</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3.2 (2.2–4.7)</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4.8 (3.8–6.0)</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6.8 (5.7–8.1)</w:t>
            </w:r>
          </w:p>
        </w:tc>
        <w:tc>
          <w:tcPr>
            <w:tcW w:w="1804"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6.3 (5.2–7.7)</w:t>
            </w:r>
          </w:p>
        </w:tc>
      </w:tr>
      <w:tr w:rsidR="00CD0BCC" w:rsidRPr="00D66E17" w:rsidTr="00CD0BCC">
        <w:tc>
          <w:tcPr>
            <w:tcW w:w="1803" w:type="dxa"/>
            <w:hideMark/>
          </w:tcPr>
          <w:p w:rsidR="00CD0BCC" w:rsidRPr="00D66E17" w:rsidRDefault="00CD0BCC" w:rsidP="00CD0BCC">
            <w:pPr>
              <w:ind w:left="142"/>
              <w:rPr>
                <w:rFonts w:ascii="Times New Roman" w:eastAsia="Calibri" w:hAnsi="Times New Roman"/>
              </w:rPr>
            </w:pPr>
            <w:r w:rsidRPr="00D66E17">
              <w:rPr>
                <w:rFonts w:ascii="Times New Roman" w:eastAsia="Calibri" w:hAnsi="Times New Roman"/>
              </w:rPr>
              <w:t>Depression</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8.9 (7.1–11.1)</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9.3 (7.9–10.9)</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11.6 (10.1–13.2)</w:t>
            </w:r>
          </w:p>
        </w:tc>
        <w:tc>
          <w:tcPr>
            <w:tcW w:w="1804"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11.4 (9.9–13.2)</w:t>
            </w:r>
          </w:p>
        </w:tc>
      </w:tr>
      <w:tr w:rsidR="00CD0BCC" w:rsidRPr="00D66E17" w:rsidTr="00CD0BCC">
        <w:tc>
          <w:tcPr>
            <w:tcW w:w="1803" w:type="dxa"/>
            <w:hideMark/>
          </w:tcPr>
          <w:p w:rsidR="00CD0BCC" w:rsidRPr="00D66E17" w:rsidRDefault="00CD0BCC" w:rsidP="00CD0BCC">
            <w:pPr>
              <w:ind w:left="142"/>
              <w:rPr>
                <w:rFonts w:ascii="Times New Roman" w:eastAsia="Calibri" w:hAnsi="Times New Roman"/>
              </w:rPr>
            </w:pPr>
            <w:r w:rsidRPr="00D66E17">
              <w:rPr>
                <w:rFonts w:ascii="Times New Roman" w:eastAsia="Calibri" w:hAnsi="Times New Roman"/>
              </w:rPr>
              <w:t>Dementia</w:t>
            </w:r>
          </w:p>
        </w:tc>
        <w:tc>
          <w:tcPr>
            <w:tcW w:w="1803" w:type="dxa"/>
            <w:hideMark/>
          </w:tcPr>
          <w:p w:rsidR="00CD0BCC" w:rsidRPr="00D66E17" w:rsidRDefault="00CD0BCC" w:rsidP="00CD0BCC">
            <w:pPr>
              <w:ind w:left="142"/>
              <w:jc w:val="center"/>
              <w:rPr>
                <w:rFonts w:ascii="Times New Roman" w:eastAsia="Calibri" w:hAnsi="Times New Roman"/>
              </w:rPr>
            </w:pPr>
            <w:r w:rsidRPr="00D66E17">
              <w:rPr>
                <w:rFonts w:ascii="Times New Roman" w:eastAsia="Calibri" w:hAnsi="Times New Roman"/>
              </w:rPr>
              <w:t>0.1 (0.0–0.7)</w:t>
            </w:r>
          </w:p>
        </w:tc>
        <w:tc>
          <w:tcPr>
            <w:tcW w:w="1803" w:type="dxa"/>
            <w:hideMark/>
          </w:tcPr>
          <w:p w:rsidR="00CD0BCC" w:rsidRPr="00D66E17" w:rsidRDefault="00CD0BCC" w:rsidP="00CD0BCC">
            <w:pPr>
              <w:ind w:left="142"/>
              <w:jc w:val="center"/>
              <w:rPr>
                <w:rFonts w:ascii="Times New Roman" w:eastAsia="Calibri" w:hAnsi="Times New Roman"/>
              </w:rPr>
            </w:pPr>
            <w:r w:rsidRPr="00D66E17">
              <w:rPr>
                <w:rFonts w:ascii="Times New Roman" w:eastAsia="Calibri" w:hAnsi="Times New Roman"/>
              </w:rPr>
              <w:t>0.4 (0.2–0.9)</w:t>
            </w:r>
          </w:p>
        </w:tc>
        <w:tc>
          <w:tcPr>
            <w:tcW w:w="1803" w:type="dxa"/>
            <w:hideMark/>
          </w:tcPr>
          <w:p w:rsidR="00CD0BCC" w:rsidRPr="00D66E17" w:rsidRDefault="00CD0BCC" w:rsidP="00CD0BCC">
            <w:pPr>
              <w:ind w:left="142"/>
              <w:jc w:val="center"/>
              <w:rPr>
                <w:rFonts w:ascii="Times New Roman" w:eastAsia="Calibri" w:hAnsi="Times New Roman"/>
              </w:rPr>
            </w:pPr>
            <w:r w:rsidRPr="00D66E17">
              <w:rPr>
                <w:rFonts w:ascii="Times New Roman" w:eastAsia="Calibri" w:hAnsi="Times New Roman"/>
              </w:rPr>
              <w:t>0.9 (0.5–1.4)</w:t>
            </w:r>
          </w:p>
        </w:tc>
        <w:tc>
          <w:tcPr>
            <w:tcW w:w="1804" w:type="dxa"/>
            <w:hideMark/>
          </w:tcPr>
          <w:p w:rsidR="00CD0BCC" w:rsidRPr="00D66E17" w:rsidRDefault="00CD0BCC" w:rsidP="00CD0BCC">
            <w:pPr>
              <w:ind w:left="142"/>
              <w:jc w:val="center"/>
              <w:rPr>
                <w:rFonts w:ascii="Times New Roman" w:eastAsia="Calibri" w:hAnsi="Times New Roman"/>
              </w:rPr>
            </w:pPr>
            <w:r w:rsidRPr="00D66E17">
              <w:rPr>
                <w:rFonts w:ascii="Times New Roman" w:eastAsia="Calibri" w:hAnsi="Times New Roman"/>
              </w:rPr>
              <w:t>2.3 (1.6–3.1)</w:t>
            </w:r>
          </w:p>
        </w:tc>
      </w:tr>
      <w:tr w:rsidR="00CD0BCC" w:rsidRPr="00D66E17" w:rsidTr="00CD0BCC">
        <w:tc>
          <w:tcPr>
            <w:tcW w:w="1803" w:type="dxa"/>
            <w:hideMark/>
          </w:tcPr>
          <w:p w:rsidR="00CD0BCC" w:rsidRPr="00D66E17" w:rsidRDefault="00CD0BCC" w:rsidP="00CD0BCC">
            <w:pPr>
              <w:ind w:left="142"/>
              <w:rPr>
                <w:rFonts w:ascii="Times New Roman" w:eastAsia="Calibri" w:hAnsi="Times New Roman"/>
              </w:rPr>
            </w:pPr>
            <w:r w:rsidRPr="00D66E17">
              <w:rPr>
                <w:rFonts w:ascii="Times New Roman" w:eastAsia="Calibri" w:hAnsi="Times New Roman"/>
              </w:rPr>
              <w:t>Hypertension</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3.2 (2.2–4.7)</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8.2 (6.9–9.8)</w:t>
            </w:r>
          </w:p>
        </w:tc>
        <w:tc>
          <w:tcPr>
            <w:tcW w:w="1803" w:type="dxa"/>
            <w:hideMark/>
          </w:tcPr>
          <w:p w:rsidR="00CD0BCC" w:rsidRPr="00D66E17" w:rsidRDefault="00CD0BCC" w:rsidP="00CD0BCC">
            <w:pPr>
              <w:jc w:val="center"/>
              <w:rPr>
                <w:rFonts w:ascii="Times New Roman" w:eastAsia="Calibri" w:hAnsi="Times New Roman"/>
                <w:lang w:bidi="he-IL"/>
              </w:rPr>
            </w:pPr>
            <w:r w:rsidRPr="00D66E17">
              <w:rPr>
                <w:rFonts w:ascii="Times New Roman" w:eastAsia="Calibri" w:hAnsi="Times New Roman"/>
              </w:rPr>
              <w:t>16.8 (15.0</w:t>
            </w:r>
            <w:r w:rsidRPr="00D66E17">
              <w:rPr>
                <w:rFonts w:ascii="Times New Roman" w:eastAsia="Calibri" w:hAnsi="Times New Roman"/>
                <w:lang w:bidi="he-IL"/>
              </w:rPr>
              <w:t>–18.6)</w:t>
            </w:r>
          </w:p>
        </w:tc>
        <w:tc>
          <w:tcPr>
            <w:tcW w:w="1804"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29.3 (27.0–31.7)</w:t>
            </w:r>
          </w:p>
        </w:tc>
      </w:tr>
      <w:tr w:rsidR="00CD0BCC" w:rsidRPr="00D66E17" w:rsidTr="00CD0BCC">
        <w:tc>
          <w:tcPr>
            <w:tcW w:w="9016" w:type="dxa"/>
            <w:gridSpan w:val="5"/>
            <w:hideMark/>
          </w:tcPr>
          <w:p w:rsidR="00CD0BCC" w:rsidRPr="00D66E17" w:rsidRDefault="00CD0BCC" w:rsidP="00CD0BCC">
            <w:pPr>
              <w:rPr>
                <w:rFonts w:ascii="Times New Roman" w:eastAsia="Calibri" w:hAnsi="Times New Roman"/>
              </w:rPr>
            </w:pPr>
            <w:r w:rsidRPr="00D66E17">
              <w:rPr>
                <w:rFonts w:ascii="Times New Roman" w:eastAsia="Calibri" w:hAnsi="Times New Roman"/>
                <w:b/>
              </w:rPr>
              <w:t>Co-medications</w:t>
            </w:r>
          </w:p>
        </w:tc>
      </w:tr>
      <w:tr w:rsidR="00CD0BCC" w:rsidRPr="00D66E17" w:rsidTr="00CD0BCC">
        <w:tc>
          <w:tcPr>
            <w:tcW w:w="1803" w:type="dxa"/>
            <w:hideMark/>
          </w:tcPr>
          <w:p w:rsidR="00CD0BCC" w:rsidRPr="00D66E17" w:rsidRDefault="00CD0BCC" w:rsidP="00CD0BCC">
            <w:pPr>
              <w:ind w:left="142"/>
              <w:rPr>
                <w:rFonts w:ascii="Times New Roman" w:hAnsi="Times New Roman"/>
              </w:rPr>
            </w:pPr>
            <w:r w:rsidRPr="00D66E17">
              <w:rPr>
                <w:rFonts w:ascii="Times New Roman" w:hAnsi="Times New Roman"/>
              </w:rPr>
              <w:t>Fatigue</w:t>
            </w:r>
          </w:p>
        </w:tc>
        <w:tc>
          <w:tcPr>
            <w:tcW w:w="1803" w:type="dxa"/>
            <w:hideMark/>
          </w:tcPr>
          <w:p w:rsidR="00CD0BCC" w:rsidRPr="00D66E17" w:rsidRDefault="00CD0BCC" w:rsidP="00CD0BCC">
            <w:pPr>
              <w:ind w:left="142"/>
              <w:jc w:val="center"/>
              <w:rPr>
                <w:rFonts w:ascii="Times New Roman" w:hAnsi="Times New Roman"/>
              </w:rPr>
            </w:pPr>
            <w:r w:rsidRPr="00D66E17">
              <w:rPr>
                <w:rFonts w:ascii="Times New Roman" w:hAnsi="Times New Roman"/>
              </w:rPr>
              <w:t>5.4 (4.0–7.3)</w:t>
            </w:r>
          </w:p>
        </w:tc>
        <w:tc>
          <w:tcPr>
            <w:tcW w:w="1803" w:type="dxa"/>
            <w:hideMark/>
          </w:tcPr>
          <w:p w:rsidR="00CD0BCC" w:rsidRPr="00D66E17" w:rsidRDefault="00CD0BCC" w:rsidP="00CD0BCC">
            <w:pPr>
              <w:ind w:left="142"/>
              <w:jc w:val="center"/>
              <w:rPr>
                <w:rFonts w:ascii="Times New Roman" w:hAnsi="Times New Roman"/>
              </w:rPr>
            </w:pPr>
            <w:r w:rsidRPr="00D66E17">
              <w:rPr>
                <w:rFonts w:ascii="Times New Roman" w:hAnsi="Times New Roman"/>
              </w:rPr>
              <w:t>6.7 (5.5–8.1)</w:t>
            </w:r>
          </w:p>
        </w:tc>
        <w:tc>
          <w:tcPr>
            <w:tcW w:w="1803" w:type="dxa"/>
            <w:hideMark/>
          </w:tcPr>
          <w:p w:rsidR="00CD0BCC" w:rsidRPr="00D66E17" w:rsidRDefault="00CD0BCC" w:rsidP="00CD0BCC">
            <w:pPr>
              <w:ind w:left="142"/>
              <w:jc w:val="center"/>
              <w:rPr>
                <w:rFonts w:ascii="Times New Roman" w:hAnsi="Times New Roman"/>
              </w:rPr>
            </w:pPr>
            <w:r w:rsidRPr="00D66E17">
              <w:rPr>
                <w:rFonts w:ascii="Times New Roman" w:hAnsi="Times New Roman"/>
              </w:rPr>
              <w:t>10.6 (9.2–12.2)</w:t>
            </w:r>
          </w:p>
        </w:tc>
        <w:tc>
          <w:tcPr>
            <w:tcW w:w="1804" w:type="dxa"/>
            <w:hideMark/>
          </w:tcPr>
          <w:p w:rsidR="00CD0BCC" w:rsidRPr="00D66E17" w:rsidRDefault="00CD0BCC" w:rsidP="00CD0BCC">
            <w:pPr>
              <w:ind w:left="142"/>
              <w:jc w:val="center"/>
              <w:rPr>
                <w:rFonts w:ascii="Times New Roman" w:hAnsi="Times New Roman"/>
              </w:rPr>
            </w:pPr>
            <w:r w:rsidRPr="00D66E17">
              <w:rPr>
                <w:rFonts w:ascii="Times New Roman" w:hAnsi="Times New Roman"/>
              </w:rPr>
              <w:t>10.4 (8.9–12.0)</w:t>
            </w:r>
          </w:p>
        </w:tc>
      </w:tr>
      <w:tr w:rsidR="00CD0BCC" w:rsidRPr="00D66E17" w:rsidTr="00CD0BCC">
        <w:tc>
          <w:tcPr>
            <w:tcW w:w="1803" w:type="dxa"/>
            <w:hideMark/>
          </w:tcPr>
          <w:p w:rsidR="00CD0BCC" w:rsidRPr="00D66E17" w:rsidRDefault="00CD0BCC" w:rsidP="00CD0BCC">
            <w:pPr>
              <w:ind w:left="142"/>
              <w:rPr>
                <w:rFonts w:ascii="Times New Roman" w:hAnsi="Times New Roman"/>
              </w:rPr>
            </w:pPr>
            <w:r w:rsidRPr="00D66E17">
              <w:rPr>
                <w:rFonts w:ascii="Times New Roman" w:hAnsi="Times New Roman"/>
              </w:rPr>
              <w:t>Bladder dysfunction</w:t>
            </w:r>
          </w:p>
        </w:tc>
        <w:tc>
          <w:tcPr>
            <w:tcW w:w="1803" w:type="dxa"/>
            <w:hideMark/>
          </w:tcPr>
          <w:p w:rsidR="00CD0BCC" w:rsidRPr="00D66E17" w:rsidRDefault="00CD0BCC" w:rsidP="00CD0BCC">
            <w:pPr>
              <w:ind w:left="142"/>
              <w:jc w:val="center"/>
              <w:rPr>
                <w:rFonts w:ascii="Times New Roman" w:eastAsia="Calibri" w:hAnsi="Times New Roman"/>
              </w:rPr>
            </w:pPr>
            <w:r w:rsidRPr="00D66E17">
              <w:rPr>
                <w:rFonts w:ascii="Times New Roman" w:eastAsia="Calibri" w:hAnsi="Times New Roman"/>
              </w:rPr>
              <w:t>12.2 (10.0–14.7)</w:t>
            </w:r>
          </w:p>
        </w:tc>
        <w:tc>
          <w:tcPr>
            <w:tcW w:w="1803" w:type="dxa"/>
            <w:hideMark/>
          </w:tcPr>
          <w:p w:rsidR="00CD0BCC" w:rsidRPr="00D66E17" w:rsidRDefault="00CD0BCC" w:rsidP="00CD0BCC">
            <w:pPr>
              <w:ind w:left="142"/>
              <w:jc w:val="center"/>
              <w:rPr>
                <w:rFonts w:ascii="Times New Roman" w:eastAsia="Calibri" w:hAnsi="Times New Roman"/>
              </w:rPr>
            </w:pPr>
            <w:r w:rsidRPr="00D66E17">
              <w:rPr>
                <w:rFonts w:ascii="Times New Roman" w:eastAsia="Calibri" w:hAnsi="Times New Roman"/>
              </w:rPr>
              <w:t>14.0 (12.3–15.8)</w:t>
            </w:r>
          </w:p>
        </w:tc>
        <w:tc>
          <w:tcPr>
            <w:tcW w:w="1803" w:type="dxa"/>
            <w:hideMark/>
          </w:tcPr>
          <w:p w:rsidR="00CD0BCC" w:rsidRPr="00D66E17" w:rsidRDefault="00CD0BCC" w:rsidP="00CD0BCC">
            <w:pPr>
              <w:ind w:left="142"/>
              <w:jc w:val="center"/>
              <w:rPr>
                <w:rFonts w:ascii="Times New Roman" w:eastAsia="Calibri" w:hAnsi="Times New Roman"/>
              </w:rPr>
            </w:pPr>
            <w:r w:rsidRPr="00D66E17">
              <w:rPr>
                <w:rFonts w:ascii="Times New Roman" w:eastAsia="Calibri" w:hAnsi="Times New Roman"/>
              </w:rPr>
              <w:t>21.3 (19.4–23.3)</w:t>
            </w:r>
          </w:p>
        </w:tc>
        <w:tc>
          <w:tcPr>
            <w:tcW w:w="1804" w:type="dxa"/>
            <w:hideMark/>
          </w:tcPr>
          <w:p w:rsidR="00CD0BCC" w:rsidRPr="00D66E17" w:rsidRDefault="00CD0BCC" w:rsidP="00CD0BCC">
            <w:pPr>
              <w:ind w:left="142"/>
              <w:jc w:val="center"/>
              <w:rPr>
                <w:rFonts w:ascii="Times New Roman" w:eastAsia="Calibri" w:hAnsi="Times New Roman"/>
              </w:rPr>
            </w:pPr>
            <w:r w:rsidRPr="00D66E17">
              <w:rPr>
                <w:rFonts w:ascii="Times New Roman" w:eastAsia="Calibri" w:hAnsi="Times New Roman"/>
              </w:rPr>
              <w:t>28.9 (26.6–31.2)</w:t>
            </w:r>
          </w:p>
        </w:tc>
      </w:tr>
      <w:tr w:rsidR="00CD0BCC" w:rsidRPr="00D66E17" w:rsidTr="00CD0BCC">
        <w:tc>
          <w:tcPr>
            <w:tcW w:w="1803" w:type="dxa"/>
            <w:hideMark/>
          </w:tcPr>
          <w:p w:rsidR="00CD0BCC" w:rsidRPr="00D66E17" w:rsidRDefault="00CD0BCC" w:rsidP="00CD0BCC">
            <w:pPr>
              <w:ind w:left="142"/>
              <w:rPr>
                <w:rFonts w:ascii="Times New Roman" w:hAnsi="Times New Roman"/>
              </w:rPr>
            </w:pPr>
            <w:r w:rsidRPr="00D66E17">
              <w:rPr>
                <w:rFonts w:ascii="Times New Roman" w:hAnsi="Times New Roman"/>
              </w:rPr>
              <w:t>Urinary tract infection</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6.9 (5.3–8.9)</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5.5 (4.4–6.7)</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7.4 (6.3–8.8)</w:t>
            </w:r>
          </w:p>
        </w:tc>
        <w:tc>
          <w:tcPr>
            <w:tcW w:w="1804"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9.3 (7.9–10.9)</w:t>
            </w:r>
          </w:p>
        </w:tc>
      </w:tr>
      <w:tr w:rsidR="00CD0BCC" w:rsidRPr="00D66E17" w:rsidTr="00CD0BCC">
        <w:tc>
          <w:tcPr>
            <w:tcW w:w="1803" w:type="dxa"/>
            <w:hideMark/>
          </w:tcPr>
          <w:p w:rsidR="00CD0BCC" w:rsidRPr="00D66E17" w:rsidRDefault="00CD0BCC" w:rsidP="00CD0BCC">
            <w:pPr>
              <w:ind w:left="142"/>
              <w:rPr>
                <w:rFonts w:ascii="Times New Roman" w:hAnsi="Times New Roman"/>
              </w:rPr>
            </w:pPr>
            <w:r w:rsidRPr="00D66E17">
              <w:rPr>
                <w:rFonts w:ascii="Times New Roman" w:hAnsi="Times New Roman"/>
              </w:rPr>
              <w:t>Bowel problems</w:t>
            </w:r>
          </w:p>
        </w:tc>
        <w:tc>
          <w:tcPr>
            <w:tcW w:w="1803" w:type="dxa"/>
            <w:hideMark/>
          </w:tcPr>
          <w:p w:rsidR="00CD0BCC" w:rsidRPr="00D66E17" w:rsidRDefault="00CD0BCC" w:rsidP="00CD0BCC">
            <w:pPr>
              <w:ind w:left="142"/>
              <w:jc w:val="center"/>
              <w:rPr>
                <w:rFonts w:ascii="Times New Roman" w:hAnsi="Times New Roman"/>
              </w:rPr>
            </w:pPr>
            <w:r w:rsidRPr="00D66E17">
              <w:rPr>
                <w:rFonts w:ascii="Times New Roman" w:hAnsi="Times New Roman"/>
              </w:rPr>
              <w:t>0.4 (0.1–1.1)</w:t>
            </w:r>
          </w:p>
        </w:tc>
        <w:tc>
          <w:tcPr>
            <w:tcW w:w="1803" w:type="dxa"/>
            <w:hideMark/>
          </w:tcPr>
          <w:p w:rsidR="00CD0BCC" w:rsidRPr="00D66E17" w:rsidRDefault="00CD0BCC" w:rsidP="00CD0BCC">
            <w:pPr>
              <w:ind w:left="142"/>
              <w:jc w:val="center"/>
              <w:rPr>
                <w:rFonts w:ascii="Times New Roman" w:hAnsi="Times New Roman"/>
              </w:rPr>
            </w:pPr>
            <w:r w:rsidRPr="00D66E17">
              <w:rPr>
                <w:rFonts w:ascii="Times New Roman" w:hAnsi="Times New Roman"/>
              </w:rPr>
              <w:t>0.9 (0.5–1.5)</w:t>
            </w:r>
          </w:p>
        </w:tc>
        <w:tc>
          <w:tcPr>
            <w:tcW w:w="1803" w:type="dxa"/>
            <w:hideMark/>
          </w:tcPr>
          <w:p w:rsidR="00CD0BCC" w:rsidRPr="00D66E17" w:rsidRDefault="00CD0BCC" w:rsidP="00CD0BCC">
            <w:pPr>
              <w:ind w:left="142"/>
              <w:jc w:val="center"/>
              <w:rPr>
                <w:rFonts w:ascii="Times New Roman" w:hAnsi="Times New Roman"/>
              </w:rPr>
            </w:pPr>
            <w:r w:rsidRPr="00D66E17">
              <w:rPr>
                <w:rFonts w:ascii="Times New Roman" w:hAnsi="Times New Roman"/>
              </w:rPr>
              <w:t>2.0 (1.4–2.8)</w:t>
            </w:r>
          </w:p>
        </w:tc>
        <w:tc>
          <w:tcPr>
            <w:tcW w:w="1804" w:type="dxa"/>
            <w:hideMark/>
          </w:tcPr>
          <w:p w:rsidR="00CD0BCC" w:rsidRPr="00D66E17" w:rsidRDefault="00CD0BCC" w:rsidP="00CD0BCC">
            <w:pPr>
              <w:ind w:left="142"/>
              <w:jc w:val="center"/>
              <w:rPr>
                <w:rFonts w:ascii="Times New Roman" w:hAnsi="Times New Roman"/>
              </w:rPr>
            </w:pPr>
            <w:r w:rsidRPr="00D66E17">
              <w:rPr>
                <w:rFonts w:ascii="Times New Roman" w:hAnsi="Times New Roman"/>
              </w:rPr>
              <w:t>3.7 (2.9–4.8)</w:t>
            </w:r>
          </w:p>
        </w:tc>
      </w:tr>
      <w:tr w:rsidR="00CD0BCC" w:rsidRPr="00D66E17" w:rsidTr="00CD0BCC">
        <w:tc>
          <w:tcPr>
            <w:tcW w:w="1803" w:type="dxa"/>
            <w:hideMark/>
          </w:tcPr>
          <w:p w:rsidR="00CD0BCC" w:rsidRPr="00D66E17" w:rsidRDefault="00CD0BCC" w:rsidP="00CD0BCC">
            <w:pPr>
              <w:ind w:left="142"/>
              <w:rPr>
                <w:rFonts w:ascii="Times New Roman" w:hAnsi="Times New Roman"/>
              </w:rPr>
            </w:pPr>
            <w:r w:rsidRPr="00D66E17">
              <w:rPr>
                <w:rFonts w:ascii="Times New Roman" w:hAnsi="Times New Roman"/>
              </w:rPr>
              <w:t>Spasticity</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20.8 (18.1–23.8)</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24.5 (22.4–26.8)</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30.7 (28.5–33.0)</w:t>
            </w:r>
          </w:p>
        </w:tc>
        <w:tc>
          <w:tcPr>
            <w:tcW w:w="1804"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35.8 (33.4–38.3)</w:t>
            </w:r>
          </w:p>
        </w:tc>
      </w:tr>
      <w:tr w:rsidR="00CD0BCC" w:rsidRPr="00D66E17" w:rsidTr="00CD0BCC">
        <w:tc>
          <w:tcPr>
            <w:tcW w:w="1803" w:type="dxa"/>
            <w:hideMark/>
          </w:tcPr>
          <w:p w:rsidR="00CD0BCC" w:rsidRPr="00D66E17" w:rsidRDefault="00CD0BCC" w:rsidP="00CD0BCC">
            <w:pPr>
              <w:ind w:left="142"/>
              <w:rPr>
                <w:rFonts w:ascii="Times New Roman" w:hAnsi="Times New Roman"/>
              </w:rPr>
            </w:pPr>
            <w:r w:rsidRPr="00D66E17">
              <w:rPr>
                <w:rFonts w:ascii="Times New Roman" w:hAnsi="Times New Roman"/>
              </w:rPr>
              <w:t>Walking impairment</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1.0 (0.5–2.0)</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1.2 (0.7–1.9)</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4.0 (3.1–5.1)</w:t>
            </w:r>
          </w:p>
        </w:tc>
        <w:tc>
          <w:tcPr>
            <w:tcW w:w="1804"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6.9 (5.7–8.3)</w:t>
            </w:r>
          </w:p>
        </w:tc>
      </w:tr>
      <w:tr w:rsidR="00CD0BCC" w:rsidRPr="00D66E17" w:rsidTr="00CD0BCC">
        <w:tc>
          <w:tcPr>
            <w:tcW w:w="1803" w:type="dxa"/>
            <w:hideMark/>
          </w:tcPr>
          <w:p w:rsidR="00CD0BCC" w:rsidRPr="00D66E17" w:rsidRDefault="00CD0BCC" w:rsidP="00CD0BCC">
            <w:pPr>
              <w:ind w:left="142"/>
              <w:rPr>
                <w:rFonts w:ascii="Times New Roman" w:hAnsi="Times New Roman"/>
              </w:rPr>
            </w:pPr>
            <w:r w:rsidRPr="00D66E17">
              <w:rPr>
                <w:rFonts w:ascii="Times New Roman" w:hAnsi="Times New Roman"/>
              </w:rPr>
              <w:t>Contracture at joints</w:t>
            </w:r>
          </w:p>
        </w:tc>
        <w:tc>
          <w:tcPr>
            <w:tcW w:w="1803" w:type="dxa"/>
            <w:hideMark/>
          </w:tcPr>
          <w:p w:rsidR="00CD0BCC" w:rsidRPr="00D66E17" w:rsidRDefault="00CD0BCC" w:rsidP="00CD0BCC">
            <w:pPr>
              <w:ind w:left="142"/>
              <w:jc w:val="center"/>
              <w:rPr>
                <w:rFonts w:ascii="Times New Roman" w:hAnsi="Times New Roman"/>
              </w:rPr>
            </w:pPr>
            <w:r w:rsidRPr="00D66E17">
              <w:rPr>
                <w:rFonts w:ascii="Times New Roman" w:hAnsi="Times New Roman"/>
              </w:rPr>
              <w:t>0.1 (0.0–0.7)</w:t>
            </w:r>
          </w:p>
        </w:tc>
        <w:tc>
          <w:tcPr>
            <w:tcW w:w="1803" w:type="dxa"/>
            <w:hideMark/>
          </w:tcPr>
          <w:p w:rsidR="00CD0BCC" w:rsidRPr="00D66E17" w:rsidRDefault="00CD0BCC" w:rsidP="00CD0BCC">
            <w:pPr>
              <w:ind w:left="142"/>
              <w:jc w:val="center"/>
              <w:rPr>
                <w:rFonts w:ascii="Times New Roman" w:hAnsi="Times New Roman"/>
              </w:rPr>
            </w:pPr>
            <w:r w:rsidRPr="00D66E17">
              <w:rPr>
                <w:rFonts w:ascii="Times New Roman" w:hAnsi="Times New Roman"/>
              </w:rPr>
              <w:t>0.5 (0.3–1.1)</w:t>
            </w:r>
          </w:p>
        </w:tc>
        <w:tc>
          <w:tcPr>
            <w:tcW w:w="1803" w:type="dxa"/>
            <w:hideMark/>
          </w:tcPr>
          <w:p w:rsidR="00CD0BCC" w:rsidRPr="00D66E17" w:rsidRDefault="00CD0BCC" w:rsidP="00CD0BCC">
            <w:pPr>
              <w:ind w:left="142"/>
              <w:jc w:val="center"/>
              <w:rPr>
                <w:rFonts w:ascii="Times New Roman" w:hAnsi="Times New Roman"/>
              </w:rPr>
            </w:pPr>
            <w:r w:rsidRPr="00D66E17">
              <w:rPr>
                <w:rFonts w:ascii="Times New Roman" w:hAnsi="Times New Roman"/>
              </w:rPr>
              <w:t>1.0 (0.5–2.0)</w:t>
            </w:r>
          </w:p>
        </w:tc>
        <w:tc>
          <w:tcPr>
            <w:tcW w:w="1804" w:type="dxa"/>
            <w:hideMark/>
          </w:tcPr>
          <w:p w:rsidR="00CD0BCC" w:rsidRPr="00D66E17" w:rsidRDefault="00CD0BCC" w:rsidP="00CD0BCC">
            <w:pPr>
              <w:ind w:left="142"/>
              <w:jc w:val="center"/>
              <w:rPr>
                <w:rFonts w:ascii="Times New Roman" w:hAnsi="Times New Roman"/>
              </w:rPr>
            </w:pPr>
            <w:r w:rsidRPr="00D66E17">
              <w:rPr>
                <w:rFonts w:ascii="Times New Roman" w:hAnsi="Times New Roman"/>
              </w:rPr>
              <w:t>1.1 (0.7–1.8)</w:t>
            </w:r>
          </w:p>
        </w:tc>
      </w:tr>
      <w:tr w:rsidR="00CD0BCC" w:rsidRPr="00D66E17" w:rsidTr="00CD0BCC">
        <w:tc>
          <w:tcPr>
            <w:tcW w:w="1803" w:type="dxa"/>
            <w:hideMark/>
          </w:tcPr>
          <w:p w:rsidR="00CD0BCC" w:rsidRPr="00D66E17" w:rsidRDefault="00CD0BCC" w:rsidP="00CD0BCC">
            <w:pPr>
              <w:ind w:left="142"/>
              <w:rPr>
                <w:rFonts w:ascii="Times New Roman" w:hAnsi="Times New Roman"/>
              </w:rPr>
            </w:pPr>
            <w:r w:rsidRPr="00D66E17">
              <w:rPr>
                <w:rFonts w:ascii="Times New Roman" w:hAnsi="Times New Roman"/>
              </w:rPr>
              <w:t>Pain</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21.2 (18.5–24.4)</w:t>
            </w:r>
          </w:p>
        </w:tc>
        <w:tc>
          <w:tcPr>
            <w:tcW w:w="1803" w:type="dxa"/>
            <w:hideMark/>
          </w:tcPr>
          <w:p w:rsidR="00CD0BCC" w:rsidRPr="00D66E17" w:rsidRDefault="00CD0BCC" w:rsidP="00CD0BCC">
            <w:pPr>
              <w:jc w:val="center"/>
              <w:rPr>
                <w:rFonts w:ascii="Times New Roman" w:eastAsia="Calibri" w:hAnsi="Times New Roman"/>
                <w:lang w:bidi="he-IL"/>
              </w:rPr>
            </w:pPr>
            <w:r w:rsidRPr="00D66E17">
              <w:rPr>
                <w:rFonts w:ascii="Times New Roman" w:eastAsia="Calibri" w:hAnsi="Times New Roman"/>
              </w:rPr>
              <w:t>25.8 (23.6</w:t>
            </w:r>
            <w:r w:rsidRPr="00D66E17">
              <w:rPr>
                <w:rFonts w:ascii="Times New Roman" w:eastAsia="Calibri" w:hAnsi="Times New Roman"/>
                <w:lang w:bidi="he-IL"/>
              </w:rPr>
              <w:t>–28.1)</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28.8 (26.7–31.1)</w:t>
            </w:r>
          </w:p>
        </w:tc>
        <w:tc>
          <w:tcPr>
            <w:tcW w:w="1804"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31.0 (28.7–33.4)</w:t>
            </w:r>
          </w:p>
        </w:tc>
      </w:tr>
      <w:tr w:rsidR="00CD0BCC" w:rsidRPr="00D66E17" w:rsidTr="00CD0BCC">
        <w:tc>
          <w:tcPr>
            <w:tcW w:w="1803" w:type="dxa"/>
            <w:hideMark/>
          </w:tcPr>
          <w:p w:rsidR="00CD0BCC" w:rsidRPr="00D66E17" w:rsidRDefault="00CD0BCC" w:rsidP="00CD0BCC">
            <w:pPr>
              <w:ind w:left="142"/>
              <w:rPr>
                <w:rFonts w:ascii="Times New Roman" w:hAnsi="Times New Roman"/>
              </w:rPr>
            </w:pPr>
            <w:r w:rsidRPr="00D66E17">
              <w:rPr>
                <w:rFonts w:ascii="Times New Roman" w:hAnsi="Times New Roman"/>
              </w:rPr>
              <w:t>Emotionalism</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17.9 (15.3–20.7)</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23.0 (20.9–25.3)</w:t>
            </w:r>
          </w:p>
        </w:tc>
        <w:tc>
          <w:tcPr>
            <w:tcW w:w="1803"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23.8 (21.8–25.9)</w:t>
            </w:r>
          </w:p>
        </w:tc>
        <w:tc>
          <w:tcPr>
            <w:tcW w:w="1804" w:type="dxa"/>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26.6 (24.4–28.9)</w:t>
            </w:r>
          </w:p>
        </w:tc>
      </w:tr>
      <w:tr w:rsidR="00CD0BCC" w:rsidRPr="00D66E17" w:rsidTr="00CD0BCC">
        <w:tc>
          <w:tcPr>
            <w:tcW w:w="1803" w:type="dxa"/>
            <w:tcBorders>
              <w:top w:val="nil"/>
              <w:left w:val="nil"/>
              <w:bottom w:val="single" w:sz="4" w:space="0" w:color="auto"/>
              <w:right w:val="nil"/>
            </w:tcBorders>
            <w:hideMark/>
          </w:tcPr>
          <w:p w:rsidR="00CD0BCC" w:rsidRPr="00D66E17" w:rsidRDefault="00CD0BCC" w:rsidP="00CD0BCC">
            <w:pPr>
              <w:ind w:left="142"/>
              <w:rPr>
                <w:rFonts w:ascii="Times New Roman" w:hAnsi="Times New Roman"/>
              </w:rPr>
            </w:pPr>
            <w:r w:rsidRPr="00D66E17">
              <w:rPr>
                <w:rFonts w:ascii="Times New Roman" w:hAnsi="Times New Roman"/>
              </w:rPr>
              <w:t>Depression</w:t>
            </w:r>
          </w:p>
        </w:tc>
        <w:tc>
          <w:tcPr>
            <w:tcW w:w="1803" w:type="dxa"/>
            <w:tcBorders>
              <w:top w:val="nil"/>
              <w:left w:val="nil"/>
              <w:bottom w:val="single" w:sz="4" w:space="0" w:color="auto"/>
              <w:right w:val="nil"/>
            </w:tcBorders>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28.7 (25.6–32.0)</w:t>
            </w:r>
          </w:p>
        </w:tc>
        <w:tc>
          <w:tcPr>
            <w:tcW w:w="1803" w:type="dxa"/>
            <w:tcBorders>
              <w:top w:val="nil"/>
              <w:left w:val="nil"/>
              <w:bottom w:val="single" w:sz="4" w:space="0" w:color="auto"/>
              <w:right w:val="nil"/>
            </w:tcBorders>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37.7 (35.5–40.2)</w:t>
            </w:r>
          </w:p>
        </w:tc>
        <w:tc>
          <w:tcPr>
            <w:tcW w:w="1803" w:type="dxa"/>
            <w:tcBorders>
              <w:top w:val="nil"/>
              <w:left w:val="nil"/>
              <w:bottom w:val="single" w:sz="4" w:space="0" w:color="auto"/>
              <w:right w:val="nil"/>
            </w:tcBorders>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40.0 (37.7–42.4)</w:t>
            </w:r>
          </w:p>
        </w:tc>
        <w:tc>
          <w:tcPr>
            <w:tcW w:w="1804" w:type="dxa"/>
            <w:tcBorders>
              <w:top w:val="nil"/>
              <w:left w:val="nil"/>
              <w:bottom w:val="single" w:sz="4" w:space="0" w:color="auto"/>
              <w:right w:val="nil"/>
            </w:tcBorders>
            <w:hideMark/>
          </w:tcPr>
          <w:p w:rsidR="00CD0BCC" w:rsidRPr="00D66E17" w:rsidRDefault="00CD0BCC" w:rsidP="00CD0BCC">
            <w:pPr>
              <w:jc w:val="center"/>
              <w:rPr>
                <w:rFonts w:ascii="Times New Roman" w:eastAsia="Calibri" w:hAnsi="Times New Roman"/>
              </w:rPr>
            </w:pPr>
            <w:r w:rsidRPr="00D66E17">
              <w:rPr>
                <w:rFonts w:ascii="Times New Roman" w:eastAsia="Calibri" w:hAnsi="Times New Roman"/>
              </w:rPr>
              <w:t>44.7 (42.2–47.3)</w:t>
            </w:r>
          </w:p>
        </w:tc>
      </w:tr>
    </w:tbl>
    <w:p w:rsidR="001D7FF7" w:rsidRPr="00D66E17" w:rsidRDefault="001D7FF7" w:rsidP="00D66E17">
      <w:pPr>
        <w:spacing w:before="120" w:after="240" w:line="240" w:lineRule="auto"/>
        <w:rPr>
          <w:rFonts w:ascii="Times New Roman" w:hAnsi="Times New Roman" w:cs="Times New Roman"/>
        </w:rPr>
      </w:pPr>
      <w:r w:rsidRPr="00D66E17">
        <w:rPr>
          <w:rFonts w:ascii="Times New Roman" w:hAnsi="Times New Roman" w:cs="Times New Roman"/>
        </w:rPr>
        <w:t xml:space="preserve">CI, confidence interval; COPD, chronic obstructive pulmonary disorder; </w:t>
      </w:r>
      <w:proofErr w:type="spellStart"/>
      <w:r w:rsidRPr="00D66E17">
        <w:rPr>
          <w:rFonts w:ascii="Times New Roman" w:hAnsi="Times New Roman" w:cs="Times New Roman"/>
        </w:rPr>
        <w:t>sc</w:t>
      </w:r>
      <w:proofErr w:type="spellEnd"/>
      <w:r w:rsidRPr="00D66E17">
        <w:rPr>
          <w:rFonts w:ascii="Times New Roman" w:hAnsi="Times New Roman" w:cs="Times New Roman"/>
        </w:rPr>
        <w:t xml:space="preserve"> IFN β-1a; subcutaneous interferon </w:t>
      </w:r>
      <w:r w:rsidR="00D66E17">
        <w:rPr>
          <w:rFonts w:ascii="Times New Roman" w:hAnsi="Times New Roman" w:cs="Times New Roman"/>
        </w:rPr>
        <w:t>beta</w:t>
      </w:r>
      <w:r w:rsidRPr="00D66E17">
        <w:rPr>
          <w:rFonts w:ascii="Times New Roman" w:hAnsi="Times New Roman" w:cs="Times New Roman"/>
        </w:rPr>
        <w:t>-1a.</w:t>
      </w:r>
    </w:p>
    <w:p w:rsidR="001D7FF7" w:rsidRPr="00D66E17" w:rsidRDefault="001D7FF7" w:rsidP="001D7FF7">
      <w:pPr>
        <w:rPr>
          <w:rFonts w:ascii="Times New Roman" w:eastAsia="Times New Roman" w:hAnsi="Times New Roman" w:cs="Times New Roman"/>
          <w:b/>
          <w:color w:val="000000"/>
        </w:rPr>
      </w:pPr>
      <w:r w:rsidRPr="00D66E17">
        <w:rPr>
          <w:rFonts w:ascii="Times New Roman" w:eastAsia="Times New Roman" w:hAnsi="Times New Roman" w:cs="Times New Roman"/>
          <w:b/>
          <w:color w:val="000000"/>
        </w:rPr>
        <w:br w:type="page"/>
      </w:r>
    </w:p>
    <w:p w:rsidR="001D7FF7" w:rsidRPr="00D66E17" w:rsidRDefault="001D7FF7" w:rsidP="00D66E17">
      <w:pPr>
        <w:spacing w:before="120" w:after="240" w:line="240" w:lineRule="auto"/>
        <w:rPr>
          <w:rFonts w:ascii="Times New Roman" w:hAnsi="Times New Roman" w:cs="Times New Roman"/>
        </w:rPr>
      </w:pPr>
      <w:r w:rsidRPr="00D66E17">
        <w:rPr>
          <w:rFonts w:ascii="Times New Roman" w:hAnsi="Times New Roman" w:cs="Times New Roman"/>
        </w:rPr>
        <w:lastRenderedPageBreak/>
        <w:t>Supplementary Table S2. Proportion of patients who switched treatment, and the second-line treatment received</w:t>
      </w:r>
    </w:p>
    <w:tbl>
      <w:tblPr>
        <w:tblW w:w="9362" w:type="dxa"/>
        <w:tblLayout w:type="fixed"/>
        <w:tblLook w:val="04A0" w:firstRow="1" w:lastRow="0" w:firstColumn="1" w:lastColumn="0" w:noHBand="0" w:noVBand="1"/>
      </w:tblPr>
      <w:tblGrid>
        <w:gridCol w:w="3544"/>
        <w:gridCol w:w="1454"/>
        <w:gridCol w:w="1455"/>
        <w:gridCol w:w="1454"/>
        <w:gridCol w:w="1455"/>
      </w:tblGrid>
      <w:tr w:rsidR="001D7FF7" w:rsidRPr="00D66E17" w:rsidTr="008538C5">
        <w:trPr>
          <w:trHeight w:val="300"/>
        </w:trPr>
        <w:tc>
          <w:tcPr>
            <w:tcW w:w="3544" w:type="dxa"/>
            <w:tcBorders>
              <w:top w:val="single" w:sz="4" w:space="0" w:color="auto"/>
              <w:left w:val="nil"/>
              <w:right w:val="nil"/>
            </w:tcBorders>
            <w:shd w:val="clear" w:color="auto" w:fill="auto"/>
            <w:noWrap/>
            <w:vAlign w:val="bottom"/>
          </w:tcPr>
          <w:p w:rsidR="001D7FF7" w:rsidRPr="00D66E17" w:rsidRDefault="001D7FF7" w:rsidP="001D7FF7">
            <w:pPr>
              <w:spacing w:after="0" w:line="240" w:lineRule="auto"/>
              <w:rPr>
                <w:rFonts w:ascii="Times New Roman" w:hAnsi="Times New Roman" w:cs="Times New Roman"/>
                <w:b/>
                <w:sz w:val="20"/>
                <w:szCs w:val="20"/>
                <w:lang w:val="en-US"/>
              </w:rPr>
            </w:pPr>
          </w:p>
        </w:tc>
        <w:tc>
          <w:tcPr>
            <w:tcW w:w="5818" w:type="dxa"/>
            <w:gridSpan w:val="4"/>
            <w:tcBorders>
              <w:top w:val="single" w:sz="4" w:space="0" w:color="auto"/>
              <w:left w:val="nil"/>
              <w:bottom w:val="single" w:sz="4" w:space="0" w:color="auto"/>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b/>
                <w:sz w:val="20"/>
                <w:szCs w:val="20"/>
                <w:lang w:val="de-DE"/>
              </w:rPr>
            </w:pPr>
            <w:r w:rsidRPr="00D66E17">
              <w:rPr>
                <w:rFonts w:ascii="Times New Roman" w:hAnsi="Times New Roman" w:cs="Times New Roman"/>
                <w:b/>
                <w:sz w:val="20"/>
                <w:szCs w:val="20"/>
                <w:lang w:val="de-DE"/>
              </w:rPr>
              <w:t>Age group, years</w:t>
            </w:r>
          </w:p>
        </w:tc>
      </w:tr>
      <w:tr w:rsidR="001D7FF7" w:rsidRPr="00D66E17" w:rsidTr="008538C5">
        <w:trPr>
          <w:trHeight w:val="300"/>
        </w:trPr>
        <w:tc>
          <w:tcPr>
            <w:tcW w:w="3544" w:type="dxa"/>
            <w:tcBorders>
              <w:left w:val="nil"/>
              <w:bottom w:val="single" w:sz="4" w:space="0" w:color="auto"/>
              <w:right w:val="nil"/>
            </w:tcBorders>
            <w:shd w:val="clear" w:color="auto" w:fill="auto"/>
            <w:noWrap/>
            <w:vAlign w:val="bottom"/>
            <w:hideMark/>
          </w:tcPr>
          <w:p w:rsidR="001D7FF7" w:rsidRPr="00D66E17" w:rsidRDefault="001D7FF7" w:rsidP="001D7FF7">
            <w:pPr>
              <w:spacing w:after="0" w:line="240" w:lineRule="auto"/>
              <w:rPr>
                <w:rFonts w:ascii="Times New Roman" w:hAnsi="Times New Roman" w:cs="Times New Roman"/>
                <w:b/>
                <w:sz w:val="20"/>
                <w:szCs w:val="20"/>
                <w:lang w:val="de-DE"/>
              </w:rPr>
            </w:pPr>
          </w:p>
        </w:tc>
        <w:tc>
          <w:tcPr>
            <w:tcW w:w="1454" w:type="dxa"/>
            <w:tcBorders>
              <w:top w:val="single" w:sz="4" w:space="0" w:color="auto"/>
              <w:left w:val="nil"/>
              <w:bottom w:val="single" w:sz="4" w:space="0" w:color="auto"/>
              <w:right w:val="nil"/>
            </w:tcBorders>
            <w:shd w:val="clear" w:color="auto" w:fill="auto"/>
            <w:noWrap/>
            <w:vAlign w:val="center"/>
            <w:hideMark/>
          </w:tcPr>
          <w:p w:rsidR="001D7FF7" w:rsidRPr="00D66E17" w:rsidRDefault="001D7FF7" w:rsidP="001D7FF7">
            <w:pPr>
              <w:spacing w:after="0" w:line="240" w:lineRule="auto"/>
              <w:jc w:val="center"/>
              <w:rPr>
                <w:rFonts w:ascii="Times New Roman" w:hAnsi="Times New Roman" w:cs="Times New Roman"/>
                <w:b/>
                <w:sz w:val="20"/>
                <w:szCs w:val="20"/>
              </w:rPr>
            </w:pPr>
            <w:r w:rsidRPr="00D66E17">
              <w:rPr>
                <w:rFonts w:ascii="Times New Roman" w:hAnsi="Times New Roman" w:cs="Times New Roman"/>
                <w:b/>
                <w:sz w:val="20"/>
                <w:szCs w:val="20"/>
              </w:rPr>
              <w:t>18–30</w:t>
            </w:r>
          </w:p>
          <w:p w:rsidR="001D7FF7" w:rsidRPr="00D66E17" w:rsidRDefault="001D7FF7" w:rsidP="001D7FF7">
            <w:pPr>
              <w:spacing w:after="0" w:line="240" w:lineRule="auto"/>
              <w:jc w:val="center"/>
              <w:rPr>
                <w:rFonts w:ascii="Times New Roman" w:hAnsi="Times New Roman" w:cs="Times New Roman"/>
                <w:b/>
                <w:sz w:val="20"/>
                <w:szCs w:val="20"/>
                <w:lang w:val="de-DE"/>
              </w:rPr>
            </w:pPr>
            <w:r w:rsidRPr="00D66E17">
              <w:rPr>
                <w:rFonts w:ascii="Times New Roman" w:hAnsi="Times New Roman" w:cs="Times New Roman"/>
                <w:b/>
                <w:sz w:val="20"/>
                <w:szCs w:val="20"/>
              </w:rPr>
              <w:t>(N=773)</w:t>
            </w:r>
          </w:p>
        </w:tc>
        <w:tc>
          <w:tcPr>
            <w:tcW w:w="1455" w:type="dxa"/>
            <w:tcBorders>
              <w:top w:val="single" w:sz="4" w:space="0" w:color="auto"/>
              <w:left w:val="nil"/>
              <w:bottom w:val="single" w:sz="4" w:space="0" w:color="auto"/>
              <w:right w:val="nil"/>
            </w:tcBorders>
            <w:shd w:val="clear" w:color="auto" w:fill="auto"/>
            <w:noWrap/>
            <w:vAlign w:val="center"/>
            <w:hideMark/>
          </w:tcPr>
          <w:p w:rsidR="001D7FF7" w:rsidRPr="00D66E17" w:rsidRDefault="001D7FF7" w:rsidP="001D7FF7">
            <w:pPr>
              <w:spacing w:after="0" w:line="240" w:lineRule="auto"/>
              <w:jc w:val="center"/>
              <w:rPr>
                <w:rFonts w:ascii="Times New Roman" w:hAnsi="Times New Roman" w:cs="Times New Roman"/>
                <w:b/>
                <w:sz w:val="20"/>
                <w:szCs w:val="20"/>
              </w:rPr>
            </w:pPr>
            <w:r w:rsidRPr="00D66E17">
              <w:rPr>
                <w:rFonts w:ascii="Times New Roman" w:hAnsi="Times New Roman" w:cs="Times New Roman"/>
                <w:b/>
                <w:sz w:val="20"/>
                <w:szCs w:val="20"/>
              </w:rPr>
              <w:t>31–40</w:t>
            </w:r>
          </w:p>
          <w:p w:rsidR="001D7FF7" w:rsidRPr="00D66E17" w:rsidRDefault="001D7FF7" w:rsidP="001D7FF7">
            <w:pPr>
              <w:spacing w:after="0" w:line="240" w:lineRule="auto"/>
              <w:jc w:val="center"/>
              <w:rPr>
                <w:rFonts w:ascii="Times New Roman" w:hAnsi="Times New Roman" w:cs="Times New Roman"/>
                <w:b/>
                <w:sz w:val="20"/>
                <w:szCs w:val="20"/>
                <w:lang w:val="de-DE"/>
              </w:rPr>
            </w:pPr>
            <w:r w:rsidRPr="00D66E17">
              <w:rPr>
                <w:rFonts w:ascii="Times New Roman" w:hAnsi="Times New Roman" w:cs="Times New Roman"/>
                <w:b/>
                <w:sz w:val="20"/>
                <w:szCs w:val="20"/>
              </w:rPr>
              <w:t>(N=1468)</w:t>
            </w:r>
          </w:p>
        </w:tc>
        <w:tc>
          <w:tcPr>
            <w:tcW w:w="1454" w:type="dxa"/>
            <w:tcBorders>
              <w:top w:val="single" w:sz="4" w:space="0" w:color="auto"/>
              <w:left w:val="nil"/>
              <w:bottom w:val="single" w:sz="4" w:space="0" w:color="auto"/>
              <w:right w:val="nil"/>
            </w:tcBorders>
            <w:shd w:val="clear" w:color="auto" w:fill="auto"/>
            <w:noWrap/>
            <w:vAlign w:val="center"/>
            <w:hideMark/>
          </w:tcPr>
          <w:p w:rsidR="001D7FF7" w:rsidRPr="00D66E17" w:rsidRDefault="001D7FF7" w:rsidP="001D7FF7">
            <w:pPr>
              <w:spacing w:after="0" w:line="240" w:lineRule="auto"/>
              <w:jc w:val="center"/>
              <w:rPr>
                <w:rFonts w:ascii="Times New Roman" w:hAnsi="Times New Roman" w:cs="Times New Roman"/>
                <w:b/>
                <w:sz w:val="20"/>
                <w:szCs w:val="20"/>
              </w:rPr>
            </w:pPr>
            <w:r w:rsidRPr="00D66E17">
              <w:rPr>
                <w:rFonts w:ascii="Times New Roman" w:hAnsi="Times New Roman" w:cs="Times New Roman"/>
                <w:b/>
                <w:sz w:val="20"/>
                <w:szCs w:val="20"/>
              </w:rPr>
              <w:t>41–50</w:t>
            </w:r>
          </w:p>
          <w:p w:rsidR="001D7FF7" w:rsidRPr="00D66E17" w:rsidRDefault="001D7FF7" w:rsidP="001D7FF7">
            <w:pPr>
              <w:spacing w:after="0" w:line="240" w:lineRule="auto"/>
              <w:jc w:val="center"/>
              <w:rPr>
                <w:rFonts w:ascii="Times New Roman" w:hAnsi="Times New Roman" w:cs="Times New Roman"/>
                <w:b/>
                <w:sz w:val="20"/>
                <w:szCs w:val="20"/>
                <w:lang w:val="de-DE"/>
              </w:rPr>
            </w:pPr>
            <w:r w:rsidRPr="00D66E17">
              <w:rPr>
                <w:rFonts w:ascii="Times New Roman" w:hAnsi="Times New Roman" w:cs="Times New Roman"/>
                <w:b/>
                <w:sz w:val="20"/>
                <w:szCs w:val="20"/>
              </w:rPr>
              <w:t>(N=1630)</w:t>
            </w:r>
          </w:p>
        </w:tc>
        <w:tc>
          <w:tcPr>
            <w:tcW w:w="1455" w:type="dxa"/>
            <w:tcBorders>
              <w:top w:val="single" w:sz="4" w:space="0" w:color="auto"/>
              <w:left w:val="nil"/>
              <w:bottom w:val="single" w:sz="4" w:space="0" w:color="auto"/>
              <w:right w:val="nil"/>
            </w:tcBorders>
            <w:shd w:val="clear" w:color="auto" w:fill="auto"/>
            <w:noWrap/>
            <w:vAlign w:val="center"/>
            <w:hideMark/>
          </w:tcPr>
          <w:p w:rsidR="001D7FF7" w:rsidRPr="00D66E17" w:rsidRDefault="001D7FF7" w:rsidP="001D7FF7">
            <w:pPr>
              <w:spacing w:after="0" w:line="240" w:lineRule="auto"/>
              <w:jc w:val="center"/>
              <w:rPr>
                <w:rFonts w:ascii="Times New Roman" w:hAnsi="Times New Roman" w:cs="Times New Roman"/>
                <w:b/>
                <w:sz w:val="20"/>
                <w:szCs w:val="20"/>
              </w:rPr>
            </w:pPr>
            <w:r w:rsidRPr="00D66E17">
              <w:rPr>
                <w:rFonts w:ascii="Times New Roman" w:hAnsi="Times New Roman" w:cs="Times New Roman"/>
                <w:b/>
                <w:sz w:val="20"/>
                <w:szCs w:val="20"/>
              </w:rPr>
              <w:t>≥51</w:t>
            </w:r>
          </w:p>
          <w:p w:rsidR="001D7FF7" w:rsidRPr="00D66E17" w:rsidRDefault="001D7FF7" w:rsidP="001D7FF7">
            <w:pPr>
              <w:spacing w:after="0" w:line="240" w:lineRule="auto"/>
              <w:jc w:val="center"/>
              <w:rPr>
                <w:rFonts w:ascii="Times New Roman" w:hAnsi="Times New Roman" w:cs="Times New Roman"/>
                <w:b/>
                <w:sz w:val="20"/>
                <w:szCs w:val="20"/>
                <w:lang w:val="de-DE"/>
              </w:rPr>
            </w:pPr>
            <w:r w:rsidRPr="00D66E17">
              <w:rPr>
                <w:rFonts w:ascii="Times New Roman" w:hAnsi="Times New Roman" w:cs="Times New Roman"/>
                <w:b/>
                <w:sz w:val="20"/>
                <w:szCs w:val="20"/>
              </w:rPr>
              <w:t>(N=1469)</w:t>
            </w:r>
          </w:p>
        </w:tc>
      </w:tr>
      <w:tr w:rsidR="001D7FF7" w:rsidRPr="00D66E17" w:rsidTr="008538C5">
        <w:trPr>
          <w:trHeight w:val="300"/>
        </w:trPr>
        <w:tc>
          <w:tcPr>
            <w:tcW w:w="3544" w:type="dxa"/>
            <w:tcBorders>
              <w:left w:val="nil"/>
              <w:bottom w:val="nil"/>
              <w:right w:val="nil"/>
            </w:tcBorders>
            <w:shd w:val="clear" w:color="auto" w:fill="auto"/>
            <w:noWrap/>
            <w:vAlign w:val="bottom"/>
          </w:tcPr>
          <w:p w:rsidR="001D7FF7" w:rsidRPr="00D66E17" w:rsidRDefault="001D7FF7" w:rsidP="001D7FF7">
            <w:pPr>
              <w:spacing w:after="0" w:line="240" w:lineRule="auto"/>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Second-line treatment, n (%)</w:t>
            </w:r>
          </w:p>
        </w:tc>
        <w:tc>
          <w:tcPr>
            <w:tcW w:w="1454" w:type="dxa"/>
            <w:tcBorders>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p>
        </w:tc>
        <w:tc>
          <w:tcPr>
            <w:tcW w:w="1455" w:type="dxa"/>
            <w:tcBorders>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p>
        </w:tc>
        <w:tc>
          <w:tcPr>
            <w:tcW w:w="1454" w:type="dxa"/>
            <w:tcBorders>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p>
        </w:tc>
        <w:tc>
          <w:tcPr>
            <w:tcW w:w="1455" w:type="dxa"/>
            <w:tcBorders>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p>
        </w:tc>
      </w:tr>
      <w:tr w:rsidR="001D7FF7" w:rsidRPr="00D66E17" w:rsidTr="008538C5">
        <w:trPr>
          <w:trHeight w:val="300"/>
        </w:trPr>
        <w:tc>
          <w:tcPr>
            <w:tcW w:w="3544" w:type="dxa"/>
            <w:tcBorders>
              <w:left w:val="nil"/>
              <w:bottom w:val="nil"/>
              <w:right w:val="nil"/>
            </w:tcBorders>
            <w:shd w:val="clear" w:color="auto" w:fill="auto"/>
            <w:noWrap/>
            <w:vAlign w:val="bottom"/>
            <w:hideMark/>
          </w:tcPr>
          <w:p w:rsidR="001D7FF7" w:rsidRPr="00D66E17" w:rsidRDefault="001D7FF7" w:rsidP="001D7FF7">
            <w:pPr>
              <w:spacing w:after="0" w:line="240" w:lineRule="auto"/>
              <w:ind w:left="142"/>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Aubagio</w:t>
            </w:r>
            <w:r w:rsidRPr="00D66E17">
              <w:rPr>
                <w:rFonts w:ascii="Times New Roman" w:eastAsia="Times New Roman" w:hAnsi="Times New Roman" w:cs="Times New Roman"/>
                <w:sz w:val="20"/>
                <w:szCs w:val="20"/>
              </w:rPr>
              <w:t>® (teriflunomide)</w:t>
            </w:r>
          </w:p>
        </w:tc>
        <w:tc>
          <w:tcPr>
            <w:tcW w:w="1454" w:type="dxa"/>
            <w:tcBorders>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10 (4.3)</w:t>
            </w:r>
          </w:p>
        </w:tc>
        <w:tc>
          <w:tcPr>
            <w:tcW w:w="1455" w:type="dxa"/>
            <w:tcBorders>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30 (6.7)</w:t>
            </w:r>
          </w:p>
        </w:tc>
        <w:tc>
          <w:tcPr>
            <w:tcW w:w="1454" w:type="dxa"/>
            <w:tcBorders>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59 (10.6)</w:t>
            </w:r>
          </w:p>
        </w:tc>
        <w:tc>
          <w:tcPr>
            <w:tcW w:w="1455" w:type="dxa"/>
            <w:tcBorders>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38 (8.0)</w:t>
            </w:r>
          </w:p>
        </w:tc>
      </w:tr>
      <w:tr w:rsidR="001D7FF7" w:rsidRPr="00D66E17" w:rsidTr="008538C5">
        <w:trPr>
          <w:trHeight w:val="300"/>
        </w:trPr>
        <w:tc>
          <w:tcPr>
            <w:tcW w:w="3544" w:type="dxa"/>
            <w:tcBorders>
              <w:top w:val="nil"/>
              <w:left w:val="nil"/>
              <w:bottom w:val="nil"/>
              <w:right w:val="nil"/>
            </w:tcBorders>
            <w:shd w:val="clear" w:color="auto" w:fill="auto"/>
            <w:noWrap/>
            <w:vAlign w:val="bottom"/>
          </w:tcPr>
          <w:p w:rsidR="001D7FF7" w:rsidRPr="00D66E17" w:rsidRDefault="001D7FF7" w:rsidP="001D7FF7">
            <w:pPr>
              <w:spacing w:after="0" w:line="240" w:lineRule="auto"/>
              <w:ind w:left="142"/>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Avonex</w:t>
            </w:r>
            <w:r w:rsidRPr="00D66E17">
              <w:rPr>
                <w:rFonts w:ascii="Times New Roman" w:eastAsia="Times New Roman" w:hAnsi="Times New Roman" w:cs="Times New Roman"/>
                <w:sz w:val="20"/>
                <w:szCs w:val="20"/>
              </w:rPr>
              <w:t>® (interferon β-1a)</w:t>
            </w:r>
          </w:p>
        </w:tc>
        <w:tc>
          <w:tcPr>
            <w:tcW w:w="1454" w:type="dxa"/>
            <w:tcBorders>
              <w:top w:val="nil"/>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13 (5.6)</w:t>
            </w:r>
          </w:p>
        </w:tc>
        <w:tc>
          <w:tcPr>
            <w:tcW w:w="1455" w:type="dxa"/>
            <w:tcBorders>
              <w:top w:val="nil"/>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29 (10.8)</w:t>
            </w:r>
          </w:p>
        </w:tc>
        <w:tc>
          <w:tcPr>
            <w:tcW w:w="1454" w:type="dxa"/>
            <w:tcBorders>
              <w:top w:val="nil"/>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57 (10.3)</w:t>
            </w:r>
          </w:p>
        </w:tc>
        <w:tc>
          <w:tcPr>
            <w:tcW w:w="1455" w:type="dxa"/>
            <w:tcBorders>
              <w:top w:val="nil"/>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86 (18.0)</w:t>
            </w:r>
          </w:p>
        </w:tc>
      </w:tr>
      <w:tr w:rsidR="001D7FF7" w:rsidRPr="00D66E17" w:rsidTr="008538C5">
        <w:trPr>
          <w:trHeight w:val="300"/>
        </w:trPr>
        <w:tc>
          <w:tcPr>
            <w:tcW w:w="354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ind w:left="142"/>
              <w:rPr>
                <w:rFonts w:ascii="Times New Roman" w:hAnsi="Times New Roman" w:cs="Times New Roman"/>
                <w:sz w:val="20"/>
                <w:szCs w:val="20"/>
                <w:lang w:val="de-DE"/>
              </w:rPr>
            </w:pPr>
            <w:r w:rsidRPr="00D66E17">
              <w:rPr>
                <w:rFonts w:ascii="Times New Roman" w:hAnsi="Times New Roman" w:cs="Times New Roman"/>
                <w:sz w:val="20"/>
                <w:szCs w:val="20"/>
                <w:lang w:val="de-DE"/>
              </w:rPr>
              <w:t>Betaferon</w:t>
            </w:r>
            <w:r w:rsidRPr="00D66E17">
              <w:rPr>
                <w:rFonts w:ascii="Times New Roman" w:eastAsia="Times New Roman" w:hAnsi="Times New Roman" w:cs="Times New Roman"/>
                <w:sz w:val="20"/>
                <w:szCs w:val="20"/>
              </w:rPr>
              <w:t>® (interferon β-1b)</w:t>
            </w:r>
          </w:p>
        </w:tc>
        <w:tc>
          <w:tcPr>
            <w:tcW w:w="145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4 (1.7)</w:t>
            </w:r>
          </w:p>
        </w:tc>
        <w:tc>
          <w:tcPr>
            <w:tcW w:w="1455"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19 (4.3)</w:t>
            </w:r>
          </w:p>
        </w:tc>
        <w:tc>
          <w:tcPr>
            <w:tcW w:w="145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18 (3.2)</w:t>
            </w:r>
          </w:p>
        </w:tc>
        <w:tc>
          <w:tcPr>
            <w:tcW w:w="1455"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16 (3.3)</w:t>
            </w:r>
          </w:p>
        </w:tc>
      </w:tr>
      <w:tr w:rsidR="001D7FF7" w:rsidRPr="00D66E17" w:rsidTr="008538C5">
        <w:trPr>
          <w:trHeight w:val="300"/>
        </w:trPr>
        <w:tc>
          <w:tcPr>
            <w:tcW w:w="3544" w:type="dxa"/>
            <w:tcBorders>
              <w:top w:val="nil"/>
              <w:left w:val="nil"/>
              <w:right w:val="nil"/>
            </w:tcBorders>
            <w:shd w:val="clear" w:color="auto" w:fill="auto"/>
            <w:noWrap/>
            <w:vAlign w:val="bottom"/>
            <w:hideMark/>
          </w:tcPr>
          <w:p w:rsidR="001D7FF7" w:rsidRPr="00D66E17" w:rsidRDefault="001D7FF7" w:rsidP="001D7FF7">
            <w:pPr>
              <w:spacing w:after="0" w:line="240" w:lineRule="auto"/>
              <w:ind w:left="142"/>
              <w:rPr>
                <w:rFonts w:ascii="Times New Roman" w:hAnsi="Times New Roman" w:cs="Times New Roman"/>
                <w:sz w:val="20"/>
                <w:szCs w:val="20"/>
                <w:lang w:val="de-DE"/>
              </w:rPr>
            </w:pPr>
            <w:r w:rsidRPr="00D66E17">
              <w:rPr>
                <w:rFonts w:ascii="Times New Roman" w:hAnsi="Times New Roman" w:cs="Times New Roman"/>
                <w:sz w:val="20"/>
                <w:szCs w:val="20"/>
                <w:lang w:val="de-DE"/>
              </w:rPr>
              <w:t>CellCept</w:t>
            </w:r>
            <w:r w:rsidRPr="00D66E17">
              <w:rPr>
                <w:rFonts w:ascii="Times New Roman" w:eastAsia="Times New Roman" w:hAnsi="Times New Roman" w:cs="Times New Roman"/>
                <w:sz w:val="20"/>
                <w:szCs w:val="20"/>
              </w:rPr>
              <w:t>®</w:t>
            </w:r>
            <w:r w:rsidRPr="00D66E17">
              <w:rPr>
                <w:rFonts w:ascii="Times New Roman" w:hAnsi="Times New Roman" w:cs="Times New Roman"/>
                <w:sz w:val="20"/>
                <w:szCs w:val="20"/>
                <w:lang w:val="de-DE"/>
              </w:rPr>
              <w:t xml:space="preserve"> (</w:t>
            </w:r>
            <w:proofErr w:type="spellStart"/>
            <w:r w:rsidRPr="00D66E17">
              <w:rPr>
                <w:rFonts w:ascii="Times New Roman" w:hAnsi="Times New Roman" w:cs="Times New Roman"/>
                <w:sz w:val="20"/>
                <w:szCs w:val="20"/>
                <w:shd w:val="clear" w:color="auto" w:fill="FFFFFF"/>
              </w:rPr>
              <w:t>mycophenolate</w:t>
            </w:r>
            <w:proofErr w:type="spellEnd"/>
            <w:r w:rsidRPr="00D66E17">
              <w:rPr>
                <w:rFonts w:ascii="Times New Roman" w:hAnsi="Times New Roman" w:cs="Times New Roman"/>
                <w:sz w:val="20"/>
                <w:szCs w:val="20"/>
                <w:shd w:val="clear" w:color="auto" w:fill="FFFFFF"/>
              </w:rPr>
              <w:t xml:space="preserve"> </w:t>
            </w:r>
            <w:proofErr w:type="spellStart"/>
            <w:r w:rsidRPr="00D66E17">
              <w:rPr>
                <w:rFonts w:ascii="Times New Roman" w:hAnsi="Times New Roman" w:cs="Times New Roman"/>
                <w:sz w:val="20"/>
                <w:szCs w:val="20"/>
                <w:shd w:val="clear" w:color="auto" w:fill="FFFFFF"/>
              </w:rPr>
              <w:t>mofetil</w:t>
            </w:r>
            <w:proofErr w:type="spellEnd"/>
            <w:r w:rsidRPr="00D66E17">
              <w:rPr>
                <w:rFonts w:ascii="Times New Roman" w:hAnsi="Times New Roman" w:cs="Times New Roman"/>
                <w:sz w:val="20"/>
                <w:szCs w:val="20"/>
                <w:shd w:val="clear" w:color="auto" w:fill="FFFFFF"/>
              </w:rPr>
              <w:t>)</w:t>
            </w:r>
          </w:p>
        </w:tc>
        <w:tc>
          <w:tcPr>
            <w:tcW w:w="1454" w:type="dxa"/>
            <w:tcBorders>
              <w:top w:val="nil"/>
              <w:left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0 (0)</w:t>
            </w:r>
          </w:p>
        </w:tc>
        <w:tc>
          <w:tcPr>
            <w:tcW w:w="1455" w:type="dxa"/>
            <w:tcBorders>
              <w:top w:val="nil"/>
              <w:left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sz w:val="20"/>
                <w:szCs w:val="20"/>
                <w:lang w:val="de-DE"/>
              </w:rPr>
            </w:pPr>
            <w:r w:rsidRPr="00D66E17">
              <w:rPr>
                <w:rFonts w:ascii="Times New Roman" w:hAnsi="Times New Roman" w:cs="Times New Roman"/>
                <w:color w:val="000000"/>
                <w:sz w:val="20"/>
                <w:szCs w:val="20"/>
                <w:lang w:val="de-DE"/>
              </w:rPr>
              <w:t>0 (0)</w:t>
            </w:r>
          </w:p>
        </w:tc>
        <w:tc>
          <w:tcPr>
            <w:tcW w:w="1454" w:type="dxa"/>
            <w:tcBorders>
              <w:top w:val="nil"/>
              <w:left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 (0.2)</w:t>
            </w:r>
          </w:p>
        </w:tc>
        <w:tc>
          <w:tcPr>
            <w:tcW w:w="1455" w:type="dxa"/>
            <w:tcBorders>
              <w:top w:val="nil"/>
              <w:left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 (0.2)</w:t>
            </w:r>
          </w:p>
        </w:tc>
      </w:tr>
      <w:tr w:rsidR="001D7FF7" w:rsidRPr="00D66E17" w:rsidTr="008538C5">
        <w:trPr>
          <w:trHeight w:val="300"/>
        </w:trPr>
        <w:tc>
          <w:tcPr>
            <w:tcW w:w="3544" w:type="dxa"/>
            <w:shd w:val="clear" w:color="auto" w:fill="auto"/>
            <w:noWrap/>
            <w:vAlign w:val="bottom"/>
            <w:hideMark/>
          </w:tcPr>
          <w:p w:rsidR="001D7FF7" w:rsidRPr="00D66E17" w:rsidRDefault="001D7FF7" w:rsidP="001D7FF7">
            <w:pPr>
              <w:spacing w:after="0" w:line="240" w:lineRule="auto"/>
              <w:ind w:left="142"/>
              <w:rPr>
                <w:rFonts w:ascii="Times New Roman" w:hAnsi="Times New Roman" w:cs="Times New Roman"/>
                <w:sz w:val="20"/>
                <w:szCs w:val="20"/>
                <w:lang w:val="de-DE"/>
              </w:rPr>
            </w:pPr>
            <w:r w:rsidRPr="00D66E17">
              <w:rPr>
                <w:rFonts w:ascii="Times New Roman" w:hAnsi="Times New Roman" w:cs="Times New Roman"/>
                <w:sz w:val="20"/>
                <w:szCs w:val="20"/>
                <w:lang w:val="de-DE"/>
              </w:rPr>
              <w:t>Copaxone</w:t>
            </w:r>
            <w:r w:rsidRPr="00D66E17">
              <w:rPr>
                <w:rFonts w:ascii="Times New Roman" w:eastAsia="Times New Roman" w:hAnsi="Times New Roman" w:cs="Times New Roman"/>
                <w:sz w:val="20"/>
                <w:szCs w:val="20"/>
              </w:rPr>
              <w:t>® (glatiramer acetate)</w:t>
            </w:r>
          </w:p>
        </w:tc>
        <w:tc>
          <w:tcPr>
            <w:tcW w:w="1454" w:type="dxa"/>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53 (22.8)</w:t>
            </w:r>
          </w:p>
        </w:tc>
        <w:tc>
          <w:tcPr>
            <w:tcW w:w="1455" w:type="dxa"/>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103 (23.2)</w:t>
            </w:r>
          </w:p>
        </w:tc>
        <w:tc>
          <w:tcPr>
            <w:tcW w:w="1454" w:type="dxa"/>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124 (22.3)</w:t>
            </w:r>
          </w:p>
        </w:tc>
        <w:tc>
          <w:tcPr>
            <w:tcW w:w="1455" w:type="dxa"/>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102 (21.3)</w:t>
            </w:r>
          </w:p>
        </w:tc>
      </w:tr>
      <w:tr w:rsidR="001D7FF7" w:rsidRPr="00D66E17" w:rsidTr="008538C5">
        <w:trPr>
          <w:trHeight w:val="300"/>
        </w:trPr>
        <w:tc>
          <w:tcPr>
            <w:tcW w:w="3544" w:type="dxa"/>
            <w:shd w:val="clear" w:color="auto" w:fill="auto"/>
            <w:noWrap/>
            <w:vAlign w:val="bottom"/>
            <w:hideMark/>
          </w:tcPr>
          <w:p w:rsidR="001D7FF7" w:rsidRPr="00D66E17" w:rsidRDefault="001D7FF7" w:rsidP="001D7FF7">
            <w:pPr>
              <w:spacing w:after="0" w:line="240" w:lineRule="auto"/>
              <w:ind w:left="142"/>
              <w:rPr>
                <w:rFonts w:ascii="Times New Roman" w:hAnsi="Times New Roman" w:cs="Times New Roman"/>
                <w:sz w:val="20"/>
                <w:szCs w:val="20"/>
                <w:lang w:val="de-DE"/>
              </w:rPr>
            </w:pPr>
            <w:r w:rsidRPr="00D66E17">
              <w:rPr>
                <w:rFonts w:ascii="Times New Roman" w:hAnsi="Times New Roman" w:cs="Times New Roman"/>
                <w:sz w:val="20"/>
                <w:szCs w:val="20"/>
                <w:lang w:val="de-DE"/>
              </w:rPr>
              <w:t>Cyclophosphamide</w:t>
            </w:r>
          </w:p>
        </w:tc>
        <w:tc>
          <w:tcPr>
            <w:tcW w:w="1454" w:type="dxa"/>
            <w:shd w:val="clear" w:color="auto" w:fill="auto"/>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0 (0)</w:t>
            </w:r>
          </w:p>
        </w:tc>
        <w:tc>
          <w:tcPr>
            <w:tcW w:w="1455" w:type="dxa"/>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0 (0)</w:t>
            </w:r>
          </w:p>
        </w:tc>
        <w:tc>
          <w:tcPr>
            <w:tcW w:w="1454" w:type="dxa"/>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sz w:val="20"/>
                <w:szCs w:val="20"/>
                <w:lang w:val="de-DE"/>
              </w:rPr>
            </w:pPr>
            <w:r w:rsidRPr="00D66E17">
              <w:rPr>
                <w:rFonts w:ascii="Times New Roman" w:hAnsi="Times New Roman" w:cs="Times New Roman"/>
                <w:color w:val="000000"/>
                <w:sz w:val="20"/>
                <w:szCs w:val="20"/>
                <w:lang w:val="de-DE"/>
              </w:rPr>
              <w:t>0 (0)</w:t>
            </w:r>
          </w:p>
        </w:tc>
        <w:tc>
          <w:tcPr>
            <w:tcW w:w="1455" w:type="dxa"/>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 (0.2)</w:t>
            </w:r>
          </w:p>
        </w:tc>
      </w:tr>
      <w:tr w:rsidR="001D7FF7" w:rsidRPr="00D66E17" w:rsidTr="008538C5">
        <w:trPr>
          <w:trHeight w:val="300"/>
        </w:trPr>
        <w:tc>
          <w:tcPr>
            <w:tcW w:w="3544" w:type="dxa"/>
            <w:shd w:val="clear" w:color="auto" w:fill="auto"/>
            <w:noWrap/>
            <w:vAlign w:val="bottom"/>
            <w:hideMark/>
          </w:tcPr>
          <w:p w:rsidR="001D7FF7" w:rsidRPr="00D66E17" w:rsidRDefault="001D7FF7" w:rsidP="001D7FF7">
            <w:pPr>
              <w:spacing w:after="0" w:line="240" w:lineRule="auto"/>
              <w:ind w:left="142"/>
              <w:rPr>
                <w:rFonts w:ascii="Times New Roman" w:hAnsi="Times New Roman" w:cs="Times New Roman"/>
                <w:sz w:val="20"/>
                <w:szCs w:val="20"/>
                <w:lang w:val="de-DE"/>
              </w:rPr>
            </w:pPr>
            <w:r w:rsidRPr="00D66E17">
              <w:rPr>
                <w:rFonts w:ascii="Times New Roman" w:hAnsi="Times New Roman" w:cs="Times New Roman"/>
                <w:sz w:val="20"/>
                <w:szCs w:val="20"/>
                <w:lang w:val="de-DE"/>
              </w:rPr>
              <w:t>Extavia</w:t>
            </w:r>
            <w:r w:rsidRPr="00D66E17">
              <w:rPr>
                <w:rFonts w:ascii="Times New Roman" w:eastAsia="Times New Roman" w:hAnsi="Times New Roman" w:cs="Times New Roman"/>
                <w:sz w:val="20"/>
                <w:szCs w:val="20"/>
              </w:rPr>
              <w:t>® (interferon β-1b)</w:t>
            </w:r>
          </w:p>
        </w:tc>
        <w:tc>
          <w:tcPr>
            <w:tcW w:w="1454" w:type="dxa"/>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0 (0)</w:t>
            </w:r>
          </w:p>
        </w:tc>
        <w:tc>
          <w:tcPr>
            <w:tcW w:w="1455" w:type="dxa"/>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 (0.2)</w:t>
            </w:r>
          </w:p>
        </w:tc>
        <w:tc>
          <w:tcPr>
            <w:tcW w:w="1454" w:type="dxa"/>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0 (0)</w:t>
            </w:r>
          </w:p>
        </w:tc>
        <w:tc>
          <w:tcPr>
            <w:tcW w:w="1455" w:type="dxa"/>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 (0.2)</w:t>
            </w:r>
          </w:p>
        </w:tc>
      </w:tr>
      <w:tr w:rsidR="001D7FF7" w:rsidRPr="00D66E17" w:rsidTr="008538C5">
        <w:trPr>
          <w:trHeight w:val="300"/>
        </w:trPr>
        <w:tc>
          <w:tcPr>
            <w:tcW w:w="3544" w:type="dxa"/>
            <w:tcBorders>
              <w:left w:val="nil"/>
              <w:bottom w:val="nil"/>
              <w:right w:val="nil"/>
            </w:tcBorders>
            <w:shd w:val="clear" w:color="auto" w:fill="auto"/>
            <w:noWrap/>
            <w:vAlign w:val="bottom"/>
            <w:hideMark/>
          </w:tcPr>
          <w:p w:rsidR="001D7FF7" w:rsidRPr="00D66E17" w:rsidRDefault="001D7FF7" w:rsidP="001D7FF7">
            <w:pPr>
              <w:spacing w:after="0" w:line="240" w:lineRule="auto"/>
              <w:ind w:left="142"/>
              <w:rPr>
                <w:rFonts w:ascii="Times New Roman" w:hAnsi="Times New Roman" w:cs="Times New Roman"/>
                <w:sz w:val="20"/>
                <w:szCs w:val="20"/>
                <w:lang w:val="de-DE"/>
              </w:rPr>
            </w:pPr>
            <w:r w:rsidRPr="00D66E17">
              <w:rPr>
                <w:rFonts w:ascii="Times New Roman" w:hAnsi="Times New Roman" w:cs="Times New Roman"/>
                <w:sz w:val="20"/>
                <w:szCs w:val="20"/>
                <w:lang w:val="de-DE"/>
              </w:rPr>
              <w:t>Gilenya</w:t>
            </w:r>
            <w:r w:rsidRPr="00D66E17">
              <w:rPr>
                <w:rFonts w:ascii="Times New Roman" w:eastAsia="Times New Roman" w:hAnsi="Times New Roman" w:cs="Times New Roman"/>
                <w:sz w:val="20"/>
                <w:szCs w:val="20"/>
              </w:rPr>
              <w:t>® (fingolimod)</w:t>
            </w:r>
          </w:p>
        </w:tc>
        <w:tc>
          <w:tcPr>
            <w:tcW w:w="1454" w:type="dxa"/>
            <w:tcBorders>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68 (29.2)</w:t>
            </w:r>
          </w:p>
        </w:tc>
        <w:tc>
          <w:tcPr>
            <w:tcW w:w="1455" w:type="dxa"/>
            <w:tcBorders>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101 (22.7)</w:t>
            </w:r>
          </w:p>
        </w:tc>
        <w:tc>
          <w:tcPr>
            <w:tcW w:w="1454" w:type="dxa"/>
            <w:tcBorders>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93 (16.7)</w:t>
            </w:r>
          </w:p>
        </w:tc>
        <w:tc>
          <w:tcPr>
            <w:tcW w:w="1455" w:type="dxa"/>
            <w:tcBorders>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61 (12.7)</w:t>
            </w:r>
          </w:p>
        </w:tc>
      </w:tr>
      <w:tr w:rsidR="001D7FF7" w:rsidRPr="00D66E17" w:rsidTr="008538C5">
        <w:trPr>
          <w:trHeight w:val="300"/>
        </w:trPr>
        <w:tc>
          <w:tcPr>
            <w:tcW w:w="354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ind w:left="142"/>
              <w:rPr>
                <w:rFonts w:ascii="Times New Roman" w:hAnsi="Times New Roman" w:cs="Times New Roman"/>
                <w:sz w:val="20"/>
                <w:szCs w:val="20"/>
                <w:lang w:val="de-DE"/>
              </w:rPr>
            </w:pPr>
            <w:r w:rsidRPr="00D66E17">
              <w:rPr>
                <w:rFonts w:ascii="Times New Roman" w:hAnsi="Times New Roman" w:cs="Times New Roman"/>
                <w:sz w:val="20"/>
                <w:szCs w:val="20"/>
                <w:lang w:val="de-DE"/>
              </w:rPr>
              <w:t>Lemtrada</w:t>
            </w:r>
            <w:r w:rsidRPr="00D66E17">
              <w:rPr>
                <w:rFonts w:ascii="Times New Roman" w:eastAsia="Times New Roman" w:hAnsi="Times New Roman" w:cs="Times New Roman"/>
                <w:sz w:val="20"/>
                <w:szCs w:val="20"/>
              </w:rPr>
              <w:t>® (alemtuzumab)</w:t>
            </w:r>
          </w:p>
        </w:tc>
        <w:tc>
          <w:tcPr>
            <w:tcW w:w="145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0 (0)</w:t>
            </w:r>
          </w:p>
        </w:tc>
        <w:tc>
          <w:tcPr>
            <w:tcW w:w="1455"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 (0.2)</w:t>
            </w:r>
          </w:p>
        </w:tc>
        <w:tc>
          <w:tcPr>
            <w:tcW w:w="145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0 (0)</w:t>
            </w:r>
          </w:p>
        </w:tc>
        <w:tc>
          <w:tcPr>
            <w:tcW w:w="1455"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sz w:val="20"/>
                <w:szCs w:val="20"/>
                <w:lang w:val="de-DE"/>
              </w:rPr>
            </w:pPr>
            <w:r w:rsidRPr="00D66E17">
              <w:rPr>
                <w:rFonts w:ascii="Times New Roman" w:hAnsi="Times New Roman" w:cs="Times New Roman"/>
                <w:color w:val="000000"/>
                <w:sz w:val="20"/>
                <w:szCs w:val="20"/>
                <w:lang w:val="de-DE"/>
              </w:rPr>
              <w:t>0 (0)</w:t>
            </w:r>
          </w:p>
        </w:tc>
      </w:tr>
      <w:tr w:rsidR="001D7FF7" w:rsidRPr="00D66E17" w:rsidTr="008538C5">
        <w:trPr>
          <w:trHeight w:val="300"/>
        </w:trPr>
        <w:tc>
          <w:tcPr>
            <w:tcW w:w="354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ind w:left="142"/>
              <w:rPr>
                <w:rFonts w:ascii="Times New Roman" w:hAnsi="Times New Roman" w:cs="Times New Roman"/>
                <w:sz w:val="20"/>
                <w:szCs w:val="20"/>
                <w:lang w:val="de-DE"/>
              </w:rPr>
            </w:pPr>
            <w:r w:rsidRPr="00D66E17">
              <w:rPr>
                <w:rFonts w:ascii="Times New Roman" w:hAnsi="Times New Roman" w:cs="Times New Roman"/>
                <w:sz w:val="20"/>
                <w:szCs w:val="20"/>
                <w:lang w:val="de-DE"/>
              </w:rPr>
              <w:t>Methotrexate sodium</w:t>
            </w:r>
          </w:p>
        </w:tc>
        <w:tc>
          <w:tcPr>
            <w:tcW w:w="145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 (0.4)</w:t>
            </w:r>
          </w:p>
        </w:tc>
        <w:tc>
          <w:tcPr>
            <w:tcW w:w="1455"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 (0.2)</w:t>
            </w:r>
          </w:p>
        </w:tc>
        <w:tc>
          <w:tcPr>
            <w:tcW w:w="145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6 (1.1)</w:t>
            </w:r>
          </w:p>
        </w:tc>
        <w:tc>
          <w:tcPr>
            <w:tcW w:w="1455"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6 (1.3)</w:t>
            </w:r>
          </w:p>
        </w:tc>
      </w:tr>
      <w:tr w:rsidR="001D7FF7" w:rsidRPr="00D66E17" w:rsidTr="008538C5">
        <w:trPr>
          <w:trHeight w:val="300"/>
        </w:trPr>
        <w:tc>
          <w:tcPr>
            <w:tcW w:w="354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ind w:left="142"/>
              <w:rPr>
                <w:rFonts w:ascii="Times New Roman" w:hAnsi="Times New Roman" w:cs="Times New Roman"/>
                <w:sz w:val="20"/>
                <w:szCs w:val="20"/>
                <w:lang w:val="de-DE"/>
              </w:rPr>
            </w:pPr>
            <w:r w:rsidRPr="00D66E17">
              <w:rPr>
                <w:rFonts w:ascii="Times New Roman" w:hAnsi="Times New Roman" w:cs="Times New Roman"/>
                <w:sz w:val="20"/>
                <w:szCs w:val="20"/>
                <w:lang w:val="de-DE"/>
              </w:rPr>
              <w:t>Mycophenolate mofetil</w:t>
            </w:r>
          </w:p>
        </w:tc>
        <w:tc>
          <w:tcPr>
            <w:tcW w:w="145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 (0.4)</w:t>
            </w:r>
          </w:p>
        </w:tc>
        <w:tc>
          <w:tcPr>
            <w:tcW w:w="1455"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0 (0)</w:t>
            </w:r>
          </w:p>
        </w:tc>
        <w:tc>
          <w:tcPr>
            <w:tcW w:w="145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4 (0.7)</w:t>
            </w:r>
          </w:p>
        </w:tc>
        <w:tc>
          <w:tcPr>
            <w:tcW w:w="1455"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3 (0.6)</w:t>
            </w:r>
          </w:p>
        </w:tc>
      </w:tr>
      <w:tr w:rsidR="001D7FF7" w:rsidRPr="00D66E17" w:rsidTr="008538C5">
        <w:trPr>
          <w:trHeight w:val="300"/>
        </w:trPr>
        <w:tc>
          <w:tcPr>
            <w:tcW w:w="354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ind w:left="142"/>
              <w:rPr>
                <w:rFonts w:ascii="Times New Roman" w:hAnsi="Times New Roman" w:cs="Times New Roman"/>
                <w:sz w:val="20"/>
                <w:szCs w:val="20"/>
                <w:lang w:val="de-DE"/>
              </w:rPr>
            </w:pPr>
            <w:r w:rsidRPr="00D66E17">
              <w:rPr>
                <w:rFonts w:ascii="Times New Roman" w:hAnsi="Times New Roman" w:cs="Times New Roman"/>
                <w:sz w:val="20"/>
                <w:szCs w:val="20"/>
                <w:lang w:val="de-DE"/>
              </w:rPr>
              <w:t>Ocrevus</w:t>
            </w:r>
            <w:r w:rsidRPr="00D66E17">
              <w:rPr>
                <w:rFonts w:ascii="Times New Roman" w:eastAsia="Times New Roman" w:hAnsi="Times New Roman" w:cs="Times New Roman"/>
                <w:sz w:val="20"/>
                <w:szCs w:val="20"/>
              </w:rPr>
              <w:t>®</w:t>
            </w:r>
            <w:r w:rsidRPr="00D66E17">
              <w:rPr>
                <w:rFonts w:ascii="Times New Roman" w:hAnsi="Times New Roman" w:cs="Times New Roman"/>
                <w:sz w:val="20"/>
                <w:szCs w:val="20"/>
                <w:shd w:val="clear" w:color="auto" w:fill="FFFFFF"/>
              </w:rPr>
              <w:t xml:space="preserve"> (ocrelizumab)</w:t>
            </w:r>
          </w:p>
        </w:tc>
        <w:tc>
          <w:tcPr>
            <w:tcW w:w="145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0 (0)</w:t>
            </w:r>
          </w:p>
        </w:tc>
        <w:tc>
          <w:tcPr>
            <w:tcW w:w="1455"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3 (0.7)</w:t>
            </w:r>
          </w:p>
        </w:tc>
        <w:tc>
          <w:tcPr>
            <w:tcW w:w="145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0 (0)</w:t>
            </w:r>
          </w:p>
        </w:tc>
        <w:tc>
          <w:tcPr>
            <w:tcW w:w="1455"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 (0.2)</w:t>
            </w:r>
          </w:p>
        </w:tc>
      </w:tr>
      <w:tr w:rsidR="001D7FF7" w:rsidRPr="00D66E17" w:rsidTr="008538C5">
        <w:trPr>
          <w:trHeight w:val="300"/>
        </w:trPr>
        <w:tc>
          <w:tcPr>
            <w:tcW w:w="3544" w:type="dxa"/>
            <w:tcBorders>
              <w:top w:val="nil"/>
              <w:left w:val="nil"/>
              <w:bottom w:val="nil"/>
              <w:right w:val="nil"/>
            </w:tcBorders>
            <w:shd w:val="clear" w:color="auto" w:fill="auto"/>
            <w:noWrap/>
            <w:vAlign w:val="bottom"/>
          </w:tcPr>
          <w:p w:rsidR="001D7FF7" w:rsidRPr="00D66E17" w:rsidRDefault="001D7FF7" w:rsidP="001D7FF7">
            <w:pPr>
              <w:spacing w:after="0" w:line="240" w:lineRule="auto"/>
              <w:ind w:left="142"/>
              <w:rPr>
                <w:rFonts w:ascii="Times New Roman" w:hAnsi="Times New Roman" w:cs="Times New Roman"/>
                <w:sz w:val="20"/>
                <w:szCs w:val="20"/>
                <w:lang w:val="de-DE"/>
              </w:rPr>
            </w:pPr>
            <w:r w:rsidRPr="00D66E17">
              <w:rPr>
                <w:rFonts w:ascii="Times New Roman" w:hAnsi="Times New Roman" w:cs="Times New Roman"/>
                <w:sz w:val="20"/>
                <w:szCs w:val="20"/>
                <w:lang w:val="de-DE"/>
              </w:rPr>
              <w:t>Plegridy</w:t>
            </w:r>
            <w:r w:rsidRPr="00D66E17">
              <w:rPr>
                <w:rFonts w:ascii="Times New Roman" w:eastAsia="Times New Roman" w:hAnsi="Times New Roman" w:cs="Times New Roman"/>
                <w:sz w:val="20"/>
                <w:szCs w:val="20"/>
              </w:rPr>
              <w:t>® (</w:t>
            </w:r>
            <w:proofErr w:type="spellStart"/>
            <w:r w:rsidRPr="00D66E17">
              <w:rPr>
                <w:rFonts w:ascii="Times New Roman" w:eastAsia="Times New Roman" w:hAnsi="Times New Roman" w:cs="Times New Roman"/>
                <w:sz w:val="20"/>
                <w:szCs w:val="20"/>
              </w:rPr>
              <w:t>pegylated</w:t>
            </w:r>
            <w:proofErr w:type="spellEnd"/>
            <w:r w:rsidRPr="00D66E17">
              <w:rPr>
                <w:rFonts w:ascii="Times New Roman" w:eastAsia="Times New Roman" w:hAnsi="Times New Roman" w:cs="Times New Roman"/>
                <w:sz w:val="20"/>
                <w:szCs w:val="20"/>
              </w:rPr>
              <w:t xml:space="preserve"> interferon β-1a)</w:t>
            </w:r>
          </w:p>
        </w:tc>
        <w:tc>
          <w:tcPr>
            <w:tcW w:w="1454" w:type="dxa"/>
            <w:tcBorders>
              <w:top w:val="nil"/>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3 (1.3)</w:t>
            </w:r>
          </w:p>
        </w:tc>
        <w:tc>
          <w:tcPr>
            <w:tcW w:w="1455" w:type="dxa"/>
            <w:tcBorders>
              <w:top w:val="nil"/>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10 (1.1)</w:t>
            </w:r>
          </w:p>
        </w:tc>
        <w:tc>
          <w:tcPr>
            <w:tcW w:w="1454" w:type="dxa"/>
            <w:tcBorders>
              <w:top w:val="nil"/>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11 (1.6)</w:t>
            </w:r>
          </w:p>
        </w:tc>
        <w:tc>
          <w:tcPr>
            <w:tcW w:w="1455" w:type="dxa"/>
            <w:tcBorders>
              <w:top w:val="nil"/>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12 (2.5)</w:t>
            </w:r>
          </w:p>
        </w:tc>
      </w:tr>
      <w:tr w:rsidR="001D7FF7" w:rsidRPr="00D66E17" w:rsidTr="008538C5">
        <w:trPr>
          <w:trHeight w:val="300"/>
        </w:trPr>
        <w:tc>
          <w:tcPr>
            <w:tcW w:w="3544" w:type="dxa"/>
            <w:tcBorders>
              <w:top w:val="nil"/>
              <w:left w:val="nil"/>
              <w:bottom w:val="nil"/>
              <w:right w:val="nil"/>
            </w:tcBorders>
            <w:shd w:val="clear" w:color="auto" w:fill="auto"/>
            <w:noWrap/>
            <w:vAlign w:val="bottom"/>
          </w:tcPr>
          <w:p w:rsidR="001D7FF7" w:rsidRPr="00D66E17" w:rsidRDefault="001D7FF7" w:rsidP="001D7FF7">
            <w:pPr>
              <w:spacing w:after="0" w:line="240" w:lineRule="auto"/>
              <w:ind w:left="142"/>
              <w:rPr>
                <w:rFonts w:ascii="Times New Roman" w:hAnsi="Times New Roman" w:cs="Times New Roman"/>
                <w:sz w:val="20"/>
                <w:szCs w:val="20"/>
                <w:lang w:val="de-DE"/>
              </w:rPr>
            </w:pPr>
            <w:r w:rsidRPr="00D66E17">
              <w:rPr>
                <w:rFonts w:ascii="Times New Roman" w:hAnsi="Times New Roman" w:cs="Times New Roman"/>
                <w:sz w:val="20"/>
                <w:szCs w:val="20"/>
                <w:lang w:val="de-DE"/>
              </w:rPr>
              <w:t>Tecfidera</w:t>
            </w:r>
            <w:r w:rsidRPr="00D66E17">
              <w:rPr>
                <w:rFonts w:ascii="Times New Roman" w:eastAsia="Times New Roman" w:hAnsi="Times New Roman" w:cs="Times New Roman"/>
                <w:sz w:val="20"/>
                <w:szCs w:val="20"/>
              </w:rPr>
              <w:t>® (dimethyl fumarate)</w:t>
            </w:r>
          </w:p>
        </w:tc>
        <w:tc>
          <w:tcPr>
            <w:tcW w:w="1454" w:type="dxa"/>
            <w:tcBorders>
              <w:top w:val="nil"/>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72 (30.9)</w:t>
            </w:r>
          </w:p>
        </w:tc>
        <w:tc>
          <w:tcPr>
            <w:tcW w:w="1455" w:type="dxa"/>
            <w:tcBorders>
              <w:top w:val="nil"/>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130 (29.2)</w:t>
            </w:r>
          </w:p>
        </w:tc>
        <w:tc>
          <w:tcPr>
            <w:tcW w:w="1454" w:type="dxa"/>
            <w:tcBorders>
              <w:top w:val="nil"/>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168 (30.2)</w:t>
            </w:r>
          </w:p>
        </w:tc>
        <w:tc>
          <w:tcPr>
            <w:tcW w:w="1455" w:type="dxa"/>
            <w:tcBorders>
              <w:top w:val="nil"/>
              <w:left w:val="nil"/>
              <w:bottom w:val="nil"/>
              <w:right w:val="nil"/>
            </w:tcBorders>
            <w:shd w:val="clear" w:color="auto" w:fill="auto"/>
            <w:noWrap/>
            <w:vAlign w:val="bottom"/>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139 (29.0)</w:t>
            </w:r>
          </w:p>
        </w:tc>
      </w:tr>
      <w:tr w:rsidR="001D7FF7" w:rsidRPr="00D66E17" w:rsidTr="008538C5">
        <w:trPr>
          <w:trHeight w:val="300"/>
        </w:trPr>
        <w:tc>
          <w:tcPr>
            <w:tcW w:w="3544" w:type="dxa"/>
            <w:tcBorders>
              <w:top w:val="nil"/>
              <w:left w:val="nil"/>
              <w:right w:val="nil"/>
            </w:tcBorders>
            <w:shd w:val="clear" w:color="auto" w:fill="auto"/>
            <w:noWrap/>
            <w:vAlign w:val="bottom"/>
            <w:hideMark/>
          </w:tcPr>
          <w:p w:rsidR="001D7FF7" w:rsidRPr="00D66E17" w:rsidRDefault="001D7FF7" w:rsidP="001D7FF7">
            <w:pPr>
              <w:spacing w:after="0" w:line="240" w:lineRule="auto"/>
              <w:ind w:left="142"/>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Tysabri</w:t>
            </w:r>
            <w:r w:rsidRPr="00D66E17">
              <w:rPr>
                <w:rFonts w:ascii="Times New Roman" w:eastAsia="Times New Roman" w:hAnsi="Times New Roman" w:cs="Times New Roman"/>
                <w:sz w:val="20"/>
                <w:szCs w:val="20"/>
              </w:rPr>
              <w:t>® (natalizumab)</w:t>
            </w:r>
          </w:p>
        </w:tc>
        <w:tc>
          <w:tcPr>
            <w:tcW w:w="1454" w:type="dxa"/>
            <w:tcBorders>
              <w:top w:val="nil"/>
              <w:left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6 (2.6)</w:t>
            </w:r>
          </w:p>
        </w:tc>
        <w:tc>
          <w:tcPr>
            <w:tcW w:w="1455" w:type="dxa"/>
            <w:tcBorders>
              <w:top w:val="nil"/>
              <w:left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14 (3.2)</w:t>
            </w:r>
          </w:p>
        </w:tc>
        <w:tc>
          <w:tcPr>
            <w:tcW w:w="1454" w:type="dxa"/>
            <w:tcBorders>
              <w:top w:val="nil"/>
              <w:left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9 (1.6)</w:t>
            </w:r>
          </w:p>
        </w:tc>
        <w:tc>
          <w:tcPr>
            <w:tcW w:w="1455" w:type="dxa"/>
            <w:tcBorders>
              <w:top w:val="nil"/>
              <w:left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8 (1.7)</w:t>
            </w:r>
          </w:p>
        </w:tc>
      </w:tr>
      <w:tr w:rsidR="001D7FF7" w:rsidRPr="00D66E17" w:rsidTr="00E142D9">
        <w:trPr>
          <w:trHeight w:val="300"/>
        </w:trPr>
        <w:tc>
          <w:tcPr>
            <w:tcW w:w="354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ind w:left="142"/>
              <w:rPr>
                <w:rFonts w:ascii="Times New Roman" w:eastAsia="Times New Roman" w:hAnsi="Times New Roman" w:cs="Times New Roman"/>
                <w:sz w:val="20"/>
                <w:szCs w:val="20"/>
              </w:rPr>
            </w:pPr>
            <w:proofErr w:type="spellStart"/>
            <w:r w:rsidRPr="00D66E17">
              <w:rPr>
                <w:rFonts w:ascii="Times New Roman" w:eastAsia="Times New Roman" w:hAnsi="Times New Roman" w:cs="Times New Roman"/>
                <w:sz w:val="20"/>
                <w:szCs w:val="20"/>
              </w:rPr>
              <w:t>Zinbryta</w:t>
            </w:r>
            <w:proofErr w:type="spellEnd"/>
            <w:r w:rsidRPr="00D66E17">
              <w:rPr>
                <w:rFonts w:ascii="Times New Roman" w:eastAsia="Times New Roman" w:hAnsi="Times New Roman" w:cs="Times New Roman"/>
                <w:sz w:val="20"/>
                <w:szCs w:val="20"/>
              </w:rPr>
              <w:t>® (</w:t>
            </w:r>
            <w:proofErr w:type="spellStart"/>
            <w:r w:rsidRPr="00D66E17">
              <w:rPr>
                <w:rFonts w:ascii="Times New Roman" w:eastAsia="Times New Roman" w:hAnsi="Times New Roman" w:cs="Times New Roman"/>
                <w:sz w:val="20"/>
                <w:szCs w:val="20"/>
              </w:rPr>
              <w:t>daclizumab</w:t>
            </w:r>
            <w:proofErr w:type="spellEnd"/>
            <w:r w:rsidRPr="00D66E17">
              <w:rPr>
                <w:rFonts w:ascii="Times New Roman" w:eastAsia="Times New Roman" w:hAnsi="Times New Roman" w:cs="Times New Roman"/>
                <w:sz w:val="20"/>
                <w:szCs w:val="20"/>
              </w:rPr>
              <w:t>)</w:t>
            </w:r>
          </w:p>
        </w:tc>
        <w:tc>
          <w:tcPr>
            <w:tcW w:w="145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0 (0)</w:t>
            </w:r>
          </w:p>
        </w:tc>
        <w:tc>
          <w:tcPr>
            <w:tcW w:w="1455"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 (0.2)</w:t>
            </w:r>
          </w:p>
        </w:tc>
        <w:tc>
          <w:tcPr>
            <w:tcW w:w="1454"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 (0.2)</w:t>
            </w:r>
          </w:p>
        </w:tc>
        <w:tc>
          <w:tcPr>
            <w:tcW w:w="1455" w:type="dxa"/>
            <w:tcBorders>
              <w:top w:val="nil"/>
              <w:left w:val="nil"/>
              <w:bottom w:val="nil"/>
              <w:right w:val="nil"/>
            </w:tcBorders>
            <w:shd w:val="clear" w:color="auto" w:fill="auto"/>
            <w:noWrap/>
            <w:vAlign w:val="bottom"/>
            <w:hideMark/>
          </w:tcPr>
          <w:p w:rsidR="001D7FF7" w:rsidRPr="00D66E17" w:rsidRDefault="001D7FF7" w:rsidP="001D7FF7">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1 (0.2)</w:t>
            </w:r>
          </w:p>
        </w:tc>
      </w:tr>
      <w:tr w:rsidR="00E142D9" w:rsidRPr="00D66E17" w:rsidTr="00517301">
        <w:trPr>
          <w:trHeight w:val="300"/>
        </w:trPr>
        <w:tc>
          <w:tcPr>
            <w:tcW w:w="3544" w:type="dxa"/>
            <w:tcBorders>
              <w:top w:val="nil"/>
              <w:left w:val="nil"/>
              <w:bottom w:val="single" w:sz="4" w:space="0" w:color="auto"/>
              <w:right w:val="nil"/>
            </w:tcBorders>
            <w:shd w:val="clear" w:color="auto" w:fill="auto"/>
            <w:noWrap/>
            <w:vAlign w:val="bottom"/>
          </w:tcPr>
          <w:p w:rsidR="00E142D9" w:rsidRPr="00D66E17" w:rsidRDefault="00E142D9" w:rsidP="00E142D9">
            <w:pPr>
              <w:spacing w:after="0" w:line="240" w:lineRule="auto"/>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Total n</w:t>
            </w:r>
            <w:r w:rsidRPr="00D66E17">
              <w:rPr>
                <w:rFonts w:ascii="Times New Roman" w:hAnsi="Times New Roman" w:cs="Times New Roman"/>
                <w:color w:val="000000"/>
                <w:sz w:val="20"/>
                <w:szCs w:val="20"/>
                <w:lang w:val="de-DE"/>
              </w:rPr>
              <w:t>umber who switched treatment</w:t>
            </w:r>
          </w:p>
        </w:tc>
        <w:tc>
          <w:tcPr>
            <w:tcW w:w="1454" w:type="dxa"/>
            <w:tcBorders>
              <w:top w:val="nil"/>
              <w:left w:val="nil"/>
              <w:bottom w:val="single" w:sz="4" w:space="0" w:color="auto"/>
              <w:right w:val="nil"/>
            </w:tcBorders>
            <w:shd w:val="clear" w:color="auto" w:fill="auto"/>
            <w:noWrap/>
            <w:vAlign w:val="center"/>
          </w:tcPr>
          <w:p w:rsidR="00E142D9" w:rsidRPr="00D66E17" w:rsidRDefault="00E142D9" w:rsidP="00E142D9">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233</w:t>
            </w:r>
            <w:r>
              <w:rPr>
                <w:rFonts w:ascii="Times New Roman" w:hAnsi="Times New Roman" w:cs="Times New Roman"/>
                <w:color w:val="000000"/>
                <w:sz w:val="20"/>
                <w:szCs w:val="20"/>
                <w:lang w:val="de-DE"/>
              </w:rPr>
              <w:t xml:space="preserve"> (30.1)</w:t>
            </w:r>
          </w:p>
        </w:tc>
        <w:tc>
          <w:tcPr>
            <w:tcW w:w="1455" w:type="dxa"/>
            <w:tcBorders>
              <w:top w:val="nil"/>
              <w:left w:val="nil"/>
              <w:bottom w:val="single" w:sz="4" w:space="0" w:color="auto"/>
              <w:right w:val="nil"/>
            </w:tcBorders>
            <w:shd w:val="clear" w:color="auto" w:fill="auto"/>
            <w:noWrap/>
            <w:vAlign w:val="center"/>
          </w:tcPr>
          <w:p w:rsidR="00E142D9" w:rsidRPr="00D66E17" w:rsidRDefault="00E142D9" w:rsidP="00E142D9">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445</w:t>
            </w:r>
            <w:r>
              <w:rPr>
                <w:rFonts w:ascii="Times New Roman" w:hAnsi="Times New Roman" w:cs="Times New Roman"/>
                <w:color w:val="000000"/>
                <w:sz w:val="20"/>
                <w:szCs w:val="20"/>
                <w:lang w:val="de-DE"/>
              </w:rPr>
              <w:t xml:space="preserve"> (30.3)</w:t>
            </w:r>
          </w:p>
        </w:tc>
        <w:tc>
          <w:tcPr>
            <w:tcW w:w="1454" w:type="dxa"/>
            <w:tcBorders>
              <w:top w:val="nil"/>
              <w:left w:val="nil"/>
              <w:bottom w:val="single" w:sz="4" w:space="0" w:color="auto"/>
              <w:right w:val="nil"/>
            </w:tcBorders>
            <w:shd w:val="clear" w:color="auto" w:fill="auto"/>
            <w:noWrap/>
            <w:vAlign w:val="center"/>
          </w:tcPr>
          <w:p w:rsidR="00E142D9" w:rsidRPr="00D66E17" w:rsidRDefault="00E142D9" w:rsidP="00E142D9">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556</w:t>
            </w:r>
            <w:r>
              <w:rPr>
                <w:rFonts w:ascii="Times New Roman" w:hAnsi="Times New Roman" w:cs="Times New Roman"/>
                <w:color w:val="000000"/>
                <w:sz w:val="20"/>
                <w:szCs w:val="20"/>
                <w:lang w:val="de-DE"/>
              </w:rPr>
              <w:t xml:space="preserve"> (34.1)</w:t>
            </w:r>
          </w:p>
        </w:tc>
        <w:tc>
          <w:tcPr>
            <w:tcW w:w="1455" w:type="dxa"/>
            <w:tcBorders>
              <w:top w:val="nil"/>
              <w:left w:val="nil"/>
              <w:bottom w:val="single" w:sz="4" w:space="0" w:color="auto"/>
              <w:right w:val="nil"/>
            </w:tcBorders>
            <w:shd w:val="clear" w:color="auto" w:fill="auto"/>
            <w:noWrap/>
            <w:vAlign w:val="center"/>
          </w:tcPr>
          <w:p w:rsidR="00E142D9" w:rsidRPr="00D66E17" w:rsidRDefault="00E142D9" w:rsidP="00E142D9">
            <w:pPr>
              <w:spacing w:after="0" w:line="240" w:lineRule="auto"/>
              <w:jc w:val="center"/>
              <w:rPr>
                <w:rFonts w:ascii="Times New Roman" w:hAnsi="Times New Roman" w:cs="Times New Roman"/>
                <w:color w:val="000000"/>
                <w:sz w:val="20"/>
                <w:szCs w:val="20"/>
                <w:lang w:val="de-DE"/>
              </w:rPr>
            </w:pPr>
            <w:r w:rsidRPr="00D66E17">
              <w:rPr>
                <w:rFonts w:ascii="Times New Roman" w:hAnsi="Times New Roman" w:cs="Times New Roman"/>
                <w:color w:val="000000"/>
                <w:sz w:val="20"/>
                <w:szCs w:val="20"/>
                <w:lang w:val="de-DE"/>
              </w:rPr>
              <w:t>479</w:t>
            </w:r>
            <w:r>
              <w:rPr>
                <w:rFonts w:ascii="Times New Roman" w:hAnsi="Times New Roman" w:cs="Times New Roman"/>
                <w:color w:val="000000"/>
                <w:sz w:val="20"/>
                <w:szCs w:val="20"/>
                <w:lang w:val="de-DE"/>
              </w:rPr>
              <w:t xml:space="preserve"> (32.6)</w:t>
            </w:r>
          </w:p>
        </w:tc>
      </w:tr>
    </w:tbl>
    <w:p w:rsidR="001D7FF7" w:rsidRPr="00D66E17" w:rsidRDefault="001D7FF7" w:rsidP="001D7FF7">
      <w:pPr>
        <w:autoSpaceDE w:val="0"/>
        <w:autoSpaceDN w:val="0"/>
        <w:adjustRightInd w:val="0"/>
        <w:snapToGrid w:val="0"/>
        <w:spacing w:after="0" w:line="240" w:lineRule="auto"/>
        <w:rPr>
          <w:rFonts w:ascii="Times New Roman" w:eastAsia="Times New Roman" w:hAnsi="Times New Roman" w:cs="Times New Roman"/>
          <w:b/>
          <w:color w:val="000000"/>
        </w:rPr>
      </w:pPr>
    </w:p>
    <w:p w:rsidR="001D7FF7" w:rsidRPr="00D66E17" w:rsidRDefault="001D7FF7" w:rsidP="001D7FF7">
      <w:pPr>
        <w:rPr>
          <w:rFonts w:ascii="Times New Roman" w:eastAsia="Times New Roman" w:hAnsi="Times New Roman" w:cs="Times New Roman"/>
          <w:b/>
          <w:color w:val="000000"/>
        </w:rPr>
      </w:pPr>
      <w:r w:rsidRPr="00D66E17">
        <w:rPr>
          <w:rFonts w:ascii="Times New Roman" w:eastAsia="Times New Roman" w:hAnsi="Times New Roman" w:cs="Times New Roman"/>
          <w:b/>
          <w:color w:val="000000"/>
        </w:rPr>
        <w:br w:type="page"/>
      </w:r>
    </w:p>
    <w:p w:rsidR="001D7FF7" w:rsidRPr="00D66E17" w:rsidRDefault="001D7FF7" w:rsidP="00D66E17">
      <w:pPr>
        <w:spacing w:before="120" w:after="240" w:line="240" w:lineRule="auto"/>
        <w:rPr>
          <w:rFonts w:ascii="Times New Roman" w:hAnsi="Times New Roman" w:cs="Times New Roman"/>
        </w:rPr>
      </w:pPr>
      <w:r w:rsidRPr="00D66E17">
        <w:rPr>
          <w:rFonts w:ascii="Times New Roman" w:hAnsi="Times New Roman" w:cs="Times New Roman"/>
        </w:rPr>
        <w:lastRenderedPageBreak/>
        <w:t xml:space="preserve">Supplementary Table S3. Sensitivity analyses of </w:t>
      </w:r>
      <w:proofErr w:type="gramStart"/>
      <w:r w:rsidRPr="00D66E17">
        <w:rPr>
          <w:rFonts w:ascii="Times New Roman" w:hAnsi="Times New Roman" w:cs="Times New Roman"/>
        </w:rPr>
        <w:t>patients</w:t>
      </w:r>
      <w:proofErr w:type="gramEnd"/>
      <w:r w:rsidRPr="00D66E17">
        <w:rPr>
          <w:rFonts w:ascii="Times New Roman" w:hAnsi="Times New Roman" w:cs="Times New Roman"/>
        </w:rPr>
        <w:t xml:space="preserve"> relapse-free at 1 year after initiation of </w:t>
      </w:r>
      <w:proofErr w:type="spellStart"/>
      <w:r w:rsidRPr="00D66E17">
        <w:rPr>
          <w:rFonts w:ascii="Times New Roman" w:hAnsi="Times New Roman" w:cs="Times New Roman"/>
        </w:rPr>
        <w:t>sc</w:t>
      </w:r>
      <w:proofErr w:type="spellEnd"/>
      <w:r w:rsidRPr="00D66E17">
        <w:rPr>
          <w:rFonts w:ascii="Times New Roman" w:hAnsi="Times New Roman" w:cs="Times New Roman"/>
        </w:rPr>
        <w:t xml:space="preserve"> IFN β-1a treatment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206"/>
        <w:gridCol w:w="1701"/>
        <w:gridCol w:w="1706"/>
        <w:gridCol w:w="1706"/>
        <w:gridCol w:w="1707"/>
      </w:tblGrid>
      <w:tr w:rsidR="001D7FF7" w:rsidRPr="00D66E17" w:rsidTr="008538C5">
        <w:tc>
          <w:tcPr>
            <w:tcW w:w="2257" w:type="dxa"/>
            <w:tcBorders>
              <w:top w:val="single" w:sz="4" w:space="0" w:color="auto"/>
            </w:tcBorders>
          </w:tcPr>
          <w:p w:rsidR="001D7FF7" w:rsidRPr="00D66E17" w:rsidRDefault="001D7FF7" w:rsidP="001D7FF7">
            <w:pPr>
              <w:rPr>
                <w:rFonts w:ascii="Times New Roman" w:hAnsi="Times New Roman"/>
              </w:rPr>
            </w:pPr>
          </w:p>
        </w:tc>
        <w:tc>
          <w:tcPr>
            <w:tcW w:w="6985" w:type="dxa"/>
            <w:gridSpan w:val="4"/>
            <w:tcBorders>
              <w:top w:val="single" w:sz="4" w:space="0" w:color="auto"/>
              <w:bottom w:val="single" w:sz="4" w:space="0" w:color="auto"/>
            </w:tcBorders>
            <w:vAlign w:val="center"/>
          </w:tcPr>
          <w:p w:rsidR="001D7FF7" w:rsidRPr="00D66E17" w:rsidRDefault="001D7FF7" w:rsidP="001D7FF7">
            <w:pPr>
              <w:jc w:val="center"/>
              <w:rPr>
                <w:rFonts w:ascii="Times New Roman" w:hAnsi="Times New Roman"/>
                <w:b/>
              </w:rPr>
            </w:pPr>
            <w:r w:rsidRPr="00D66E17">
              <w:rPr>
                <w:rFonts w:ascii="Times New Roman" w:hAnsi="Times New Roman"/>
                <w:b/>
              </w:rPr>
              <w:t>Age group, years</w:t>
            </w:r>
          </w:p>
        </w:tc>
      </w:tr>
      <w:tr w:rsidR="001D7FF7" w:rsidRPr="00D66E17" w:rsidTr="008538C5">
        <w:tc>
          <w:tcPr>
            <w:tcW w:w="2257" w:type="dxa"/>
            <w:tcBorders>
              <w:bottom w:val="single" w:sz="4" w:space="0" w:color="auto"/>
            </w:tcBorders>
            <w:vAlign w:val="bottom"/>
          </w:tcPr>
          <w:p w:rsidR="001D7FF7" w:rsidRPr="00D66E17" w:rsidRDefault="001D7FF7" w:rsidP="001D7FF7">
            <w:pPr>
              <w:rPr>
                <w:rFonts w:ascii="Times New Roman" w:hAnsi="Times New Roman"/>
              </w:rPr>
            </w:pPr>
            <w:r w:rsidRPr="00D66E17">
              <w:rPr>
                <w:rFonts w:ascii="Times New Roman" w:hAnsi="Times New Roman"/>
              </w:rPr>
              <w:t>Relapse-free at 1 year</w:t>
            </w:r>
          </w:p>
        </w:tc>
        <w:tc>
          <w:tcPr>
            <w:tcW w:w="1746" w:type="dxa"/>
            <w:tcBorders>
              <w:top w:val="single" w:sz="4" w:space="0" w:color="auto"/>
              <w:left w:val="nil"/>
              <w:bottom w:val="single" w:sz="4" w:space="0" w:color="auto"/>
              <w:right w:val="nil"/>
            </w:tcBorders>
            <w:shd w:val="clear" w:color="auto" w:fill="auto"/>
            <w:vAlign w:val="center"/>
          </w:tcPr>
          <w:p w:rsidR="001D7FF7" w:rsidRPr="00D66E17" w:rsidRDefault="001D7FF7" w:rsidP="001D7FF7">
            <w:pPr>
              <w:jc w:val="center"/>
              <w:rPr>
                <w:rFonts w:ascii="Times New Roman" w:hAnsi="Times New Roman"/>
                <w:b/>
              </w:rPr>
            </w:pPr>
            <w:r w:rsidRPr="00D66E17">
              <w:rPr>
                <w:rFonts w:ascii="Times New Roman" w:hAnsi="Times New Roman"/>
                <w:b/>
              </w:rPr>
              <w:t>18–30</w:t>
            </w:r>
            <w:r w:rsidRPr="00D66E17">
              <w:rPr>
                <w:rFonts w:ascii="Times New Roman" w:hAnsi="Times New Roman"/>
                <w:b/>
                <w:vertAlign w:val="superscript"/>
              </w:rPr>
              <w:t>a</w:t>
            </w:r>
          </w:p>
          <w:p w:rsidR="001D7FF7" w:rsidRPr="00D66E17" w:rsidRDefault="001D7FF7" w:rsidP="001D7FF7">
            <w:pPr>
              <w:jc w:val="center"/>
              <w:rPr>
                <w:rFonts w:ascii="Times New Roman" w:hAnsi="Times New Roman"/>
                <w:b/>
              </w:rPr>
            </w:pPr>
            <w:r w:rsidRPr="00D66E17">
              <w:rPr>
                <w:rFonts w:ascii="Times New Roman" w:hAnsi="Times New Roman"/>
                <w:b/>
              </w:rPr>
              <w:t>(N=773)</w:t>
            </w:r>
          </w:p>
        </w:tc>
        <w:tc>
          <w:tcPr>
            <w:tcW w:w="1746" w:type="dxa"/>
            <w:tcBorders>
              <w:top w:val="single" w:sz="4" w:space="0" w:color="auto"/>
              <w:left w:val="nil"/>
              <w:bottom w:val="single" w:sz="4" w:space="0" w:color="auto"/>
              <w:right w:val="nil"/>
            </w:tcBorders>
            <w:shd w:val="clear" w:color="auto" w:fill="auto"/>
            <w:vAlign w:val="center"/>
          </w:tcPr>
          <w:p w:rsidR="001D7FF7" w:rsidRPr="00D66E17" w:rsidRDefault="001D7FF7" w:rsidP="001D7FF7">
            <w:pPr>
              <w:jc w:val="center"/>
              <w:rPr>
                <w:rFonts w:ascii="Times New Roman" w:hAnsi="Times New Roman"/>
                <w:b/>
              </w:rPr>
            </w:pPr>
            <w:r w:rsidRPr="00D66E17">
              <w:rPr>
                <w:rFonts w:ascii="Times New Roman" w:hAnsi="Times New Roman"/>
                <w:b/>
              </w:rPr>
              <w:t>31–40</w:t>
            </w:r>
          </w:p>
          <w:p w:rsidR="001D7FF7" w:rsidRPr="00D66E17" w:rsidRDefault="001D7FF7" w:rsidP="001D7FF7">
            <w:pPr>
              <w:jc w:val="center"/>
              <w:rPr>
                <w:rFonts w:ascii="Times New Roman" w:hAnsi="Times New Roman"/>
                <w:b/>
              </w:rPr>
            </w:pPr>
            <w:r w:rsidRPr="00D66E17">
              <w:rPr>
                <w:rFonts w:ascii="Times New Roman" w:hAnsi="Times New Roman"/>
                <w:b/>
              </w:rPr>
              <w:t>(N=1468)</w:t>
            </w:r>
          </w:p>
        </w:tc>
        <w:tc>
          <w:tcPr>
            <w:tcW w:w="1746" w:type="dxa"/>
            <w:tcBorders>
              <w:top w:val="single" w:sz="4" w:space="0" w:color="auto"/>
              <w:left w:val="nil"/>
              <w:bottom w:val="single" w:sz="4" w:space="0" w:color="auto"/>
              <w:right w:val="nil"/>
            </w:tcBorders>
            <w:shd w:val="clear" w:color="auto" w:fill="auto"/>
            <w:vAlign w:val="center"/>
          </w:tcPr>
          <w:p w:rsidR="001D7FF7" w:rsidRPr="00D66E17" w:rsidRDefault="001D7FF7" w:rsidP="001D7FF7">
            <w:pPr>
              <w:jc w:val="center"/>
              <w:rPr>
                <w:rFonts w:ascii="Times New Roman" w:hAnsi="Times New Roman"/>
                <w:b/>
              </w:rPr>
            </w:pPr>
            <w:r w:rsidRPr="00D66E17">
              <w:rPr>
                <w:rFonts w:ascii="Times New Roman" w:hAnsi="Times New Roman"/>
                <w:b/>
              </w:rPr>
              <w:t>41–50</w:t>
            </w:r>
          </w:p>
          <w:p w:rsidR="001D7FF7" w:rsidRPr="00D66E17" w:rsidRDefault="001D7FF7" w:rsidP="001D7FF7">
            <w:pPr>
              <w:jc w:val="center"/>
              <w:rPr>
                <w:rFonts w:ascii="Times New Roman" w:hAnsi="Times New Roman"/>
                <w:b/>
              </w:rPr>
            </w:pPr>
            <w:r w:rsidRPr="00D66E17">
              <w:rPr>
                <w:rFonts w:ascii="Times New Roman" w:hAnsi="Times New Roman"/>
                <w:b/>
              </w:rPr>
              <w:t>(N=1630)</w:t>
            </w:r>
          </w:p>
        </w:tc>
        <w:tc>
          <w:tcPr>
            <w:tcW w:w="1747" w:type="dxa"/>
            <w:tcBorders>
              <w:top w:val="single" w:sz="4" w:space="0" w:color="auto"/>
              <w:left w:val="nil"/>
              <w:bottom w:val="single" w:sz="4" w:space="0" w:color="auto"/>
              <w:right w:val="nil"/>
            </w:tcBorders>
            <w:shd w:val="clear" w:color="auto" w:fill="auto"/>
            <w:vAlign w:val="center"/>
          </w:tcPr>
          <w:p w:rsidR="001D7FF7" w:rsidRPr="00D66E17" w:rsidRDefault="001D7FF7" w:rsidP="001D7FF7">
            <w:pPr>
              <w:jc w:val="center"/>
              <w:rPr>
                <w:rFonts w:ascii="Times New Roman" w:hAnsi="Times New Roman"/>
                <w:b/>
              </w:rPr>
            </w:pPr>
            <w:r w:rsidRPr="00D66E17">
              <w:rPr>
                <w:rFonts w:ascii="Times New Roman" w:hAnsi="Times New Roman"/>
                <w:b/>
              </w:rPr>
              <w:t>≥51</w:t>
            </w:r>
          </w:p>
          <w:p w:rsidR="001D7FF7" w:rsidRPr="00D66E17" w:rsidRDefault="001D7FF7" w:rsidP="001D7FF7">
            <w:pPr>
              <w:jc w:val="center"/>
              <w:rPr>
                <w:rFonts w:ascii="Times New Roman" w:hAnsi="Times New Roman"/>
                <w:b/>
              </w:rPr>
            </w:pPr>
            <w:r w:rsidRPr="00D66E17">
              <w:rPr>
                <w:rFonts w:ascii="Times New Roman" w:hAnsi="Times New Roman"/>
                <w:b/>
              </w:rPr>
              <w:t>(N=1469)</w:t>
            </w:r>
          </w:p>
        </w:tc>
      </w:tr>
      <w:tr w:rsidR="001D7FF7" w:rsidRPr="00D66E17" w:rsidTr="008538C5">
        <w:tc>
          <w:tcPr>
            <w:tcW w:w="9242" w:type="dxa"/>
            <w:gridSpan w:val="5"/>
            <w:tcBorders>
              <w:top w:val="single" w:sz="4" w:space="0" w:color="auto"/>
            </w:tcBorders>
          </w:tcPr>
          <w:p w:rsidR="001D7FF7" w:rsidRPr="00D66E17" w:rsidRDefault="001D7FF7" w:rsidP="001D7FF7">
            <w:pPr>
              <w:rPr>
                <w:rFonts w:ascii="Times New Roman" w:hAnsi="Times New Roman"/>
              </w:rPr>
            </w:pPr>
            <w:r w:rsidRPr="00D66E17">
              <w:rPr>
                <w:rFonts w:ascii="Times New Roman" w:hAnsi="Times New Roman"/>
              </w:rPr>
              <w:t xml:space="preserve">Gap window of 90 days following </w:t>
            </w:r>
            <w:proofErr w:type="spellStart"/>
            <w:r w:rsidRPr="00D66E17">
              <w:rPr>
                <w:rFonts w:ascii="Times New Roman" w:hAnsi="Times New Roman"/>
              </w:rPr>
              <w:t>discontinuation</w:t>
            </w:r>
            <w:r w:rsidRPr="00D66E17">
              <w:rPr>
                <w:rFonts w:ascii="Times New Roman" w:hAnsi="Times New Roman"/>
                <w:vertAlign w:val="superscript"/>
              </w:rPr>
              <w:t>b</w:t>
            </w:r>
            <w:proofErr w:type="spellEnd"/>
          </w:p>
        </w:tc>
      </w:tr>
      <w:tr w:rsidR="001D7FF7" w:rsidRPr="00D66E17" w:rsidTr="008538C5">
        <w:tc>
          <w:tcPr>
            <w:tcW w:w="2257" w:type="dxa"/>
          </w:tcPr>
          <w:p w:rsidR="001D7FF7" w:rsidRPr="00D66E17" w:rsidRDefault="001D7FF7" w:rsidP="001D7FF7">
            <w:pPr>
              <w:ind w:left="171"/>
              <w:rPr>
                <w:rFonts w:ascii="Times New Roman" w:hAnsi="Times New Roman"/>
              </w:rPr>
            </w:pPr>
            <w:r w:rsidRPr="00D66E17">
              <w:rPr>
                <w:rFonts w:ascii="Times New Roman" w:hAnsi="Times New Roman"/>
              </w:rPr>
              <w:t>Proportion of patients (95% CI)</w:t>
            </w:r>
          </w:p>
        </w:tc>
        <w:tc>
          <w:tcPr>
            <w:tcW w:w="1746" w:type="dxa"/>
            <w:vAlign w:val="center"/>
          </w:tcPr>
          <w:p w:rsidR="001D7FF7" w:rsidRPr="00D66E17" w:rsidRDefault="001D7FF7" w:rsidP="001D7FF7">
            <w:pPr>
              <w:jc w:val="center"/>
              <w:rPr>
                <w:rFonts w:ascii="Times New Roman" w:hAnsi="Times New Roman"/>
              </w:rPr>
            </w:pPr>
            <w:r w:rsidRPr="00D66E17">
              <w:rPr>
                <w:rFonts w:ascii="Times New Roman" w:hAnsi="Times New Roman"/>
              </w:rPr>
              <w:t xml:space="preserve">92.10 </w:t>
            </w:r>
          </w:p>
          <w:p w:rsidR="001D7FF7" w:rsidRPr="00D66E17" w:rsidRDefault="001D7FF7" w:rsidP="001D7FF7">
            <w:pPr>
              <w:jc w:val="center"/>
              <w:rPr>
                <w:rFonts w:ascii="Times New Roman" w:hAnsi="Times New Roman"/>
              </w:rPr>
            </w:pPr>
            <w:r w:rsidRPr="00D66E17">
              <w:rPr>
                <w:rFonts w:ascii="Times New Roman" w:hAnsi="Times New Roman"/>
              </w:rPr>
              <w:t>(90.11–94.10)</w:t>
            </w:r>
          </w:p>
        </w:tc>
        <w:tc>
          <w:tcPr>
            <w:tcW w:w="1746" w:type="dxa"/>
          </w:tcPr>
          <w:p w:rsidR="001D7FF7" w:rsidRPr="00D66E17" w:rsidRDefault="001D7FF7" w:rsidP="001D7FF7">
            <w:pPr>
              <w:jc w:val="center"/>
              <w:rPr>
                <w:rFonts w:ascii="Times New Roman" w:hAnsi="Times New Roman"/>
              </w:rPr>
            </w:pPr>
            <w:r w:rsidRPr="00D66E17">
              <w:rPr>
                <w:rFonts w:ascii="Times New Roman" w:hAnsi="Times New Roman"/>
              </w:rPr>
              <w:t xml:space="preserve">92.65 </w:t>
            </w:r>
          </w:p>
          <w:p w:rsidR="001D7FF7" w:rsidRPr="00D66E17" w:rsidRDefault="001D7FF7" w:rsidP="001D7FF7">
            <w:pPr>
              <w:jc w:val="center"/>
              <w:rPr>
                <w:rFonts w:ascii="Times New Roman" w:hAnsi="Times New Roman"/>
              </w:rPr>
            </w:pPr>
            <w:r w:rsidRPr="00D66E17">
              <w:rPr>
                <w:rFonts w:ascii="Times New Roman" w:hAnsi="Times New Roman"/>
              </w:rPr>
              <w:t>(91.22–94.08)</w:t>
            </w:r>
          </w:p>
        </w:tc>
        <w:tc>
          <w:tcPr>
            <w:tcW w:w="1746" w:type="dxa"/>
          </w:tcPr>
          <w:p w:rsidR="001D7FF7" w:rsidRPr="00D66E17" w:rsidRDefault="001D7FF7" w:rsidP="001D7FF7">
            <w:pPr>
              <w:jc w:val="center"/>
              <w:rPr>
                <w:rFonts w:ascii="Times New Roman" w:hAnsi="Times New Roman"/>
              </w:rPr>
            </w:pPr>
            <w:r w:rsidRPr="00D66E17">
              <w:rPr>
                <w:rFonts w:ascii="Times New Roman" w:hAnsi="Times New Roman"/>
              </w:rPr>
              <w:t xml:space="preserve">94.10 </w:t>
            </w:r>
          </w:p>
          <w:p w:rsidR="001D7FF7" w:rsidRPr="00D66E17" w:rsidRDefault="001D7FF7" w:rsidP="001D7FF7">
            <w:pPr>
              <w:jc w:val="center"/>
              <w:rPr>
                <w:rFonts w:ascii="Times New Roman" w:hAnsi="Times New Roman"/>
              </w:rPr>
            </w:pPr>
            <w:r w:rsidRPr="00D66E17">
              <w:rPr>
                <w:rFonts w:ascii="Times New Roman" w:hAnsi="Times New Roman"/>
              </w:rPr>
              <w:t>(92.86–95.33)</w:t>
            </w:r>
          </w:p>
        </w:tc>
        <w:tc>
          <w:tcPr>
            <w:tcW w:w="1747" w:type="dxa"/>
            <w:vAlign w:val="center"/>
          </w:tcPr>
          <w:p w:rsidR="001D7FF7" w:rsidRPr="00D66E17" w:rsidRDefault="001D7FF7" w:rsidP="001D7FF7">
            <w:pPr>
              <w:jc w:val="center"/>
              <w:rPr>
                <w:rFonts w:ascii="Times New Roman" w:hAnsi="Times New Roman"/>
              </w:rPr>
            </w:pPr>
            <w:r w:rsidRPr="00D66E17">
              <w:rPr>
                <w:rFonts w:ascii="Times New Roman" w:hAnsi="Times New Roman"/>
              </w:rPr>
              <w:t>94.31</w:t>
            </w:r>
          </w:p>
          <w:p w:rsidR="001D7FF7" w:rsidRPr="00D66E17" w:rsidRDefault="001D7FF7" w:rsidP="001D7FF7">
            <w:pPr>
              <w:jc w:val="center"/>
              <w:rPr>
                <w:rFonts w:ascii="Times New Roman" w:hAnsi="Times New Roman"/>
              </w:rPr>
            </w:pPr>
            <w:r w:rsidRPr="00D66E17">
              <w:rPr>
                <w:rFonts w:ascii="Times New Roman" w:hAnsi="Times New Roman"/>
              </w:rPr>
              <w:t>(93.05–95.57)</w:t>
            </w:r>
          </w:p>
        </w:tc>
      </w:tr>
      <w:tr w:rsidR="001D7FF7" w:rsidRPr="00D66E17" w:rsidTr="008538C5">
        <w:tc>
          <w:tcPr>
            <w:tcW w:w="2257" w:type="dxa"/>
          </w:tcPr>
          <w:p w:rsidR="001D7FF7" w:rsidRPr="00D66E17" w:rsidRDefault="001D7FF7" w:rsidP="001D7FF7">
            <w:pPr>
              <w:ind w:left="171"/>
              <w:rPr>
                <w:rFonts w:ascii="Times New Roman" w:hAnsi="Times New Roman"/>
              </w:rPr>
            </w:pPr>
            <w:r w:rsidRPr="00D66E17">
              <w:rPr>
                <w:rFonts w:ascii="Times New Roman" w:hAnsi="Times New Roman"/>
              </w:rPr>
              <w:t>Unadjusted SHR (95% CI)</w:t>
            </w:r>
          </w:p>
        </w:tc>
        <w:tc>
          <w:tcPr>
            <w:tcW w:w="1746" w:type="dxa"/>
            <w:vAlign w:val="center"/>
          </w:tcPr>
          <w:p w:rsidR="001D7FF7" w:rsidRPr="00D66E17" w:rsidRDefault="001D7FF7" w:rsidP="001D7FF7">
            <w:pPr>
              <w:jc w:val="center"/>
              <w:rPr>
                <w:rFonts w:ascii="Times New Roman" w:hAnsi="Times New Roman"/>
              </w:rPr>
            </w:pPr>
            <w:r w:rsidRPr="00D66E17">
              <w:rPr>
                <w:rFonts w:ascii="Times New Roman" w:hAnsi="Times New Roman"/>
              </w:rPr>
              <w:t>-</w:t>
            </w:r>
          </w:p>
        </w:tc>
        <w:tc>
          <w:tcPr>
            <w:tcW w:w="1746" w:type="dxa"/>
            <w:vAlign w:val="center"/>
          </w:tcPr>
          <w:p w:rsidR="001D7FF7" w:rsidRPr="00D66E17" w:rsidRDefault="001D7FF7" w:rsidP="001D7FF7">
            <w:pPr>
              <w:jc w:val="center"/>
              <w:rPr>
                <w:rFonts w:ascii="Times New Roman" w:hAnsi="Times New Roman"/>
              </w:rPr>
            </w:pPr>
            <w:r w:rsidRPr="00D66E17">
              <w:rPr>
                <w:rFonts w:ascii="Times New Roman" w:hAnsi="Times New Roman"/>
              </w:rPr>
              <w:t xml:space="preserve">0.89 </w:t>
            </w:r>
          </w:p>
          <w:p w:rsidR="001D7FF7" w:rsidRPr="00D66E17" w:rsidRDefault="001D7FF7" w:rsidP="001D7FF7">
            <w:pPr>
              <w:jc w:val="center"/>
              <w:rPr>
                <w:rFonts w:ascii="Times New Roman" w:hAnsi="Times New Roman"/>
              </w:rPr>
            </w:pPr>
            <w:r w:rsidRPr="00D66E17">
              <w:rPr>
                <w:rFonts w:ascii="Times New Roman" w:hAnsi="Times New Roman"/>
              </w:rPr>
              <w:t>(0.64–1.24)</w:t>
            </w:r>
          </w:p>
        </w:tc>
        <w:tc>
          <w:tcPr>
            <w:tcW w:w="1746" w:type="dxa"/>
            <w:vAlign w:val="center"/>
          </w:tcPr>
          <w:p w:rsidR="001D7FF7" w:rsidRPr="00D66E17" w:rsidRDefault="001D7FF7" w:rsidP="001D7FF7">
            <w:pPr>
              <w:jc w:val="center"/>
              <w:rPr>
                <w:rFonts w:ascii="Times New Roman" w:hAnsi="Times New Roman"/>
              </w:rPr>
            </w:pPr>
            <w:r w:rsidRPr="00D66E17">
              <w:rPr>
                <w:rFonts w:ascii="Times New Roman" w:hAnsi="Times New Roman"/>
              </w:rPr>
              <w:t xml:space="preserve">0.69 </w:t>
            </w:r>
          </w:p>
          <w:p w:rsidR="001D7FF7" w:rsidRPr="00D66E17" w:rsidRDefault="001D7FF7" w:rsidP="001D7FF7">
            <w:pPr>
              <w:jc w:val="center"/>
              <w:rPr>
                <w:rFonts w:ascii="Times New Roman" w:hAnsi="Times New Roman"/>
              </w:rPr>
            </w:pPr>
            <w:r w:rsidRPr="00D66E17">
              <w:rPr>
                <w:rFonts w:ascii="Times New Roman" w:hAnsi="Times New Roman"/>
              </w:rPr>
              <w:t>(0.49–0.96)</w:t>
            </w:r>
          </w:p>
        </w:tc>
        <w:tc>
          <w:tcPr>
            <w:tcW w:w="1747" w:type="dxa"/>
            <w:vAlign w:val="center"/>
          </w:tcPr>
          <w:p w:rsidR="001D7FF7" w:rsidRPr="00D66E17" w:rsidRDefault="001D7FF7" w:rsidP="001D7FF7">
            <w:pPr>
              <w:jc w:val="center"/>
              <w:rPr>
                <w:rFonts w:ascii="Times New Roman" w:hAnsi="Times New Roman"/>
              </w:rPr>
            </w:pPr>
            <w:r w:rsidRPr="00D66E17">
              <w:rPr>
                <w:rFonts w:ascii="Times New Roman" w:hAnsi="Times New Roman"/>
              </w:rPr>
              <w:t>0.68</w:t>
            </w:r>
          </w:p>
          <w:p w:rsidR="001D7FF7" w:rsidRPr="00D66E17" w:rsidRDefault="001D7FF7" w:rsidP="001D7FF7">
            <w:pPr>
              <w:jc w:val="center"/>
              <w:rPr>
                <w:rFonts w:ascii="Times New Roman" w:hAnsi="Times New Roman"/>
              </w:rPr>
            </w:pPr>
            <w:r w:rsidRPr="00D66E17">
              <w:rPr>
                <w:rFonts w:ascii="Times New Roman" w:hAnsi="Times New Roman"/>
              </w:rPr>
              <w:t>(0.48–0.96)</w:t>
            </w:r>
          </w:p>
        </w:tc>
      </w:tr>
      <w:tr w:rsidR="001D7FF7" w:rsidRPr="00D66E17" w:rsidTr="008538C5">
        <w:tc>
          <w:tcPr>
            <w:tcW w:w="2257" w:type="dxa"/>
          </w:tcPr>
          <w:p w:rsidR="001D7FF7" w:rsidRPr="00D66E17" w:rsidRDefault="001D7FF7" w:rsidP="001D7FF7">
            <w:pPr>
              <w:ind w:left="171"/>
              <w:rPr>
                <w:rFonts w:ascii="Times New Roman" w:hAnsi="Times New Roman"/>
              </w:rPr>
            </w:pPr>
            <w:r w:rsidRPr="00D66E17">
              <w:rPr>
                <w:rFonts w:ascii="Times New Roman" w:hAnsi="Times New Roman"/>
                <w:i/>
              </w:rPr>
              <w:t>p</w:t>
            </w:r>
            <w:r w:rsidRPr="00D66E17">
              <w:rPr>
                <w:rFonts w:ascii="Times New Roman" w:hAnsi="Times New Roman"/>
              </w:rPr>
              <w:t xml:space="preserve"> value</w:t>
            </w:r>
          </w:p>
        </w:tc>
        <w:tc>
          <w:tcPr>
            <w:tcW w:w="1746" w:type="dxa"/>
            <w:vAlign w:val="center"/>
          </w:tcPr>
          <w:p w:rsidR="001D7FF7" w:rsidRPr="00D66E17" w:rsidRDefault="001D7FF7" w:rsidP="001D7FF7">
            <w:pPr>
              <w:jc w:val="center"/>
              <w:rPr>
                <w:rFonts w:ascii="Times New Roman" w:hAnsi="Times New Roman"/>
              </w:rPr>
            </w:pPr>
            <w:r w:rsidRPr="00D66E17">
              <w:rPr>
                <w:rFonts w:ascii="Times New Roman" w:hAnsi="Times New Roman"/>
              </w:rPr>
              <w:t>-</w:t>
            </w:r>
          </w:p>
        </w:tc>
        <w:tc>
          <w:tcPr>
            <w:tcW w:w="1746" w:type="dxa"/>
          </w:tcPr>
          <w:p w:rsidR="001D7FF7" w:rsidRPr="00D66E17" w:rsidRDefault="001D7FF7" w:rsidP="001D7FF7">
            <w:pPr>
              <w:jc w:val="center"/>
              <w:rPr>
                <w:rFonts w:ascii="Times New Roman" w:hAnsi="Times New Roman"/>
              </w:rPr>
            </w:pPr>
            <w:r w:rsidRPr="00D66E17">
              <w:rPr>
                <w:rFonts w:ascii="Times New Roman" w:hAnsi="Times New Roman"/>
              </w:rPr>
              <w:t>0.490</w:t>
            </w:r>
          </w:p>
        </w:tc>
        <w:tc>
          <w:tcPr>
            <w:tcW w:w="1746" w:type="dxa"/>
          </w:tcPr>
          <w:p w:rsidR="001D7FF7" w:rsidRPr="00D66E17" w:rsidRDefault="001D7FF7" w:rsidP="001D7FF7">
            <w:pPr>
              <w:jc w:val="center"/>
              <w:rPr>
                <w:rFonts w:ascii="Times New Roman" w:hAnsi="Times New Roman"/>
              </w:rPr>
            </w:pPr>
            <w:r w:rsidRPr="00D66E17">
              <w:rPr>
                <w:rFonts w:ascii="Times New Roman" w:hAnsi="Times New Roman"/>
              </w:rPr>
              <w:t>0.030</w:t>
            </w:r>
          </w:p>
        </w:tc>
        <w:tc>
          <w:tcPr>
            <w:tcW w:w="1747" w:type="dxa"/>
          </w:tcPr>
          <w:p w:rsidR="001D7FF7" w:rsidRPr="00D66E17" w:rsidRDefault="001D7FF7" w:rsidP="001D7FF7">
            <w:pPr>
              <w:jc w:val="center"/>
              <w:rPr>
                <w:rFonts w:ascii="Times New Roman" w:hAnsi="Times New Roman"/>
              </w:rPr>
            </w:pPr>
            <w:r w:rsidRPr="00D66E17">
              <w:rPr>
                <w:rFonts w:ascii="Times New Roman" w:hAnsi="Times New Roman"/>
              </w:rPr>
              <w:t>0.029</w:t>
            </w:r>
          </w:p>
        </w:tc>
      </w:tr>
      <w:tr w:rsidR="001D7FF7" w:rsidRPr="00D66E17" w:rsidTr="008538C5">
        <w:tc>
          <w:tcPr>
            <w:tcW w:w="9242" w:type="dxa"/>
            <w:gridSpan w:val="5"/>
          </w:tcPr>
          <w:p w:rsidR="001D7FF7" w:rsidRPr="00D66E17" w:rsidRDefault="001D7FF7" w:rsidP="001D7FF7">
            <w:pPr>
              <w:rPr>
                <w:rFonts w:ascii="Times New Roman" w:hAnsi="Times New Roman"/>
              </w:rPr>
            </w:pPr>
            <w:r w:rsidRPr="00D66E17">
              <w:rPr>
                <w:rFonts w:ascii="Times New Roman" w:hAnsi="Times New Roman"/>
              </w:rPr>
              <w:t xml:space="preserve">Baseline of 12 </w:t>
            </w:r>
            <w:proofErr w:type="spellStart"/>
            <w:r w:rsidRPr="00D66E17">
              <w:rPr>
                <w:rFonts w:ascii="Times New Roman" w:hAnsi="Times New Roman"/>
              </w:rPr>
              <w:t>months</w:t>
            </w:r>
            <w:r w:rsidRPr="00D66E17">
              <w:rPr>
                <w:rFonts w:ascii="Times New Roman" w:hAnsi="Times New Roman"/>
                <w:vertAlign w:val="superscript"/>
              </w:rPr>
              <w:t>c</w:t>
            </w:r>
            <w:proofErr w:type="spellEnd"/>
          </w:p>
        </w:tc>
      </w:tr>
      <w:tr w:rsidR="001D7FF7" w:rsidRPr="00D66E17" w:rsidTr="008538C5">
        <w:tc>
          <w:tcPr>
            <w:tcW w:w="2257" w:type="dxa"/>
          </w:tcPr>
          <w:p w:rsidR="001D7FF7" w:rsidRPr="00D66E17" w:rsidRDefault="001D7FF7" w:rsidP="001D7FF7">
            <w:pPr>
              <w:ind w:left="171"/>
              <w:rPr>
                <w:rFonts w:ascii="Times New Roman" w:hAnsi="Times New Roman"/>
              </w:rPr>
            </w:pPr>
            <w:r w:rsidRPr="00D66E17">
              <w:rPr>
                <w:rFonts w:ascii="Times New Roman" w:hAnsi="Times New Roman"/>
              </w:rPr>
              <w:t>Proportion of patients</w:t>
            </w:r>
            <w:r w:rsidRPr="00D66E17">
              <w:rPr>
                <w:rFonts w:ascii="Times New Roman" w:hAnsi="Times New Roman"/>
                <w:vertAlign w:val="superscript"/>
              </w:rPr>
              <w:t xml:space="preserve"> </w:t>
            </w:r>
            <w:r w:rsidRPr="00D66E17">
              <w:rPr>
                <w:rFonts w:ascii="Times New Roman" w:hAnsi="Times New Roman"/>
              </w:rPr>
              <w:t>95% CI)</w:t>
            </w:r>
          </w:p>
        </w:tc>
        <w:tc>
          <w:tcPr>
            <w:tcW w:w="1746" w:type="dxa"/>
          </w:tcPr>
          <w:p w:rsidR="001D7FF7" w:rsidRPr="00D66E17" w:rsidRDefault="001D7FF7" w:rsidP="001D7FF7">
            <w:pPr>
              <w:jc w:val="center"/>
              <w:rPr>
                <w:rFonts w:ascii="Times New Roman" w:hAnsi="Times New Roman"/>
              </w:rPr>
            </w:pPr>
            <w:r w:rsidRPr="00D66E17">
              <w:rPr>
                <w:rFonts w:ascii="Times New Roman" w:hAnsi="Times New Roman"/>
              </w:rPr>
              <w:t xml:space="preserve">94.79 </w:t>
            </w:r>
          </w:p>
          <w:p w:rsidR="001D7FF7" w:rsidRPr="00D66E17" w:rsidRDefault="001D7FF7" w:rsidP="001D7FF7">
            <w:pPr>
              <w:jc w:val="center"/>
              <w:rPr>
                <w:rFonts w:ascii="Times New Roman" w:hAnsi="Times New Roman"/>
              </w:rPr>
            </w:pPr>
            <w:r w:rsidRPr="00D66E17">
              <w:rPr>
                <w:rFonts w:ascii="Times New Roman" w:hAnsi="Times New Roman"/>
              </w:rPr>
              <w:t>(92.79–96.79)</w:t>
            </w:r>
          </w:p>
        </w:tc>
        <w:tc>
          <w:tcPr>
            <w:tcW w:w="1746" w:type="dxa"/>
          </w:tcPr>
          <w:p w:rsidR="001D7FF7" w:rsidRPr="00D66E17" w:rsidRDefault="001D7FF7" w:rsidP="001D7FF7">
            <w:pPr>
              <w:jc w:val="center"/>
              <w:rPr>
                <w:rFonts w:ascii="Times New Roman" w:hAnsi="Times New Roman"/>
              </w:rPr>
            </w:pPr>
            <w:r w:rsidRPr="00D66E17">
              <w:rPr>
                <w:rFonts w:ascii="Times New Roman" w:hAnsi="Times New Roman"/>
              </w:rPr>
              <w:t xml:space="preserve">94.23 </w:t>
            </w:r>
          </w:p>
          <w:p w:rsidR="001D7FF7" w:rsidRPr="00D66E17" w:rsidRDefault="001D7FF7" w:rsidP="001D7FF7">
            <w:pPr>
              <w:jc w:val="center"/>
              <w:rPr>
                <w:rFonts w:ascii="Times New Roman" w:hAnsi="Times New Roman"/>
              </w:rPr>
            </w:pPr>
            <w:r w:rsidRPr="00D66E17">
              <w:rPr>
                <w:rFonts w:ascii="Times New Roman" w:hAnsi="Times New Roman"/>
              </w:rPr>
              <w:t>(92.67–95.78)</w:t>
            </w:r>
          </w:p>
        </w:tc>
        <w:tc>
          <w:tcPr>
            <w:tcW w:w="1746" w:type="dxa"/>
          </w:tcPr>
          <w:p w:rsidR="001D7FF7" w:rsidRPr="00D66E17" w:rsidRDefault="001D7FF7" w:rsidP="001D7FF7">
            <w:pPr>
              <w:jc w:val="center"/>
              <w:rPr>
                <w:rFonts w:ascii="Times New Roman" w:hAnsi="Times New Roman"/>
              </w:rPr>
            </w:pPr>
            <w:r w:rsidRPr="00D66E17">
              <w:rPr>
                <w:rFonts w:ascii="Times New Roman" w:hAnsi="Times New Roman"/>
              </w:rPr>
              <w:t>95.44</w:t>
            </w:r>
          </w:p>
          <w:p w:rsidR="001D7FF7" w:rsidRPr="00D66E17" w:rsidRDefault="001D7FF7" w:rsidP="001D7FF7">
            <w:pPr>
              <w:jc w:val="center"/>
              <w:rPr>
                <w:rFonts w:ascii="Times New Roman" w:hAnsi="Times New Roman"/>
              </w:rPr>
            </w:pPr>
            <w:r w:rsidRPr="00D66E17">
              <w:rPr>
                <w:rFonts w:ascii="Times New Roman" w:hAnsi="Times New Roman"/>
              </w:rPr>
              <w:t>(94.15–96.72)</w:t>
            </w:r>
          </w:p>
        </w:tc>
        <w:tc>
          <w:tcPr>
            <w:tcW w:w="1747" w:type="dxa"/>
          </w:tcPr>
          <w:p w:rsidR="001D7FF7" w:rsidRPr="00D66E17" w:rsidRDefault="001D7FF7" w:rsidP="001D7FF7">
            <w:pPr>
              <w:jc w:val="center"/>
              <w:rPr>
                <w:rFonts w:ascii="Times New Roman" w:hAnsi="Times New Roman"/>
              </w:rPr>
            </w:pPr>
            <w:r w:rsidRPr="00D66E17">
              <w:rPr>
                <w:rFonts w:ascii="Times New Roman" w:hAnsi="Times New Roman"/>
              </w:rPr>
              <w:t>95.08</w:t>
            </w:r>
          </w:p>
          <w:p w:rsidR="001D7FF7" w:rsidRPr="00D66E17" w:rsidRDefault="001D7FF7" w:rsidP="001D7FF7">
            <w:pPr>
              <w:jc w:val="center"/>
              <w:rPr>
                <w:rFonts w:ascii="Times New Roman" w:hAnsi="Times New Roman"/>
              </w:rPr>
            </w:pPr>
            <w:r w:rsidRPr="00D66E17">
              <w:rPr>
                <w:rFonts w:ascii="Times New Roman" w:hAnsi="Times New Roman"/>
              </w:rPr>
              <w:t>(93.73–96.43)</w:t>
            </w:r>
          </w:p>
        </w:tc>
      </w:tr>
      <w:tr w:rsidR="001D7FF7" w:rsidRPr="00D66E17" w:rsidTr="008538C5">
        <w:tc>
          <w:tcPr>
            <w:tcW w:w="2257" w:type="dxa"/>
          </w:tcPr>
          <w:p w:rsidR="001D7FF7" w:rsidRPr="00D66E17" w:rsidRDefault="001D7FF7" w:rsidP="001D7FF7">
            <w:pPr>
              <w:ind w:left="171"/>
              <w:rPr>
                <w:rFonts w:ascii="Times New Roman" w:hAnsi="Times New Roman"/>
              </w:rPr>
            </w:pPr>
            <w:r w:rsidRPr="00D66E17">
              <w:rPr>
                <w:rFonts w:ascii="Times New Roman" w:hAnsi="Times New Roman"/>
              </w:rPr>
              <w:t>Unadjusted SHR (95% CI)</w:t>
            </w:r>
          </w:p>
        </w:tc>
        <w:tc>
          <w:tcPr>
            <w:tcW w:w="1746" w:type="dxa"/>
          </w:tcPr>
          <w:p w:rsidR="001D7FF7" w:rsidRPr="00D66E17" w:rsidRDefault="001D7FF7" w:rsidP="001D7FF7">
            <w:pPr>
              <w:jc w:val="center"/>
              <w:rPr>
                <w:rFonts w:ascii="Times New Roman" w:hAnsi="Times New Roman"/>
              </w:rPr>
            </w:pPr>
            <w:r w:rsidRPr="00D66E17">
              <w:rPr>
                <w:rFonts w:ascii="Times New Roman" w:hAnsi="Times New Roman"/>
              </w:rPr>
              <w:t>-</w:t>
            </w:r>
          </w:p>
        </w:tc>
        <w:tc>
          <w:tcPr>
            <w:tcW w:w="1746" w:type="dxa"/>
          </w:tcPr>
          <w:p w:rsidR="001D7FF7" w:rsidRPr="00D66E17" w:rsidRDefault="001D7FF7" w:rsidP="001D7FF7">
            <w:pPr>
              <w:jc w:val="center"/>
              <w:rPr>
                <w:rFonts w:ascii="Times New Roman" w:hAnsi="Times New Roman"/>
              </w:rPr>
            </w:pPr>
            <w:r w:rsidRPr="00D66E17">
              <w:rPr>
                <w:rFonts w:ascii="Times New Roman" w:hAnsi="Times New Roman"/>
              </w:rPr>
              <w:t xml:space="preserve">1.05 </w:t>
            </w:r>
          </w:p>
          <w:p w:rsidR="001D7FF7" w:rsidRPr="00D66E17" w:rsidRDefault="001D7FF7" w:rsidP="001D7FF7">
            <w:pPr>
              <w:jc w:val="center"/>
              <w:rPr>
                <w:rFonts w:ascii="Times New Roman" w:hAnsi="Times New Roman"/>
              </w:rPr>
            </w:pPr>
            <w:r w:rsidRPr="00D66E17">
              <w:rPr>
                <w:rFonts w:ascii="Times New Roman" w:hAnsi="Times New Roman"/>
              </w:rPr>
              <w:t>(0.65–1.69)</w:t>
            </w:r>
          </w:p>
        </w:tc>
        <w:tc>
          <w:tcPr>
            <w:tcW w:w="1746" w:type="dxa"/>
          </w:tcPr>
          <w:p w:rsidR="001D7FF7" w:rsidRPr="00D66E17" w:rsidRDefault="001D7FF7" w:rsidP="001D7FF7">
            <w:pPr>
              <w:jc w:val="center"/>
              <w:rPr>
                <w:rFonts w:ascii="Times New Roman" w:hAnsi="Times New Roman"/>
              </w:rPr>
            </w:pPr>
            <w:r w:rsidRPr="00D66E17">
              <w:rPr>
                <w:rFonts w:ascii="Times New Roman" w:hAnsi="Times New Roman"/>
              </w:rPr>
              <w:t xml:space="preserve">0.80 </w:t>
            </w:r>
          </w:p>
          <w:p w:rsidR="001D7FF7" w:rsidRPr="00D66E17" w:rsidRDefault="001D7FF7" w:rsidP="001D7FF7">
            <w:pPr>
              <w:jc w:val="center"/>
              <w:rPr>
                <w:rFonts w:ascii="Times New Roman" w:hAnsi="Times New Roman"/>
              </w:rPr>
            </w:pPr>
            <w:r w:rsidRPr="00D66E17">
              <w:rPr>
                <w:rFonts w:ascii="Times New Roman" w:hAnsi="Times New Roman"/>
              </w:rPr>
              <w:t>(0.49–1.30)</w:t>
            </w:r>
          </w:p>
        </w:tc>
        <w:tc>
          <w:tcPr>
            <w:tcW w:w="1747" w:type="dxa"/>
          </w:tcPr>
          <w:p w:rsidR="001D7FF7" w:rsidRPr="00D66E17" w:rsidRDefault="001D7FF7" w:rsidP="001D7FF7">
            <w:pPr>
              <w:jc w:val="center"/>
              <w:rPr>
                <w:rFonts w:ascii="Times New Roman" w:hAnsi="Times New Roman"/>
              </w:rPr>
            </w:pPr>
            <w:r w:rsidRPr="00D66E17">
              <w:rPr>
                <w:rFonts w:ascii="Times New Roman" w:hAnsi="Times New Roman"/>
              </w:rPr>
              <w:t xml:space="preserve">0.89 </w:t>
            </w:r>
          </w:p>
          <w:p w:rsidR="001D7FF7" w:rsidRPr="00D66E17" w:rsidRDefault="001D7FF7" w:rsidP="001D7FF7">
            <w:pPr>
              <w:jc w:val="center"/>
              <w:rPr>
                <w:rFonts w:ascii="Times New Roman" w:hAnsi="Times New Roman"/>
              </w:rPr>
            </w:pPr>
            <w:r w:rsidRPr="00D66E17">
              <w:rPr>
                <w:rFonts w:ascii="Times New Roman" w:hAnsi="Times New Roman"/>
              </w:rPr>
              <w:t>(0.55–1.45)</w:t>
            </w:r>
          </w:p>
        </w:tc>
      </w:tr>
      <w:tr w:rsidR="001D7FF7" w:rsidRPr="00D66E17" w:rsidTr="008538C5">
        <w:tc>
          <w:tcPr>
            <w:tcW w:w="2257" w:type="dxa"/>
            <w:tcBorders>
              <w:bottom w:val="single" w:sz="4" w:space="0" w:color="auto"/>
            </w:tcBorders>
          </w:tcPr>
          <w:p w:rsidR="001D7FF7" w:rsidRPr="00D66E17" w:rsidRDefault="001D7FF7" w:rsidP="001D7FF7">
            <w:pPr>
              <w:ind w:left="171"/>
              <w:rPr>
                <w:rFonts w:ascii="Times New Roman" w:hAnsi="Times New Roman"/>
              </w:rPr>
            </w:pPr>
            <w:r w:rsidRPr="00D66E17">
              <w:rPr>
                <w:rFonts w:ascii="Times New Roman" w:hAnsi="Times New Roman"/>
                <w:i/>
              </w:rPr>
              <w:t>p</w:t>
            </w:r>
            <w:r w:rsidRPr="00D66E17">
              <w:rPr>
                <w:rFonts w:ascii="Times New Roman" w:hAnsi="Times New Roman"/>
              </w:rPr>
              <w:t xml:space="preserve"> value</w:t>
            </w:r>
          </w:p>
        </w:tc>
        <w:tc>
          <w:tcPr>
            <w:tcW w:w="1746" w:type="dxa"/>
            <w:tcBorders>
              <w:bottom w:val="single" w:sz="4" w:space="0" w:color="auto"/>
            </w:tcBorders>
          </w:tcPr>
          <w:p w:rsidR="001D7FF7" w:rsidRPr="00D66E17" w:rsidRDefault="001D7FF7" w:rsidP="001D7FF7">
            <w:pPr>
              <w:jc w:val="center"/>
              <w:rPr>
                <w:rFonts w:ascii="Times New Roman" w:hAnsi="Times New Roman"/>
              </w:rPr>
            </w:pPr>
            <w:r w:rsidRPr="00D66E17">
              <w:rPr>
                <w:rFonts w:ascii="Times New Roman" w:hAnsi="Times New Roman"/>
              </w:rPr>
              <w:t>-</w:t>
            </w:r>
          </w:p>
        </w:tc>
        <w:tc>
          <w:tcPr>
            <w:tcW w:w="1746" w:type="dxa"/>
            <w:tcBorders>
              <w:bottom w:val="single" w:sz="4" w:space="0" w:color="auto"/>
            </w:tcBorders>
          </w:tcPr>
          <w:p w:rsidR="001D7FF7" w:rsidRPr="00D66E17" w:rsidRDefault="001D7FF7" w:rsidP="001D7FF7">
            <w:pPr>
              <w:jc w:val="center"/>
              <w:rPr>
                <w:rFonts w:ascii="Times New Roman" w:hAnsi="Times New Roman"/>
              </w:rPr>
            </w:pPr>
            <w:r w:rsidRPr="00D66E17">
              <w:rPr>
                <w:rFonts w:ascii="Times New Roman" w:hAnsi="Times New Roman"/>
              </w:rPr>
              <w:t>0.85</w:t>
            </w:r>
          </w:p>
        </w:tc>
        <w:tc>
          <w:tcPr>
            <w:tcW w:w="1746" w:type="dxa"/>
            <w:tcBorders>
              <w:bottom w:val="single" w:sz="4" w:space="0" w:color="auto"/>
            </w:tcBorders>
          </w:tcPr>
          <w:p w:rsidR="001D7FF7" w:rsidRPr="00D66E17" w:rsidRDefault="001D7FF7" w:rsidP="001D7FF7">
            <w:pPr>
              <w:jc w:val="center"/>
              <w:rPr>
                <w:rFonts w:ascii="Times New Roman" w:hAnsi="Times New Roman"/>
              </w:rPr>
            </w:pPr>
            <w:r w:rsidRPr="00D66E17">
              <w:rPr>
                <w:rFonts w:ascii="Times New Roman" w:hAnsi="Times New Roman"/>
              </w:rPr>
              <w:t>0.36</w:t>
            </w:r>
          </w:p>
        </w:tc>
        <w:tc>
          <w:tcPr>
            <w:tcW w:w="1747" w:type="dxa"/>
            <w:tcBorders>
              <w:bottom w:val="single" w:sz="4" w:space="0" w:color="auto"/>
            </w:tcBorders>
          </w:tcPr>
          <w:p w:rsidR="001D7FF7" w:rsidRPr="00D66E17" w:rsidRDefault="001D7FF7" w:rsidP="001D7FF7">
            <w:pPr>
              <w:jc w:val="center"/>
              <w:rPr>
                <w:rFonts w:ascii="Times New Roman" w:hAnsi="Times New Roman"/>
              </w:rPr>
            </w:pPr>
            <w:r w:rsidRPr="00D66E17">
              <w:rPr>
                <w:rFonts w:ascii="Times New Roman" w:hAnsi="Times New Roman"/>
              </w:rPr>
              <w:t>0.65</w:t>
            </w:r>
          </w:p>
        </w:tc>
      </w:tr>
    </w:tbl>
    <w:p w:rsidR="001D7FF7" w:rsidRPr="00D66E17" w:rsidRDefault="001D7FF7" w:rsidP="00D66E17">
      <w:pPr>
        <w:spacing w:before="120" w:after="240" w:line="240" w:lineRule="auto"/>
        <w:rPr>
          <w:rFonts w:ascii="Times New Roman" w:eastAsia="Times New Roman" w:hAnsi="Times New Roman" w:cs="Times New Roman"/>
          <w:color w:val="000000"/>
          <w:sz w:val="23"/>
          <w:szCs w:val="24"/>
        </w:rPr>
      </w:pPr>
      <w:proofErr w:type="spellStart"/>
      <w:r w:rsidRPr="00D66E17">
        <w:rPr>
          <w:rFonts w:ascii="Times New Roman" w:hAnsi="Times New Roman" w:cs="Times New Roman"/>
          <w:vertAlign w:val="superscript"/>
        </w:rPr>
        <w:t>a</w:t>
      </w:r>
      <w:r w:rsidRPr="00D66E17">
        <w:rPr>
          <w:rFonts w:ascii="Times New Roman" w:hAnsi="Times New Roman" w:cs="Times New Roman"/>
        </w:rPr>
        <w:t>Reference</w:t>
      </w:r>
      <w:proofErr w:type="spellEnd"/>
      <w:r w:rsidRPr="00D66E17">
        <w:rPr>
          <w:rFonts w:ascii="Times New Roman" w:hAnsi="Times New Roman" w:cs="Times New Roman"/>
        </w:rPr>
        <w:t xml:space="preserve"> group; </w:t>
      </w:r>
      <w:proofErr w:type="spellStart"/>
      <w:r w:rsidRPr="00D66E17">
        <w:rPr>
          <w:rFonts w:ascii="Times New Roman" w:hAnsi="Times New Roman" w:cs="Times New Roman"/>
          <w:vertAlign w:val="superscript"/>
        </w:rPr>
        <w:t>b</w:t>
      </w:r>
      <w:r w:rsidRPr="00D66E17">
        <w:rPr>
          <w:rFonts w:ascii="Times New Roman" w:hAnsi="Times New Roman" w:cs="Times New Roman"/>
        </w:rPr>
        <w:t>Sensitivity</w:t>
      </w:r>
      <w:proofErr w:type="spellEnd"/>
      <w:r w:rsidRPr="00D66E17">
        <w:rPr>
          <w:rFonts w:ascii="Times New Roman" w:hAnsi="Times New Roman" w:cs="Times New Roman"/>
        </w:rPr>
        <w:t xml:space="preserve"> analysis considering a gap window of 90 days instead of no gap following discontinuation to account for any of the relapse events; </w:t>
      </w:r>
      <w:proofErr w:type="spellStart"/>
      <w:r w:rsidRPr="00D66E17">
        <w:rPr>
          <w:rFonts w:ascii="Times New Roman" w:hAnsi="Times New Roman" w:cs="Times New Roman"/>
          <w:vertAlign w:val="superscript"/>
        </w:rPr>
        <w:t>c</w:t>
      </w:r>
      <w:r w:rsidRPr="00D66E17">
        <w:rPr>
          <w:rFonts w:ascii="Times New Roman" w:hAnsi="Times New Roman" w:cs="Times New Roman"/>
        </w:rPr>
        <w:t>Sensitivity</w:t>
      </w:r>
      <w:proofErr w:type="spellEnd"/>
      <w:r w:rsidRPr="00D66E17">
        <w:rPr>
          <w:rFonts w:ascii="Times New Roman" w:hAnsi="Times New Roman" w:cs="Times New Roman"/>
        </w:rPr>
        <w:t xml:space="preserve"> analysis </w:t>
      </w:r>
      <w:r w:rsidRPr="00D66E17">
        <w:rPr>
          <w:rFonts w:ascii="Times New Roman" w:eastAsia="Times New Roman" w:hAnsi="Times New Roman" w:cs="Times New Roman"/>
          <w:color w:val="000000"/>
          <w:sz w:val="23"/>
          <w:szCs w:val="24"/>
          <w:lang w:val="x-none"/>
        </w:rPr>
        <w:t>using a patient history prior</w:t>
      </w:r>
      <w:r w:rsidRPr="00D66E17">
        <w:rPr>
          <w:rFonts w:ascii="Times New Roman" w:eastAsia="Times New Roman" w:hAnsi="Times New Roman" w:cs="Times New Roman"/>
          <w:color w:val="000000"/>
          <w:sz w:val="23"/>
          <w:szCs w:val="24"/>
        </w:rPr>
        <w:t xml:space="preserve"> </w:t>
      </w:r>
      <w:r w:rsidRPr="00D66E17">
        <w:rPr>
          <w:rFonts w:ascii="Times New Roman" w:eastAsia="Times New Roman" w:hAnsi="Times New Roman" w:cs="Times New Roman"/>
          <w:color w:val="000000"/>
          <w:sz w:val="23"/>
          <w:szCs w:val="24"/>
          <w:lang w:val="x-none"/>
        </w:rPr>
        <w:t>of at least 12 months</w:t>
      </w:r>
      <w:r w:rsidRPr="00D66E17">
        <w:rPr>
          <w:rFonts w:ascii="Times New Roman" w:hAnsi="Times New Roman" w:cs="Times New Roman"/>
        </w:rPr>
        <w:t xml:space="preserve"> </w:t>
      </w:r>
      <w:r w:rsidRPr="00D66E17">
        <w:rPr>
          <w:rFonts w:ascii="Times New Roman" w:eastAsia="Times New Roman" w:hAnsi="Times New Roman" w:cs="Times New Roman"/>
          <w:color w:val="000000"/>
          <w:sz w:val="23"/>
          <w:szCs w:val="24"/>
        </w:rPr>
        <w:t xml:space="preserve">(vs ≥6 months) </w:t>
      </w:r>
      <w:r w:rsidRPr="00D66E17">
        <w:rPr>
          <w:rFonts w:ascii="Times New Roman" w:hAnsi="Times New Roman" w:cs="Times New Roman"/>
        </w:rPr>
        <w:t xml:space="preserve">prior </w:t>
      </w:r>
      <w:r w:rsidRPr="00D66E17">
        <w:rPr>
          <w:rFonts w:ascii="Times New Roman" w:eastAsia="Times New Roman" w:hAnsi="Times New Roman" w:cs="Times New Roman"/>
          <w:color w:val="000000"/>
          <w:sz w:val="23"/>
          <w:szCs w:val="24"/>
          <w:lang w:val="x-none"/>
        </w:rPr>
        <w:t>to the index date</w:t>
      </w:r>
      <w:r w:rsidRPr="00D66E17">
        <w:rPr>
          <w:rFonts w:ascii="Times New Roman" w:eastAsia="Times New Roman" w:hAnsi="Times New Roman" w:cs="Times New Roman"/>
          <w:color w:val="000000"/>
          <w:sz w:val="23"/>
          <w:szCs w:val="24"/>
        </w:rPr>
        <w:t>.</w:t>
      </w:r>
    </w:p>
    <w:p w:rsidR="00BF6353" w:rsidRPr="00D66E17" w:rsidRDefault="001D7FF7" w:rsidP="00D66E17">
      <w:pPr>
        <w:spacing w:before="120" w:after="240" w:line="240" w:lineRule="auto"/>
        <w:rPr>
          <w:rFonts w:ascii="Times New Roman" w:eastAsia="Times New Roman" w:hAnsi="Times New Roman" w:cs="Times New Roman"/>
          <w:color w:val="000000"/>
          <w:sz w:val="23"/>
          <w:szCs w:val="24"/>
        </w:rPr>
      </w:pPr>
      <w:r w:rsidRPr="00D66E17">
        <w:rPr>
          <w:rFonts w:ascii="Times New Roman" w:eastAsia="Times New Roman" w:hAnsi="Times New Roman" w:cs="Times New Roman"/>
          <w:color w:val="000000"/>
          <w:sz w:val="23"/>
          <w:szCs w:val="24"/>
        </w:rPr>
        <w:t xml:space="preserve">CI, confidence interval; </w:t>
      </w:r>
      <w:proofErr w:type="spellStart"/>
      <w:r w:rsidRPr="00D66E17">
        <w:rPr>
          <w:rFonts w:ascii="Times New Roman" w:eastAsia="Times New Roman" w:hAnsi="Times New Roman" w:cs="Times New Roman"/>
          <w:color w:val="000000"/>
          <w:sz w:val="23"/>
          <w:szCs w:val="24"/>
        </w:rPr>
        <w:t>sc</w:t>
      </w:r>
      <w:proofErr w:type="spellEnd"/>
      <w:r w:rsidRPr="00D66E17">
        <w:rPr>
          <w:rFonts w:ascii="Times New Roman" w:eastAsia="Times New Roman" w:hAnsi="Times New Roman" w:cs="Times New Roman"/>
          <w:color w:val="000000"/>
          <w:sz w:val="23"/>
          <w:szCs w:val="24"/>
        </w:rPr>
        <w:t xml:space="preserve"> IFN β-1a, subcutaneous interferon </w:t>
      </w:r>
      <w:r w:rsidR="00D66E17">
        <w:rPr>
          <w:rFonts w:ascii="Times New Roman" w:eastAsia="Times New Roman" w:hAnsi="Times New Roman" w:cs="Times New Roman"/>
          <w:color w:val="000000"/>
          <w:sz w:val="23"/>
          <w:szCs w:val="24"/>
        </w:rPr>
        <w:t>beta</w:t>
      </w:r>
      <w:r w:rsidRPr="00D66E17">
        <w:rPr>
          <w:rFonts w:ascii="Times New Roman" w:eastAsia="Times New Roman" w:hAnsi="Times New Roman" w:cs="Times New Roman"/>
          <w:color w:val="000000"/>
          <w:sz w:val="23"/>
          <w:szCs w:val="24"/>
        </w:rPr>
        <w:t xml:space="preserve">-1a; SHR, </w:t>
      </w:r>
      <w:proofErr w:type="spellStart"/>
      <w:r w:rsidRPr="00D66E17">
        <w:rPr>
          <w:rFonts w:ascii="Times New Roman" w:eastAsia="Times New Roman" w:hAnsi="Times New Roman" w:cs="Times New Roman"/>
          <w:color w:val="000000"/>
          <w:sz w:val="23"/>
          <w:szCs w:val="24"/>
        </w:rPr>
        <w:t>subdistribution</w:t>
      </w:r>
      <w:proofErr w:type="spellEnd"/>
      <w:r w:rsidRPr="00D66E17">
        <w:rPr>
          <w:rFonts w:ascii="Times New Roman" w:eastAsia="Times New Roman" w:hAnsi="Times New Roman" w:cs="Times New Roman"/>
          <w:color w:val="000000"/>
          <w:sz w:val="23"/>
          <w:szCs w:val="24"/>
        </w:rPr>
        <w:t xml:space="preserve"> hazard ratio estimates.</w:t>
      </w:r>
    </w:p>
    <w:sectPr w:rsidR="00BF6353" w:rsidRPr="00D66E17" w:rsidSect="00D66E17">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63AA3"/>
    <w:multiLevelType w:val="hybridMultilevel"/>
    <w:tmpl w:val="92E01F3C"/>
    <w:lvl w:ilvl="0" w:tplc="00564D8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76DC5"/>
    <w:multiLevelType w:val="hybridMultilevel"/>
    <w:tmpl w:val="B52AABA2"/>
    <w:lvl w:ilvl="0" w:tplc="146E254C">
      <w:start w:val="1"/>
      <w:numFmt w:val="bullet"/>
      <w:lvlText w:val="•"/>
      <w:lvlJc w:val="left"/>
      <w:pPr>
        <w:tabs>
          <w:tab w:val="num" w:pos="720"/>
        </w:tabs>
        <w:ind w:left="720" w:hanging="360"/>
      </w:pPr>
      <w:rPr>
        <w:rFonts w:ascii="Arial" w:hAnsi="Arial" w:hint="default"/>
      </w:rPr>
    </w:lvl>
    <w:lvl w:ilvl="1" w:tplc="5F36FE4E" w:tentative="1">
      <w:start w:val="1"/>
      <w:numFmt w:val="bullet"/>
      <w:lvlText w:val="•"/>
      <w:lvlJc w:val="left"/>
      <w:pPr>
        <w:tabs>
          <w:tab w:val="num" w:pos="1440"/>
        </w:tabs>
        <w:ind w:left="1440" w:hanging="360"/>
      </w:pPr>
      <w:rPr>
        <w:rFonts w:ascii="Arial" w:hAnsi="Arial" w:hint="default"/>
      </w:rPr>
    </w:lvl>
    <w:lvl w:ilvl="2" w:tplc="8098A684" w:tentative="1">
      <w:start w:val="1"/>
      <w:numFmt w:val="bullet"/>
      <w:lvlText w:val="•"/>
      <w:lvlJc w:val="left"/>
      <w:pPr>
        <w:tabs>
          <w:tab w:val="num" w:pos="2160"/>
        </w:tabs>
        <w:ind w:left="2160" w:hanging="360"/>
      </w:pPr>
      <w:rPr>
        <w:rFonts w:ascii="Arial" w:hAnsi="Arial" w:hint="default"/>
      </w:rPr>
    </w:lvl>
    <w:lvl w:ilvl="3" w:tplc="9056D502" w:tentative="1">
      <w:start w:val="1"/>
      <w:numFmt w:val="bullet"/>
      <w:lvlText w:val="•"/>
      <w:lvlJc w:val="left"/>
      <w:pPr>
        <w:tabs>
          <w:tab w:val="num" w:pos="2880"/>
        </w:tabs>
        <w:ind w:left="2880" w:hanging="360"/>
      </w:pPr>
      <w:rPr>
        <w:rFonts w:ascii="Arial" w:hAnsi="Arial" w:hint="default"/>
      </w:rPr>
    </w:lvl>
    <w:lvl w:ilvl="4" w:tplc="398065DE" w:tentative="1">
      <w:start w:val="1"/>
      <w:numFmt w:val="bullet"/>
      <w:lvlText w:val="•"/>
      <w:lvlJc w:val="left"/>
      <w:pPr>
        <w:tabs>
          <w:tab w:val="num" w:pos="3600"/>
        </w:tabs>
        <w:ind w:left="3600" w:hanging="360"/>
      </w:pPr>
      <w:rPr>
        <w:rFonts w:ascii="Arial" w:hAnsi="Arial" w:hint="default"/>
      </w:rPr>
    </w:lvl>
    <w:lvl w:ilvl="5" w:tplc="52B08BD0" w:tentative="1">
      <w:start w:val="1"/>
      <w:numFmt w:val="bullet"/>
      <w:lvlText w:val="•"/>
      <w:lvlJc w:val="left"/>
      <w:pPr>
        <w:tabs>
          <w:tab w:val="num" w:pos="4320"/>
        </w:tabs>
        <w:ind w:left="4320" w:hanging="360"/>
      </w:pPr>
      <w:rPr>
        <w:rFonts w:ascii="Arial" w:hAnsi="Arial" w:hint="default"/>
      </w:rPr>
    </w:lvl>
    <w:lvl w:ilvl="6" w:tplc="2520C4E2" w:tentative="1">
      <w:start w:val="1"/>
      <w:numFmt w:val="bullet"/>
      <w:lvlText w:val="•"/>
      <w:lvlJc w:val="left"/>
      <w:pPr>
        <w:tabs>
          <w:tab w:val="num" w:pos="5040"/>
        </w:tabs>
        <w:ind w:left="5040" w:hanging="360"/>
      </w:pPr>
      <w:rPr>
        <w:rFonts w:ascii="Arial" w:hAnsi="Arial" w:hint="default"/>
      </w:rPr>
    </w:lvl>
    <w:lvl w:ilvl="7" w:tplc="A788AE08" w:tentative="1">
      <w:start w:val="1"/>
      <w:numFmt w:val="bullet"/>
      <w:lvlText w:val="•"/>
      <w:lvlJc w:val="left"/>
      <w:pPr>
        <w:tabs>
          <w:tab w:val="num" w:pos="5760"/>
        </w:tabs>
        <w:ind w:left="5760" w:hanging="360"/>
      </w:pPr>
      <w:rPr>
        <w:rFonts w:ascii="Arial" w:hAnsi="Arial" w:hint="default"/>
      </w:rPr>
    </w:lvl>
    <w:lvl w:ilvl="8" w:tplc="D68EC1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5093BC7"/>
    <w:multiLevelType w:val="hybridMultilevel"/>
    <w:tmpl w:val="27600E76"/>
    <w:lvl w:ilvl="0" w:tplc="2410BD44">
      <w:start w:val="1"/>
      <w:numFmt w:val="bullet"/>
      <w:lvlText w:val="•"/>
      <w:lvlJc w:val="left"/>
      <w:pPr>
        <w:tabs>
          <w:tab w:val="num" w:pos="720"/>
        </w:tabs>
        <w:ind w:left="720" w:hanging="360"/>
      </w:pPr>
      <w:rPr>
        <w:rFonts w:ascii="Arial" w:hAnsi="Arial" w:hint="default"/>
      </w:rPr>
    </w:lvl>
    <w:lvl w:ilvl="1" w:tplc="4F42E6BA" w:tentative="1">
      <w:start w:val="1"/>
      <w:numFmt w:val="bullet"/>
      <w:lvlText w:val="•"/>
      <w:lvlJc w:val="left"/>
      <w:pPr>
        <w:tabs>
          <w:tab w:val="num" w:pos="1440"/>
        </w:tabs>
        <w:ind w:left="1440" w:hanging="360"/>
      </w:pPr>
      <w:rPr>
        <w:rFonts w:ascii="Arial" w:hAnsi="Arial" w:hint="default"/>
      </w:rPr>
    </w:lvl>
    <w:lvl w:ilvl="2" w:tplc="16E46E86" w:tentative="1">
      <w:start w:val="1"/>
      <w:numFmt w:val="bullet"/>
      <w:lvlText w:val="•"/>
      <w:lvlJc w:val="left"/>
      <w:pPr>
        <w:tabs>
          <w:tab w:val="num" w:pos="2160"/>
        </w:tabs>
        <w:ind w:left="2160" w:hanging="360"/>
      </w:pPr>
      <w:rPr>
        <w:rFonts w:ascii="Arial" w:hAnsi="Arial" w:hint="default"/>
      </w:rPr>
    </w:lvl>
    <w:lvl w:ilvl="3" w:tplc="900EEB5A" w:tentative="1">
      <w:start w:val="1"/>
      <w:numFmt w:val="bullet"/>
      <w:lvlText w:val="•"/>
      <w:lvlJc w:val="left"/>
      <w:pPr>
        <w:tabs>
          <w:tab w:val="num" w:pos="2880"/>
        </w:tabs>
        <w:ind w:left="2880" w:hanging="360"/>
      </w:pPr>
      <w:rPr>
        <w:rFonts w:ascii="Arial" w:hAnsi="Arial" w:hint="default"/>
      </w:rPr>
    </w:lvl>
    <w:lvl w:ilvl="4" w:tplc="662E7478" w:tentative="1">
      <w:start w:val="1"/>
      <w:numFmt w:val="bullet"/>
      <w:lvlText w:val="•"/>
      <w:lvlJc w:val="left"/>
      <w:pPr>
        <w:tabs>
          <w:tab w:val="num" w:pos="3600"/>
        </w:tabs>
        <w:ind w:left="3600" w:hanging="360"/>
      </w:pPr>
      <w:rPr>
        <w:rFonts w:ascii="Arial" w:hAnsi="Arial" w:hint="default"/>
      </w:rPr>
    </w:lvl>
    <w:lvl w:ilvl="5" w:tplc="A718B2D2" w:tentative="1">
      <w:start w:val="1"/>
      <w:numFmt w:val="bullet"/>
      <w:lvlText w:val="•"/>
      <w:lvlJc w:val="left"/>
      <w:pPr>
        <w:tabs>
          <w:tab w:val="num" w:pos="4320"/>
        </w:tabs>
        <w:ind w:left="4320" w:hanging="360"/>
      </w:pPr>
      <w:rPr>
        <w:rFonts w:ascii="Arial" w:hAnsi="Arial" w:hint="default"/>
      </w:rPr>
    </w:lvl>
    <w:lvl w:ilvl="6" w:tplc="BCEACBDA" w:tentative="1">
      <w:start w:val="1"/>
      <w:numFmt w:val="bullet"/>
      <w:lvlText w:val="•"/>
      <w:lvlJc w:val="left"/>
      <w:pPr>
        <w:tabs>
          <w:tab w:val="num" w:pos="5040"/>
        </w:tabs>
        <w:ind w:left="5040" w:hanging="360"/>
      </w:pPr>
      <w:rPr>
        <w:rFonts w:ascii="Arial" w:hAnsi="Arial" w:hint="default"/>
      </w:rPr>
    </w:lvl>
    <w:lvl w:ilvl="7" w:tplc="DFF09244" w:tentative="1">
      <w:start w:val="1"/>
      <w:numFmt w:val="bullet"/>
      <w:lvlText w:val="•"/>
      <w:lvlJc w:val="left"/>
      <w:pPr>
        <w:tabs>
          <w:tab w:val="num" w:pos="5760"/>
        </w:tabs>
        <w:ind w:left="5760" w:hanging="360"/>
      </w:pPr>
      <w:rPr>
        <w:rFonts w:ascii="Arial" w:hAnsi="Arial" w:hint="default"/>
      </w:rPr>
    </w:lvl>
    <w:lvl w:ilvl="8" w:tplc="C3587A5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F7"/>
    <w:rsid w:val="000903F4"/>
    <w:rsid w:val="000B7FCB"/>
    <w:rsid w:val="00151447"/>
    <w:rsid w:val="00175BAE"/>
    <w:rsid w:val="001D7FF7"/>
    <w:rsid w:val="002E2962"/>
    <w:rsid w:val="00461965"/>
    <w:rsid w:val="006129A5"/>
    <w:rsid w:val="006E1700"/>
    <w:rsid w:val="007C7D24"/>
    <w:rsid w:val="00860B37"/>
    <w:rsid w:val="00AA7292"/>
    <w:rsid w:val="00B60E63"/>
    <w:rsid w:val="00BC0A50"/>
    <w:rsid w:val="00BF6353"/>
    <w:rsid w:val="00C0505E"/>
    <w:rsid w:val="00C61462"/>
    <w:rsid w:val="00CD0BCC"/>
    <w:rsid w:val="00D479FE"/>
    <w:rsid w:val="00D66E17"/>
    <w:rsid w:val="00E142D9"/>
    <w:rsid w:val="00F2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4B79"/>
  <w15:chartTrackingRefBased/>
  <w15:docId w15:val="{7E3CACC8-1433-46AF-BEEF-FD599566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0B37"/>
    <w:pPr>
      <w:keepNext/>
      <w:keepLines/>
      <w:spacing w:before="120" w:after="0" w:line="480" w:lineRule="auto"/>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860B37"/>
    <w:pPr>
      <w:keepNext/>
      <w:keepLines/>
      <w:spacing w:before="240" w:after="0"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37"/>
    <w:rPr>
      <w:rFonts w:eastAsiaTheme="majorEastAsia" w:cstheme="majorBidi"/>
      <w:b/>
      <w:sz w:val="24"/>
      <w:szCs w:val="32"/>
    </w:rPr>
  </w:style>
  <w:style w:type="character" w:customStyle="1" w:styleId="Heading2Char">
    <w:name w:val="Heading 2 Char"/>
    <w:basedOn w:val="DefaultParagraphFont"/>
    <w:link w:val="Heading2"/>
    <w:uiPriority w:val="9"/>
    <w:semiHidden/>
    <w:rsid w:val="00860B37"/>
    <w:rPr>
      <w:rFonts w:eastAsiaTheme="majorEastAsia" w:cstheme="majorBidi"/>
      <w:b/>
      <w:szCs w:val="26"/>
    </w:rPr>
  </w:style>
  <w:style w:type="paragraph" w:styleId="NormalWeb">
    <w:name w:val="Normal (Web)"/>
    <w:basedOn w:val="Normal"/>
    <w:uiPriority w:val="99"/>
    <w:semiHidden/>
    <w:unhideWhenUsed/>
    <w:rsid w:val="001D7FF7"/>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1D7FF7"/>
    <w:pPr>
      <w:spacing w:line="240" w:lineRule="auto"/>
    </w:pPr>
    <w:rPr>
      <w:sz w:val="20"/>
      <w:szCs w:val="20"/>
    </w:rPr>
  </w:style>
  <w:style w:type="character" w:customStyle="1" w:styleId="CommentTextChar">
    <w:name w:val="Comment Text Char"/>
    <w:basedOn w:val="DefaultParagraphFont"/>
    <w:link w:val="CommentText"/>
    <w:uiPriority w:val="99"/>
    <w:semiHidden/>
    <w:rsid w:val="001D7FF7"/>
    <w:rPr>
      <w:sz w:val="20"/>
      <w:szCs w:val="20"/>
    </w:rPr>
  </w:style>
  <w:style w:type="paragraph" w:styleId="ListParagraph">
    <w:name w:val="List Paragraph"/>
    <w:basedOn w:val="Normal"/>
    <w:link w:val="ListParagraphChar"/>
    <w:uiPriority w:val="34"/>
    <w:qFormat/>
    <w:rsid w:val="001D7FF7"/>
    <w:pPr>
      <w:spacing w:after="0" w:line="480" w:lineRule="auto"/>
      <w:ind w:left="720"/>
      <w:contextualSpacing/>
    </w:pPr>
  </w:style>
  <w:style w:type="character" w:customStyle="1" w:styleId="ListParagraphChar">
    <w:name w:val="List Paragraph Char"/>
    <w:basedOn w:val="DefaultParagraphFont"/>
    <w:link w:val="ListParagraph"/>
    <w:uiPriority w:val="34"/>
    <w:rsid w:val="001D7FF7"/>
  </w:style>
  <w:style w:type="paragraph" w:customStyle="1" w:styleId="EndNoteBibliography">
    <w:name w:val="EndNote Bibliography"/>
    <w:basedOn w:val="Normal"/>
    <w:link w:val="EndNoteBibliographyChar"/>
    <w:rsid w:val="001D7FF7"/>
    <w:pPr>
      <w:spacing w:line="240" w:lineRule="auto"/>
    </w:pPr>
    <w:rPr>
      <w:rFonts w:ascii="Calibri" w:hAnsi="Calibri" w:cs="Calibri"/>
      <w:noProof/>
      <w:szCs w:val="20"/>
      <w:lang w:val="en-US"/>
    </w:rPr>
  </w:style>
  <w:style w:type="character" w:customStyle="1" w:styleId="EndNoteBibliographyChar">
    <w:name w:val="EndNote Bibliography Char"/>
    <w:basedOn w:val="ListParagraphChar"/>
    <w:link w:val="EndNoteBibliography"/>
    <w:rsid w:val="001D7FF7"/>
    <w:rPr>
      <w:rFonts w:ascii="Calibri" w:hAnsi="Calibri" w:cs="Calibri"/>
      <w:noProof/>
      <w:szCs w:val="20"/>
      <w:lang w:val="en-US"/>
    </w:rPr>
  </w:style>
  <w:style w:type="table" w:styleId="TableGrid">
    <w:name w:val="Table Grid"/>
    <w:basedOn w:val="TableNormal"/>
    <w:uiPriority w:val="59"/>
    <w:rsid w:val="001D7FF7"/>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7FF7"/>
    <w:rPr>
      <w:sz w:val="16"/>
      <w:szCs w:val="16"/>
    </w:rPr>
  </w:style>
  <w:style w:type="paragraph" w:styleId="BalloonText">
    <w:name w:val="Balloon Text"/>
    <w:basedOn w:val="Normal"/>
    <w:link w:val="BalloonTextChar"/>
    <w:uiPriority w:val="99"/>
    <w:semiHidden/>
    <w:unhideWhenUsed/>
    <w:rsid w:val="001D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FF7"/>
    <w:rPr>
      <w:rFonts w:ascii="Segoe UI" w:hAnsi="Segoe UI" w:cs="Segoe UI"/>
      <w:sz w:val="18"/>
      <w:szCs w:val="18"/>
    </w:rPr>
  </w:style>
  <w:style w:type="character" w:styleId="LineNumber">
    <w:name w:val="line number"/>
    <w:basedOn w:val="DefaultParagraphFont"/>
    <w:uiPriority w:val="99"/>
    <w:semiHidden/>
    <w:unhideWhenUsed/>
    <w:rsid w:val="001D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inScience</dc:creator>
  <cp:keywords/>
  <dc:description/>
  <cp:lastModifiedBy>inScience Communications2</cp:lastModifiedBy>
  <cp:revision>2</cp:revision>
  <dcterms:created xsi:type="dcterms:W3CDTF">2021-07-05T15:17:00Z</dcterms:created>
  <dcterms:modified xsi:type="dcterms:W3CDTF">2021-07-05T15:17:00Z</dcterms:modified>
</cp:coreProperties>
</file>