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67CB48" w14:textId="77777777" w:rsidR="00F1067E" w:rsidRPr="00F1067E" w:rsidRDefault="00F1067E" w:rsidP="00F1067E">
      <w:pPr>
        <w:widowControl/>
        <w:jc w:val="left"/>
        <w:rPr>
          <w:color w:val="000000" w:themeColor="text1"/>
          <w:sz w:val="24"/>
          <w:szCs w:val="24"/>
        </w:rPr>
      </w:pPr>
      <w:r w:rsidRPr="00F1067E">
        <w:rPr>
          <w:noProof/>
          <w:color w:val="000000" w:themeColor="text1"/>
        </w:rPr>
        <w:drawing>
          <wp:inline distT="0" distB="0" distL="0" distR="0" wp14:anchorId="007E395F" wp14:editId="056B976E">
            <wp:extent cx="5274310" cy="26974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E4F96" w14:textId="77777777" w:rsidR="00F1067E" w:rsidRPr="00F1067E" w:rsidRDefault="00F1067E" w:rsidP="00F1067E">
      <w:pPr>
        <w:widowControl/>
        <w:spacing w:line="480" w:lineRule="auto"/>
        <w:jc w:val="left"/>
        <w:rPr>
          <w:color w:val="000000" w:themeColor="text1"/>
          <w:sz w:val="24"/>
          <w:szCs w:val="24"/>
        </w:rPr>
      </w:pPr>
      <w:r w:rsidRPr="00F1067E">
        <w:rPr>
          <w:rFonts w:hint="eastAsia"/>
          <w:b/>
          <w:bCs/>
          <w:color w:val="000000" w:themeColor="text1"/>
          <w:sz w:val="24"/>
          <w:szCs w:val="24"/>
        </w:rPr>
        <w:t>F</w:t>
      </w:r>
      <w:r w:rsidRPr="00F1067E">
        <w:rPr>
          <w:b/>
          <w:bCs/>
          <w:color w:val="000000" w:themeColor="text1"/>
          <w:sz w:val="24"/>
          <w:szCs w:val="24"/>
        </w:rPr>
        <w:t>igure S1. Pathological examinations of DSS-exposed WT and P2rx1-/- mice.</w:t>
      </w:r>
      <w:r w:rsidRPr="00F1067E">
        <w:rPr>
          <w:color w:val="000000" w:themeColor="text1"/>
          <w:sz w:val="24"/>
          <w:szCs w:val="24"/>
        </w:rPr>
        <w:t xml:space="preserve"> WT and </w:t>
      </w:r>
      <w:r w:rsidRPr="00F1067E">
        <w:rPr>
          <w:i/>
          <w:iCs/>
          <w:color w:val="000000" w:themeColor="text1"/>
          <w:sz w:val="24"/>
          <w:szCs w:val="24"/>
        </w:rPr>
        <w:t>P2rx1</w:t>
      </w:r>
      <w:r w:rsidRPr="00F1067E">
        <w:rPr>
          <w:color w:val="000000" w:themeColor="text1"/>
          <w:sz w:val="24"/>
          <w:szCs w:val="24"/>
          <w:vertAlign w:val="superscript"/>
        </w:rPr>
        <w:t>-/-</w:t>
      </w:r>
      <w:r w:rsidRPr="00F1067E">
        <w:rPr>
          <w:color w:val="000000" w:themeColor="text1"/>
          <w:sz w:val="24"/>
          <w:szCs w:val="24"/>
        </w:rPr>
        <w:t xml:space="preserve"> mice were treated with 2% DSS for 7 days. Intestinal tissues from D0 and D7 mice were harvested and H&amp;E staining was performed (Scale bar 1</w:t>
      </w:r>
      <w:r w:rsidRPr="00F1067E">
        <w:rPr>
          <w:rFonts w:hint="eastAsia"/>
          <w:color w:val="000000" w:themeColor="text1"/>
          <w:sz w:val="24"/>
          <w:szCs w:val="24"/>
        </w:rPr>
        <w:t>mm</w:t>
      </w:r>
      <w:r w:rsidRPr="00F1067E">
        <w:rPr>
          <w:color w:val="000000" w:themeColor="text1"/>
          <w:sz w:val="24"/>
          <w:szCs w:val="24"/>
        </w:rPr>
        <w:t xml:space="preserve"> </w:t>
      </w:r>
      <w:r w:rsidRPr="00F1067E">
        <w:rPr>
          <w:rFonts w:hint="eastAsia"/>
          <w:color w:val="000000" w:themeColor="text1"/>
          <w:sz w:val="24"/>
          <w:szCs w:val="24"/>
        </w:rPr>
        <w:t>for</w:t>
      </w:r>
      <w:r w:rsidRPr="00F1067E">
        <w:rPr>
          <w:color w:val="000000" w:themeColor="text1"/>
          <w:sz w:val="24"/>
          <w:szCs w:val="24"/>
        </w:rPr>
        <w:t xml:space="preserve"> </w:t>
      </w:r>
      <w:r w:rsidRPr="00F1067E">
        <w:rPr>
          <w:rFonts w:hint="eastAsia"/>
          <w:color w:val="000000" w:themeColor="text1"/>
          <w:sz w:val="24"/>
          <w:szCs w:val="24"/>
        </w:rPr>
        <w:t>h</w:t>
      </w:r>
      <w:r w:rsidRPr="00F1067E">
        <w:rPr>
          <w:color w:val="000000" w:themeColor="text1"/>
          <w:sz w:val="24"/>
          <w:szCs w:val="24"/>
        </w:rPr>
        <w:t>igh power fields, 50</w:t>
      </w:r>
      <w:r w:rsidRPr="00F1067E">
        <w:rPr>
          <w:rFonts w:hint="eastAsia"/>
          <w:color w:val="000000" w:themeColor="text1"/>
          <w:sz w:val="24"/>
          <w:szCs w:val="24"/>
        </w:rPr>
        <w:t>μ</w:t>
      </w:r>
      <w:r w:rsidRPr="00F1067E">
        <w:rPr>
          <w:rFonts w:hint="eastAsia"/>
          <w:color w:val="000000" w:themeColor="text1"/>
          <w:sz w:val="24"/>
          <w:szCs w:val="24"/>
        </w:rPr>
        <w:t>m</w:t>
      </w:r>
      <w:r w:rsidRPr="00F1067E">
        <w:rPr>
          <w:color w:val="000000" w:themeColor="text1"/>
          <w:sz w:val="24"/>
          <w:szCs w:val="24"/>
        </w:rPr>
        <w:t xml:space="preserve"> for low power fields). </w:t>
      </w:r>
      <w:r w:rsidRPr="00F1067E">
        <w:rPr>
          <w:color w:val="000000" w:themeColor="text1"/>
          <w:sz w:val="24"/>
          <w:szCs w:val="24"/>
        </w:rPr>
        <w:br w:type="page"/>
      </w:r>
      <w:r w:rsidRPr="00F1067E">
        <w:rPr>
          <w:noProof/>
          <w:color w:val="000000" w:themeColor="text1"/>
        </w:rPr>
        <w:lastRenderedPageBreak/>
        <w:drawing>
          <wp:inline distT="0" distB="0" distL="0" distR="0" wp14:anchorId="0B9D06FF" wp14:editId="22220DCF">
            <wp:extent cx="5274310" cy="23844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023CE" w14:textId="77777777" w:rsidR="00F1067E" w:rsidRPr="00F1067E" w:rsidRDefault="00F1067E" w:rsidP="00F1067E">
      <w:pPr>
        <w:widowControl/>
        <w:spacing w:line="480" w:lineRule="auto"/>
        <w:rPr>
          <w:b/>
          <w:bCs/>
          <w:color w:val="000000" w:themeColor="text1"/>
          <w:sz w:val="24"/>
          <w:szCs w:val="24"/>
        </w:rPr>
      </w:pPr>
      <w:r w:rsidRPr="00F1067E">
        <w:rPr>
          <w:rFonts w:hint="eastAsia"/>
          <w:b/>
          <w:bCs/>
          <w:color w:val="000000" w:themeColor="text1"/>
          <w:sz w:val="24"/>
          <w:szCs w:val="24"/>
        </w:rPr>
        <w:t>F</w:t>
      </w:r>
      <w:r w:rsidRPr="00F1067E">
        <w:rPr>
          <w:b/>
          <w:bCs/>
          <w:color w:val="000000" w:themeColor="text1"/>
          <w:sz w:val="24"/>
          <w:szCs w:val="24"/>
        </w:rPr>
        <w:t xml:space="preserve">igure S2. Expression pattern of P2RX1 in inessential tissue. </w:t>
      </w:r>
      <w:r w:rsidRPr="00F1067E">
        <w:rPr>
          <w:color w:val="000000" w:themeColor="text1"/>
          <w:sz w:val="24"/>
          <w:szCs w:val="24"/>
        </w:rPr>
        <w:t xml:space="preserve">Expression pattern of P2RX1 in inessential tissue was scanned in public HPA single cell sequencing database (https://www.proteinatlas.org/). </w:t>
      </w:r>
    </w:p>
    <w:p w14:paraId="5B1A6868" w14:textId="77777777" w:rsidR="00F1067E" w:rsidRPr="00F1067E" w:rsidRDefault="00F1067E" w:rsidP="00F1067E">
      <w:pPr>
        <w:widowControl/>
        <w:jc w:val="left"/>
        <w:rPr>
          <w:b/>
          <w:bCs/>
          <w:color w:val="000000" w:themeColor="text1"/>
          <w:sz w:val="24"/>
          <w:szCs w:val="24"/>
        </w:rPr>
      </w:pPr>
    </w:p>
    <w:p w14:paraId="1F243E11" w14:textId="77777777" w:rsidR="00F1067E" w:rsidRPr="00F1067E" w:rsidRDefault="00F1067E" w:rsidP="00F1067E">
      <w:pPr>
        <w:widowControl/>
        <w:jc w:val="left"/>
        <w:rPr>
          <w:color w:val="000000" w:themeColor="text1"/>
          <w:sz w:val="24"/>
          <w:szCs w:val="24"/>
        </w:rPr>
      </w:pPr>
      <w:r w:rsidRPr="00F1067E">
        <w:rPr>
          <w:color w:val="000000" w:themeColor="text1"/>
          <w:sz w:val="24"/>
          <w:szCs w:val="24"/>
        </w:rPr>
        <w:br w:type="page"/>
      </w:r>
    </w:p>
    <w:p w14:paraId="4C6DD550" w14:textId="77777777" w:rsidR="00F1067E" w:rsidRPr="00F1067E" w:rsidRDefault="00F1067E" w:rsidP="00F1067E">
      <w:pPr>
        <w:widowControl/>
        <w:spacing w:line="480" w:lineRule="auto"/>
        <w:rPr>
          <w:b/>
          <w:bCs/>
          <w:color w:val="000000" w:themeColor="text1"/>
          <w:sz w:val="24"/>
          <w:szCs w:val="24"/>
        </w:rPr>
      </w:pPr>
      <w:r w:rsidRPr="00F1067E">
        <w:rPr>
          <w:noProof/>
          <w:color w:val="000000" w:themeColor="text1"/>
        </w:rPr>
        <w:lastRenderedPageBreak/>
        <w:drawing>
          <wp:inline distT="0" distB="0" distL="0" distR="0" wp14:anchorId="0F787601" wp14:editId="1B53CC12">
            <wp:extent cx="5274310" cy="64058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0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D2E50" w14:textId="77777777" w:rsidR="00F1067E" w:rsidRPr="00F1067E" w:rsidRDefault="00F1067E" w:rsidP="00F1067E">
      <w:pPr>
        <w:widowControl/>
        <w:spacing w:line="480" w:lineRule="auto"/>
        <w:rPr>
          <w:color w:val="000000" w:themeColor="text1"/>
          <w:sz w:val="24"/>
          <w:szCs w:val="24"/>
        </w:rPr>
      </w:pPr>
      <w:r w:rsidRPr="00F1067E">
        <w:rPr>
          <w:rFonts w:hint="eastAsia"/>
          <w:b/>
          <w:bCs/>
          <w:color w:val="000000" w:themeColor="text1"/>
          <w:sz w:val="24"/>
          <w:szCs w:val="24"/>
        </w:rPr>
        <w:t>F</w:t>
      </w:r>
      <w:r w:rsidRPr="00F1067E">
        <w:rPr>
          <w:b/>
          <w:bCs/>
          <w:color w:val="000000" w:themeColor="text1"/>
          <w:sz w:val="24"/>
          <w:szCs w:val="24"/>
        </w:rPr>
        <w:t>igure S3. Flow cytometry analyses of neutrophils and macrophages infiltration in DSS-exposed WT and P2rx1-/- mice.</w:t>
      </w:r>
      <w:r w:rsidRPr="00F1067E">
        <w:rPr>
          <w:color w:val="000000" w:themeColor="text1"/>
          <w:sz w:val="24"/>
          <w:szCs w:val="24"/>
        </w:rPr>
        <w:t xml:space="preserve"> WT and </w:t>
      </w:r>
      <w:r w:rsidRPr="00F1067E">
        <w:rPr>
          <w:i/>
          <w:iCs/>
          <w:color w:val="000000" w:themeColor="text1"/>
          <w:sz w:val="24"/>
          <w:szCs w:val="24"/>
        </w:rPr>
        <w:t>P2rx1</w:t>
      </w:r>
      <w:r w:rsidRPr="00F1067E">
        <w:rPr>
          <w:color w:val="000000" w:themeColor="text1"/>
          <w:sz w:val="24"/>
          <w:szCs w:val="24"/>
          <w:vertAlign w:val="superscript"/>
        </w:rPr>
        <w:t>-/-</w:t>
      </w:r>
      <w:r w:rsidRPr="00F1067E">
        <w:rPr>
          <w:color w:val="000000" w:themeColor="text1"/>
          <w:sz w:val="24"/>
          <w:szCs w:val="24"/>
        </w:rPr>
        <w:t xml:space="preserve"> mice were treated with 2% DSS for 7 days. Ly6G was used to label neutrophils, and F4/80 was used to label macrophages. Infiltrated neutrophils and macrophages, and P2RX1 expression in each cell type were determined at D0 and D7. </w:t>
      </w:r>
    </w:p>
    <w:p w14:paraId="25067B25" w14:textId="77777777" w:rsidR="00F1067E" w:rsidRPr="00F1067E" w:rsidRDefault="00F1067E" w:rsidP="00F1067E">
      <w:pPr>
        <w:spacing w:line="360" w:lineRule="auto"/>
        <w:rPr>
          <w:color w:val="000000" w:themeColor="text1"/>
          <w:sz w:val="24"/>
          <w:szCs w:val="24"/>
        </w:rPr>
      </w:pPr>
      <w:r w:rsidRPr="00F1067E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78C8A1DB" wp14:editId="43F64E29">
            <wp:extent cx="5274310" cy="48698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F0A3E" w14:textId="77777777" w:rsidR="00F1067E" w:rsidRPr="00F1067E" w:rsidRDefault="00F1067E" w:rsidP="00F1067E">
      <w:pPr>
        <w:spacing w:line="480" w:lineRule="auto"/>
        <w:rPr>
          <w:color w:val="000000" w:themeColor="text1"/>
          <w:sz w:val="24"/>
          <w:szCs w:val="24"/>
        </w:rPr>
      </w:pPr>
      <w:r w:rsidRPr="00F1067E">
        <w:rPr>
          <w:b/>
          <w:bCs/>
          <w:color w:val="000000" w:themeColor="text1"/>
          <w:sz w:val="24"/>
          <w:szCs w:val="24"/>
        </w:rPr>
        <w:t xml:space="preserve">Figure S4. Composition of intestinal microbiota species in DSS-exposed WT and </w:t>
      </w:r>
      <w:r w:rsidRPr="00F1067E">
        <w:rPr>
          <w:b/>
          <w:bCs/>
          <w:i/>
          <w:iCs/>
          <w:color w:val="000000" w:themeColor="text1"/>
          <w:sz w:val="24"/>
          <w:szCs w:val="24"/>
        </w:rPr>
        <w:t>P2rx1</w:t>
      </w:r>
      <w:r w:rsidRPr="00F1067E">
        <w:rPr>
          <w:b/>
          <w:bCs/>
          <w:color w:val="000000" w:themeColor="text1"/>
          <w:sz w:val="24"/>
          <w:szCs w:val="24"/>
          <w:vertAlign w:val="superscript"/>
        </w:rPr>
        <w:t>-/-</w:t>
      </w:r>
      <w:r w:rsidRPr="00F1067E">
        <w:rPr>
          <w:b/>
          <w:bCs/>
          <w:color w:val="000000" w:themeColor="text1"/>
          <w:sz w:val="24"/>
          <w:szCs w:val="24"/>
        </w:rPr>
        <w:t xml:space="preserve"> mice.</w:t>
      </w:r>
      <w:r w:rsidRPr="00F1067E">
        <w:rPr>
          <w:color w:val="000000" w:themeColor="text1"/>
          <w:sz w:val="24"/>
          <w:szCs w:val="24"/>
        </w:rPr>
        <w:t xml:space="preserve"> </w:t>
      </w:r>
      <w:bookmarkStart w:id="0" w:name="OLE_LINK30"/>
      <w:r w:rsidRPr="00F1067E">
        <w:rPr>
          <w:color w:val="000000" w:themeColor="text1"/>
          <w:sz w:val="24"/>
          <w:szCs w:val="24"/>
        </w:rPr>
        <w:t xml:space="preserve">WT and </w:t>
      </w:r>
      <w:r w:rsidRPr="00F1067E">
        <w:rPr>
          <w:i/>
          <w:iCs/>
          <w:color w:val="000000" w:themeColor="text1"/>
          <w:sz w:val="24"/>
          <w:szCs w:val="24"/>
        </w:rPr>
        <w:t>P2rx1</w:t>
      </w:r>
      <w:r w:rsidRPr="00F1067E">
        <w:rPr>
          <w:color w:val="000000" w:themeColor="text1"/>
          <w:sz w:val="24"/>
          <w:szCs w:val="24"/>
          <w:vertAlign w:val="superscript"/>
        </w:rPr>
        <w:t>-/-</w:t>
      </w:r>
      <w:r w:rsidRPr="00F1067E">
        <w:rPr>
          <w:color w:val="000000" w:themeColor="text1"/>
          <w:sz w:val="24"/>
          <w:szCs w:val="24"/>
        </w:rPr>
        <w:t xml:space="preserve"> mice were treated with 2% DSS for 7 days. </w:t>
      </w:r>
      <w:bookmarkEnd w:id="0"/>
      <w:r w:rsidRPr="00F1067E">
        <w:rPr>
          <w:color w:val="000000" w:themeColor="text1"/>
          <w:sz w:val="24"/>
          <w:szCs w:val="24"/>
        </w:rPr>
        <w:t>At day 0, 7 and 12,</w:t>
      </w:r>
      <w:r w:rsidRPr="00F1067E">
        <w:rPr>
          <w:color w:val="000000" w:themeColor="text1"/>
        </w:rPr>
        <w:t xml:space="preserve"> </w:t>
      </w:r>
      <w:r w:rsidRPr="00F1067E">
        <w:rPr>
          <w:color w:val="000000" w:themeColor="text1"/>
          <w:sz w:val="24"/>
          <w:szCs w:val="24"/>
        </w:rPr>
        <w:t>fecal microbiota was quantified using 16S rDNA sequencing. Detailed composition of intestinal microbiota species in each group was shown (</w:t>
      </w:r>
      <w:bookmarkStart w:id="1" w:name="OLE_LINK43"/>
      <w:r w:rsidRPr="00F1067E">
        <w:rPr>
          <w:color w:val="000000" w:themeColor="text1"/>
          <w:sz w:val="24"/>
          <w:szCs w:val="24"/>
        </w:rPr>
        <w:t xml:space="preserve">n=6 for D0 WT and </w:t>
      </w:r>
      <w:r w:rsidRPr="00F1067E">
        <w:rPr>
          <w:i/>
          <w:iCs/>
          <w:color w:val="000000" w:themeColor="text1"/>
          <w:sz w:val="24"/>
          <w:szCs w:val="24"/>
        </w:rPr>
        <w:t>P2rx1</w:t>
      </w:r>
      <w:r w:rsidRPr="00F1067E">
        <w:rPr>
          <w:color w:val="000000" w:themeColor="text1"/>
          <w:sz w:val="24"/>
          <w:szCs w:val="24"/>
          <w:vertAlign w:val="superscript"/>
        </w:rPr>
        <w:t>-/-</w:t>
      </w:r>
      <w:r w:rsidRPr="00F1067E">
        <w:rPr>
          <w:color w:val="000000" w:themeColor="text1"/>
          <w:sz w:val="24"/>
          <w:szCs w:val="24"/>
        </w:rPr>
        <w:t xml:space="preserve"> </w:t>
      </w:r>
      <w:r w:rsidRPr="00F1067E">
        <w:rPr>
          <w:rFonts w:hint="eastAsia"/>
          <w:color w:val="000000" w:themeColor="text1"/>
          <w:sz w:val="24"/>
          <w:szCs w:val="24"/>
        </w:rPr>
        <w:t>gr</w:t>
      </w:r>
      <w:r w:rsidRPr="00F1067E">
        <w:rPr>
          <w:color w:val="000000" w:themeColor="text1"/>
          <w:sz w:val="24"/>
          <w:szCs w:val="24"/>
        </w:rPr>
        <w:t>oups, n=3 for the rest groups</w:t>
      </w:r>
      <w:bookmarkEnd w:id="1"/>
      <w:r w:rsidRPr="00F1067E">
        <w:rPr>
          <w:color w:val="000000" w:themeColor="text1"/>
          <w:sz w:val="24"/>
          <w:szCs w:val="24"/>
        </w:rPr>
        <w:t xml:space="preserve">). </w:t>
      </w:r>
    </w:p>
    <w:p w14:paraId="4A28B128" w14:textId="77777777" w:rsidR="00F1067E" w:rsidRPr="00F1067E" w:rsidRDefault="00F1067E" w:rsidP="00F1067E">
      <w:pPr>
        <w:widowControl/>
        <w:jc w:val="left"/>
        <w:rPr>
          <w:color w:val="000000" w:themeColor="text1"/>
          <w:sz w:val="24"/>
          <w:szCs w:val="24"/>
        </w:rPr>
      </w:pPr>
      <w:r w:rsidRPr="00F1067E">
        <w:rPr>
          <w:color w:val="000000" w:themeColor="text1"/>
          <w:sz w:val="24"/>
          <w:szCs w:val="24"/>
        </w:rPr>
        <w:br w:type="page"/>
      </w:r>
    </w:p>
    <w:p w14:paraId="1621340F" w14:textId="77777777" w:rsidR="00F1067E" w:rsidRPr="00F1067E" w:rsidRDefault="00F1067E" w:rsidP="00F1067E">
      <w:pPr>
        <w:spacing w:line="480" w:lineRule="auto"/>
        <w:rPr>
          <w:b/>
          <w:bCs/>
          <w:color w:val="000000" w:themeColor="text1"/>
          <w:sz w:val="24"/>
          <w:szCs w:val="24"/>
        </w:rPr>
      </w:pPr>
      <w:r w:rsidRPr="00F1067E">
        <w:rPr>
          <w:noProof/>
          <w:color w:val="000000" w:themeColor="text1"/>
        </w:rPr>
        <w:lastRenderedPageBreak/>
        <w:drawing>
          <wp:inline distT="0" distB="0" distL="0" distR="0" wp14:anchorId="5B21619F" wp14:editId="2AAAEBBA">
            <wp:extent cx="5274310" cy="544449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6E5D7" w14:textId="77777777" w:rsidR="00F1067E" w:rsidRPr="00F1067E" w:rsidRDefault="00F1067E" w:rsidP="00F1067E">
      <w:pPr>
        <w:spacing w:line="480" w:lineRule="auto"/>
        <w:rPr>
          <w:color w:val="000000" w:themeColor="text1"/>
          <w:sz w:val="24"/>
          <w:szCs w:val="24"/>
        </w:rPr>
      </w:pPr>
      <w:r w:rsidRPr="00F1067E">
        <w:rPr>
          <w:b/>
          <w:bCs/>
          <w:color w:val="000000" w:themeColor="text1"/>
          <w:sz w:val="24"/>
          <w:szCs w:val="24"/>
        </w:rPr>
        <w:t xml:space="preserve">Figure S5. Composition of intestinal microbiota species in DSS-exposed WT and </w:t>
      </w:r>
      <w:r w:rsidRPr="00F1067E">
        <w:rPr>
          <w:b/>
          <w:bCs/>
          <w:i/>
          <w:iCs/>
          <w:color w:val="000000" w:themeColor="text1"/>
          <w:sz w:val="24"/>
          <w:szCs w:val="24"/>
        </w:rPr>
        <w:t>P2rx1</w:t>
      </w:r>
      <w:r w:rsidRPr="00F1067E">
        <w:rPr>
          <w:b/>
          <w:bCs/>
          <w:color w:val="000000" w:themeColor="text1"/>
          <w:sz w:val="24"/>
          <w:szCs w:val="24"/>
          <w:vertAlign w:val="superscript"/>
        </w:rPr>
        <w:t>-/-</w:t>
      </w:r>
      <w:r w:rsidRPr="00F1067E">
        <w:rPr>
          <w:b/>
          <w:bCs/>
          <w:color w:val="000000" w:themeColor="text1"/>
          <w:sz w:val="24"/>
          <w:szCs w:val="24"/>
        </w:rPr>
        <w:t xml:space="preserve"> mice.</w:t>
      </w:r>
      <w:r w:rsidRPr="00F1067E">
        <w:rPr>
          <w:color w:val="000000" w:themeColor="text1"/>
          <w:sz w:val="24"/>
          <w:szCs w:val="24"/>
        </w:rPr>
        <w:t xml:space="preserve"> WT and </w:t>
      </w:r>
      <w:r w:rsidRPr="00F1067E">
        <w:rPr>
          <w:i/>
          <w:iCs/>
          <w:color w:val="000000" w:themeColor="text1"/>
          <w:sz w:val="24"/>
          <w:szCs w:val="24"/>
        </w:rPr>
        <w:t>P2rx1</w:t>
      </w:r>
      <w:r w:rsidRPr="00F1067E">
        <w:rPr>
          <w:color w:val="000000" w:themeColor="text1"/>
          <w:sz w:val="24"/>
          <w:szCs w:val="24"/>
          <w:vertAlign w:val="superscript"/>
        </w:rPr>
        <w:t>-/-</w:t>
      </w:r>
      <w:r w:rsidRPr="00F1067E">
        <w:rPr>
          <w:color w:val="000000" w:themeColor="text1"/>
          <w:sz w:val="24"/>
          <w:szCs w:val="24"/>
        </w:rPr>
        <w:t xml:space="preserve"> mice were treated with 2% DSS for 7 days. At day 7, fecal microbiota was quantified using 16S rDNA sequencing. Detailed composition of intestinal microbiota species in each group was shown (n=3 for each group). </w:t>
      </w:r>
    </w:p>
    <w:p w14:paraId="593C1A08" w14:textId="77777777" w:rsidR="00F1067E" w:rsidRPr="00F1067E" w:rsidRDefault="00F1067E" w:rsidP="00F1067E">
      <w:pPr>
        <w:spacing w:line="360" w:lineRule="auto"/>
        <w:rPr>
          <w:color w:val="000000" w:themeColor="text1"/>
          <w:sz w:val="24"/>
          <w:szCs w:val="24"/>
        </w:rPr>
      </w:pPr>
    </w:p>
    <w:p w14:paraId="71BF9632" w14:textId="77777777" w:rsidR="00F1067E" w:rsidRPr="00F1067E" w:rsidRDefault="00F1067E" w:rsidP="00F1067E">
      <w:pPr>
        <w:widowControl/>
        <w:jc w:val="left"/>
        <w:rPr>
          <w:color w:val="000000" w:themeColor="text1"/>
          <w:sz w:val="24"/>
          <w:szCs w:val="24"/>
        </w:rPr>
      </w:pPr>
      <w:r w:rsidRPr="00F1067E">
        <w:rPr>
          <w:color w:val="000000" w:themeColor="text1"/>
          <w:sz w:val="24"/>
          <w:szCs w:val="24"/>
        </w:rPr>
        <w:br w:type="page"/>
      </w:r>
    </w:p>
    <w:p w14:paraId="5DF1EE94" w14:textId="77777777" w:rsidR="00F1067E" w:rsidRPr="00F1067E" w:rsidRDefault="00F1067E" w:rsidP="00F1067E">
      <w:pPr>
        <w:spacing w:line="360" w:lineRule="auto"/>
        <w:jc w:val="center"/>
        <w:rPr>
          <w:color w:val="000000" w:themeColor="text1"/>
          <w:sz w:val="24"/>
          <w:szCs w:val="24"/>
        </w:rPr>
      </w:pPr>
      <w:r w:rsidRPr="00F1067E">
        <w:rPr>
          <w:noProof/>
          <w:color w:val="000000" w:themeColor="text1"/>
        </w:rPr>
        <w:lastRenderedPageBreak/>
        <w:drawing>
          <wp:inline distT="0" distB="0" distL="0" distR="0" wp14:anchorId="7A2205AD" wp14:editId="0640A627">
            <wp:extent cx="2139950" cy="241300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A8BB1" w14:textId="77777777" w:rsidR="00F1067E" w:rsidRPr="00F1067E" w:rsidRDefault="00F1067E" w:rsidP="00F1067E">
      <w:pPr>
        <w:spacing w:line="480" w:lineRule="auto"/>
        <w:rPr>
          <w:color w:val="000000" w:themeColor="text1"/>
          <w:sz w:val="24"/>
          <w:szCs w:val="24"/>
        </w:rPr>
      </w:pPr>
      <w:r w:rsidRPr="00F1067E">
        <w:rPr>
          <w:b/>
          <w:bCs/>
          <w:color w:val="000000" w:themeColor="text1"/>
          <w:sz w:val="24"/>
          <w:szCs w:val="24"/>
        </w:rPr>
        <w:t xml:space="preserve">Figure S6. Expression of </w:t>
      </w:r>
      <w:proofErr w:type="spellStart"/>
      <w:r w:rsidRPr="00F1067E">
        <w:rPr>
          <w:b/>
          <w:bCs/>
          <w:color w:val="000000" w:themeColor="text1"/>
          <w:sz w:val="24"/>
          <w:szCs w:val="24"/>
        </w:rPr>
        <w:t>AhR</w:t>
      </w:r>
      <w:proofErr w:type="spellEnd"/>
      <w:r w:rsidRPr="00F1067E">
        <w:rPr>
          <w:b/>
          <w:bCs/>
          <w:color w:val="000000" w:themeColor="text1"/>
          <w:sz w:val="24"/>
          <w:szCs w:val="24"/>
        </w:rPr>
        <w:t xml:space="preserve"> target genes in DSS-exposed WT and </w:t>
      </w:r>
      <w:r w:rsidRPr="00F1067E">
        <w:rPr>
          <w:b/>
          <w:bCs/>
          <w:i/>
          <w:iCs/>
          <w:color w:val="000000" w:themeColor="text1"/>
          <w:sz w:val="24"/>
          <w:szCs w:val="24"/>
        </w:rPr>
        <w:t>P2rx1</w:t>
      </w:r>
      <w:r w:rsidRPr="00F1067E">
        <w:rPr>
          <w:b/>
          <w:bCs/>
          <w:color w:val="000000" w:themeColor="text1"/>
          <w:sz w:val="24"/>
          <w:szCs w:val="24"/>
          <w:vertAlign w:val="superscript"/>
        </w:rPr>
        <w:t>-/-</w:t>
      </w:r>
      <w:r w:rsidRPr="00F1067E">
        <w:rPr>
          <w:b/>
          <w:bCs/>
          <w:color w:val="000000" w:themeColor="text1"/>
          <w:sz w:val="24"/>
          <w:szCs w:val="24"/>
        </w:rPr>
        <w:t xml:space="preserve"> mice. </w:t>
      </w:r>
      <w:r w:rsidRPr="00F1067E">
        <w:rPr>
          <w:color w:val="000000" w:themeColor="text1"/>
          <w:sz w:val="24"/>
          <w:szCs w:val="24"/>
        </w:rPr>
        <w:t xml:space="preserve">WT and </w:t>
      </w:r>
      <w:r w:rsidRPr="00F1067E">
        <w:rPr>
          <w:i/>
          <w:iCs/>
          <w:color w:val="000000" w:themeColor="text1"/>
          <w:sz w:val="24"/>
          <w:szCs w:val="24"/>
        </w:rPr>
        <w:t>P2rx1</w:t>
      </w:r>
      <w:r w:rsidRPr="00F1067E">
        <w:rPr>
          <w:color w:val="000000" w:themeColor="text1"/>
          <w:sz w:val="24"/>
          <w:szCs w:val="24"/>
          <w:vertAlign w:val="superscript"/>
        </w:rPr>
        <w:t>-/-</w:t>
      </w:r>
      <w:r w:rsidRPr="00F1067E">
        <w:rPr>
          <w:color w:val="000000" w:themeColor="text1"/>
          <w:sz w:val="24"/>
          <w:szCs w:val="24"/>
        </w:rPr>
        <w:t xml:space="preserve"> mice were treated with 2% DSS for 7 days. At day 7, colon tissues were harvested and two </w:t>
      </w:r>
      <w:proofErr w:type="spellStart"/>
      <w:r w:rsidRPr="00F1067E">
        <w:rPr>
          <w:color w:val="000000" w:themeColor="text1"/>
          <w:sz w:val="24"/>
          <w:szCs w:val="24"/>
        </w:rPr>
        <w:t>AhR</w:t>
      </w:r>
      <w:proofErr w:type="spellEnd"/>
      <w:r w:rsidRPr="00F1067E">
        <w:rPr>
          <w:color w:val="000000" w:themeColor="text1"/>
          <w:sz w:val="24"/>
          <w:szCs w:val="24"/>
        </w:rPr>
        <w:t xml:space="preserve"> target genes, CYP1A1 and CYP1B1, were detected by RT-qPCR (n=4 per group).</w:t>
      </w:r>
    </w:p>
    <w:p w14:paraId="1DADDCAB" w14:textId="77777777" w:rsidR="00F1067E" w:rsidRPr="00F1067E" w:rsidRDefault="00F1067E" w:rsidP="00F1067E">
      <w:pPr>
        <w:spacing w:line="360" w:lineRule="auto"/>
        <w:rPr>
          <w:b/>
          <w:bCs/>
          <w:color w:val="000000" w:themeColor="text1"/>
          <w:sz w:val="24"/>
          <w:szCs w:val="24"/>
        </w:rPr>
      </w:pPr>
    </w:p>
    <w:p w14:paraId="31F75E05" w14:textId="77777777" w:rsidR="00F1067E" w:rsidRPr="00F1067E" w:rsidRDefault="00F1067E" w:rsidP="00F1067E">
      <w:pPr>
        <w:spacing w:line="360" w:lineRule="auto"/>
        <w:rPr>
          <w:b/>
          <w:bCs/>
          <w:color w:val="000000" w:themeColor="text1"/>
          <w:sz w:val="24"/>
          <w:szCs w:val="24"/>
        </w:rPr>
      </w:pPr>
    </w:p>
    <w:p w14:paraId="79DEADBF" w14:textId="77777777" w:rsidR="00F1067E" w:rsidRPr="00F1067E" w:rsidRDefault="00F1067E" w:rsidP="00F1067E">
      <w:pPr>
        <w:widowControl/>
        <w:jc w:val="left"/>
        <w:rPr>
          <w:b/>
          <w:bCs/>
          <w:color w:val="000000" w:themeColor="text1"/>
          <w:sz w:val="24"/>
          <w:szCs w:val="24"/>
        </w:rPr>
      </w:pPr>
      <w:r w:rsidRPr="00F1067E">
        <w:rPr>
          <w:b/>
          <w:bCs/>
          <w:color w:val="000000" w:themeColor="text1"/>
          <w:sz w:val="24"/>
          <w:szCs w:val="24"/>
        </w:rPr>
        <w:br w:type="page"/>
      </w:r>
    </w:p>
    <w:p w14:paraId="6EBC609C" w14:textId="77777777" w:rsidR="00F1067E" w:rsidRPr="00F1067E" w:rsidRDefault="00F1067E" w:rsidP="00F1067E">
      <w:pPr>
        <w:spacing w:line="360" w:lineRule="auto"/>
        <w:jc w:val="center"/>
        <w:rPr>
          <w:b/>
          <w:bCs/>
          <w:color w:val="000000" w:themeColor="text1"/>
          <w:sz w:val="24"/>
          <w:szCs w:val="24"/>
        </w:rPr>
      </w:pPr>
      <w:r w:rsidRPr="00F1067E">
        <w:rPr>
          <w:noProof/>
          <w:color w:val="000000" w:themeColor="text1"/>
        </w:rPr>
        <w:lastRenderedPageBreak/>
        <w:drawing>
          <wp:inline distT="0" distB="0" distL="0" distR="0" wp14:anchorId="7932D3A5" wp14:editId="2DEE6AF6">
            <wp:extent cx="4086860" cy="836930"/>
            <wp:effectExtent l="0" t="0" r="889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333FC" w14:textId="77777777" w:rsidR="00F1067E" w:rsidRPr="00F1067E" w:rsidRDefault="00F1067E" w:rsidP="00F1067E">
      <w:pPr>
        <w:spacing w:line="480" w:lineRule="auto"/>
        <w:rPr>
          <w:b/>
          <w:bCs/>
          <w:color w:val="000000" w:themeColor="text1"/>
          <w:sz w:val="24"/>
          <w:szCs w:val="24"/>
        </w:rPr>
      </w:pPr>
      <w:r w:rsidRPr="00F1067E">
        <w:rPr>
          <w:b/>
          <w:bCs/>
          <w:color w:val="000000" w:themeColor="text1"/>
          <w:sz w:val="24"/>
          <w:szCs w:val="24"/>
        </w:rPr>
        <w:t xml:space="preserve">Figure S7. Genotyping results of WT and </w:t>
      </w:r>
      <w:r w:rsidRPr="00F1067E">
        <w:rPr>
          <w:b/>
          <w:bCs/>
          <w:i/>
          <w:iCs/>
          <w:color w:val="000000" w:themeColor="text1"/>
          <w:sz w:val="24"/>
          <w:szCs w:val="24"/>
        </w:rPr>
        <w:t>P2rx1</w:t>
      </w:r>
      <w:r w:rsidRPr="00F1067E">
        <w:rPr>
          <w:b/>
          <w:bCs/>
          <w:color w:val="000000" w:themeColor="text1"/>
          <w:sz w:val="24"/>
          <w:szCs w:val="24"/>
          <w:vertAlign w:val="superscript"/>
        </w:rPr>
        <w:t xml:space="preserve">-/- </w:t>
      </w:r>
      <w:r w:rsidRPr="00F1067E">
        <w:rPr>
          <w:b/>
          <w:bCs/>
          <w:color w:val="000000" w:themeColor="text1"/>
          <w:sz w:val="24"/>
          <w:szCs w:val="24"/>
        </w:rPr>
        <w:t xml:space="preserve">mice. </w:t>
      </w:r>
      <w:r w:rsidRPr="00F1067E">
        <w:rPr>
          <w:color w:val="000000" w:themeColor="text1"/>
          <w:sz w:val="24"/>
          <w:szCs w:val="24"/>
        </w:rPr>
        <w:t xml:space="preserve">PCR was performed for genotyping gene-edited mice. As shown in the representative image, No. 370, 374 and 378 were WT mice, whereas No. 372 and 376 were </w:t>
      </w:r>
      <w:r w:rsidRPr="00F1067E">
        <w:rPr>
          <w:i/>
          <w:iCs/>
          <w:color w:val="000000" w:themeColor="text1"/>
          <w:sz w:val="24"/>
          <w:szCs w:val="24"/>
        </w:rPr>
        <w:t>P2rx1</w:t>
      </w:r>
      <w:r w:rsidRPr="00F1067E">
        <w:rPr>
          <w:color w:val="000000" w:themeColor="text1"/>
          <w:sz w:val="24"/>
          <w:szCs w:val="24"/>
          <w:vertAlign w:val="superscript"/>
        </w:rPr>
        <w:t>-/-</w:t>
      </w:r>
      <w:r w:rsidRPr="00F1067E">
        <w:rPr>
          <w:color w:val="000000" w:themeColor="text1"/>
          <w:sz w:val="24"/>
          <w:szCs w:val="24"/>
        </w:rPr>
        <w:t xml:space="preserve"> mice. Heterozygous parent (P), C57BL/6 (B6) and null (N) were set as controls. The rest are heterozygous mice.</w:t>
      </w:r>
    </w:p>
    <w:p w14:paraId="3D372F6F" w14:textId="77777777" w:rsidR="00477DC6" w:rsidRPr="00F1067E" w:rsidRDefault="00477DC6">
      <w:pPr>
        <w:rPr>
          <w:color w:val="000000" w:themeColor="text1"/>
        </w:rPr>
      </w:pPr>
    </w:p>
    <w:sectPr w:rsidR="00477DC6" w:rsidRPr="00F1067E" w:rsidSect="00E0134E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22497423"/>
      <w:docPartObj>
        <w:docPartGallery w:val="Page Numbers (Bottom of Page)"/>
        <w:docPartUnique/>
      </w:docPartObj>
    </w:sdtPr>
    <w:sdtEndPr/>
    <w:sdtContent>
      <w:p w14:paraId="2E8A2953" w14:textId="77777777" w:rsidR="00DE0F55" w:rsidRDefault="00F1067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5601359" w14:textId="77777777" w:rsidR="00DE0F55" w:rsidRDefault="00F1067E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67E"/>
    <w:rsid w:val="00477DC6"/>
    <w:rsid w:val="00F1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E7790"/>
  <w15:chartTrackingRefBased/>
  <w15:docId w15:val="{32FB0C32-D5FC-4E78-95EB-B7803DF1B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kern w:val="2"/>
        <w:sz w:val="21"/>
        <w:szCs w:val="2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06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106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F1067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oter" Target="footer1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322</Words>
  <Characters>1838</Characters>
  <Application>Microsoft Office Word</Application>
  <DocSecurity>0</DocSecurity>
  <Lines>15</Lines>
  <Paragraphs>4</Paragraphs>
  <ScaleCrop>false</ScaleCrop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Wang</dc:creator>
  <cp:keywords/>
  <dc:description/>
  <cp:lastModifiedBy>Xu Wang</cp:lastModifiedBy>
  <cp:revision>1</cp:revision>
  <dcterms:created xsi:type="dcterms:W3CDTF">2021-07-12T13:11:00Z</dcterms:created>
  <dcterms:modified xsi:type="dcterms:W3CDTF">2021-07-12T13:11:00Z</dcterms:modified>
</cp:coreProperties>
</file>