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37" w:rsidRDefault="005C48D4">
      <w:pPr>
        <w:rPr>
          <w:b/>
          <w:sz w:val="24"/>
          <w:szCs w:val="24"/>
        </w:rPr>
      </w:pPr>
      <w:r>
        <w:rPr>
          <w:b/>
          <w:sz w:val="24"/>
          <w:szCs w:val="24"/>
        </w:rPr>
        <w:t>Supplementary File</w:t>
      </w:r>
    </w:p>
    <w:p w:rsidR="001E3D37" w:rsidRDefault="001E3D37">
      <w:pPr>
        <w:rPr>
          <w:b/>
          <w:sz w:val="24"/>
          <w:szCs w:val="24"/>
        </w:rPr>
      </w:pPr>
    </w:p>
    <w:p w:rsidR="001E3D37" w:rsidRDefault="005C48D4">
      <w:pPr>
        <w:rPr>
          <w:b/>
          <w:sz w:val="24"/>
          <w:szCs w:val="24"/>
        </w:rPr>
      </w:pPr>
      <w:r>
        <w:rPr>
          <w:b/>
          <w:sz w:val="24"/>
          <w:szCs w:val="24"/>
        </w:rPr>
        <w:t>Physiologically based pharmacokinetic modelling for nicotine and cotinine clearance in pregnant women</w:t>
      </w:r>
    </w:p>
    <w:p w:rsidR="001E3D37" w:rsidRDefault="001E3D37"/>
    <w:p w:rsidR="001E3D37" w:rsidRDefault="005C48D4">
      <w:r>
        <w:t>B. Amice, H. Ho, E. Zhang, C. Bullen</w:t>
      </w:r>
    </w:p>
    <w:p w:rsidR="001E3D37" w:rsidRDefault="001E3D37">
      <w:bookmarkStart w:id="0" w:name="_gjdgxs" w:colFirst="0" w:colLast="0"/>
      <w:bookmarkEnd w:id="0"/>
    </w:p>
    <w:p w:rsidR="001E3D37" w:rsidRDefault="001E3D37">
      <w:pPr>
        <w:rPr>
          <w:color w:val="FF0000"/>
        </w:rPr>
      </w:pPr>
    </w:p>
    <w:p w:rsidR="001E3D37" w:rsidRDefault="001E3D37">
      <w:pPr>
        <w:rPr>
          <w:color w:val="FF0000"/>
        </w:rPr>
      </w:pPr>
    </w:p>
    <w:p w:rsidR="001E3D37" w:rsidRDefault="005C48D4">
      <w:pPr>
        <w:rPr>
          <w:b/>
        </w:rPr>
      </w:pPr>
      <w:r>
        <w:rPr>
          <w:b/>
        </w:rPr>
        <w:t>S.1: Diagram of the p-PBPK model</w:t>
      </w:r>
    </w:p>
    <w:p w:rsidR="001E3D37" w:rsidRDefault="001E3D37"/>
    <w:p w:rsidR="001E3D37" w:rsidRDefault="005C48D4">
      <w:pPr>
        <w:widowControl w:val="0"/>
        <w:pBdr>
          <w:top w:val="nil"/>
          <w:left w:val="nil"/>
          <w:bottom w:val="nil"/>
          <w:right w:val="nil"/>
          <w:between w:val="nil"/>
        </w:pBdr>
        <w:spacing w:after="0" w:line="276" w:lineRule="auto"/>
        <w:rPr>
          <w:rFonts w:ascii="Arial" w:eastAsia="Arial" w:hAnsi="Arial" w:cs="Arial"/>
          <w:color w:val="000000"/>
        </w:rPr>
      </w:pPr>
      <w:r>
        <w:rPr>
          <w:color w:val="000000"/>
        </w:rPr>
        <w:t>The PBPK model in Robinson 1992 (Robinson et al., 1992) consists of ten compartments for nicotine (NIC model) and nine for cotinine (COT model), representing the arterial and venous blood, the liver, lung, kidney, gut, vessel-rich, muscle and fat groups. A</w:t>
      </w:r>
      <w:r>
        <w:rPr>
          <w:color w:val="000000"/>
        </w:rPr>
        <w:t xml:space="preserve"> significant difference between our model and the Robinson 1992 model is the updated renal and hepatic clearance coefficients to resolve the problem of overestimation of nicotine/cotinine clearance in. We adopted the parameters from (Dempsey et al., 2002):</w:t>
      </w:r>
      <w:r>
        <w:rPr>
          <w:color w:val="000000"/>
        </w:rPr>
        <w:t xml:space="preserve">  </w:t>
      </w:r>
    </w:p>
    <w:p w:rsidR="001E3D37" w:rsidRDefault="001E3D37">
      <w:pPr>
        <w:widowControl w:val="0"/>
        <w:pBdr>
          <w:top w:val="nil"/>
          <w:left w:val="nil"/>
          <w:bottom w:val="nil"/>
          <w:right w:val="nil"/>
          <w:between w:val="nil"/>
        </w:pBdr>
        <w:spacing w:after="0" w:line="276" w:lineRule="auto"/>
        <w:rPr>
          <w:color w:val="000000"/>
        </w:rPr>
      </w:pPr>
    </w:p>
    <w:p w:rsidR="001E3D37" w:rsidRDefault="005C48D4">
      <w:pPr>
        <w:widowControl w:val="0"/>
        <w:numPr>
          <w:ilvl w:val="0"/>
          <w:numId w:val="3"/>
        </w:numPr>
        <w:pBdr>
          <w:top w:val="nil"/>
          <w:left w:val="nil"/>
          <w:bottom w:val="nil"/>
          <w:right w:val="nil"/>
          <w:between w:val="nil"/>
        </w:pBdr>
        <w:spacing w:after="0" w:line="276" w:lineRule="auto"/>
      </w:pPr>
      <w:r>
        <w:rPr>
          <w:color w:val="000000"/>
        </w:rPr>
        <w:t xml:space="preserve">Nicotine hepatic clearance 277.14 </w:t>
      </w:r>
      <m:oMath>
        <m:r>
          <w:rPr>
            <w:rFonts w:ascii="Cambria Math" w:eastAsia="Cambria Math" w:hAnsi="Cambria Math" w:cs="Cambria Math"/>
            <w:color w:val="000000"/>
          </w:rPr>
          <m:t>(</m:t>
        </m:r>
        <m:r>
          <w:rPr>
            <w:rFonts w:ascii="Cambria Math" w:eastAsia="Cambria Math" w:hAnsi="Cambria Math" w:cs="Cambria Math"/>
            <w:color w:val="000000"/>
          </w:rPr>
          <m:t>k</m:t>
        </m:r>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r>
                  <w:rPr>
                    <w:rFonts w:ascii="Cambria Math" w:eastAsia="Cambria Math" w:hAnsi="Cambria Math" w:cs="Cambria Math"/>
                    <w:color w:val="000000"/>
                  </w:rPr>
                  <m:t>g</m:t>
                </m:r>
              </m:e>
              <m:sup>
                <m:r>
                  <w:rPr>
                    <w:rFonts w:ascii="Cambria Math" w:eastAsia="Cambria Math" w:hAnsi="Cambria Math" w:cs="Cambria Math"/>
                    <w:color w:val="000000"/>
                  </w:rPr>
                  <m:t>0.25</m:t>
                </m:r>
              </m:sup>
            </m:sSup>
          </m:num>
          <m:den>
            <m:r>
              <w:rPr>
                <w:rFonts w:ascii="Cambria Math" w:eastAsia="Cambria Math" w:hAnsi="Cambria Math" w:cs="Cambria Math"/>
                <w:color w:val="000000"/>
              </w:rPr>
              <m:t>h</m:t>
            </m:r>
          </m:den>
        </m:f>
        <m:r>
          <w:rPr>
            <w:rFonts w:ascii="Cambria Math" w:eastAsia="Cambria Math" w:hAnsi="Cambria Math" w:cs="Cambria Math"/>
            <w:color w:val="000000"/>
          </w:rPr>
          <m:t>)</m:t>
        </m:r>
      </m:oMath>
      <w:r>
        <w:rPr>
          <w:color w:val="000000"/>
        </w:rPr>
        <w:t xml:space="preserve">→  16.2 </w:t>
      </w:r>
      <m:oMath>
        <m:r>
          <w:rPr>
            <w:rFonts w:ascii="Cambria Math" w:eastAsia="Cambria Math" w:hAnsi="Cambria Math" w:cs="Cambria Math"/>
            <w:color w:val="000000"/>
          </w:rPr>
          <m:t>(</m:t>
        </m:r>
        <m:r>
          <w:rPr>
            <w:rFonts w:ascii="Cambria Math" w:eastAsia="Cambria Math" w:hAnsi="Cambria Math" w:cs="Cambria Math"/>
            <w:color w:val="000000"/>
          </w:rPr>
          <m:t>ml</m:t>
        </m:r>
        <m:r>
          <w:rPr>
            <w:rFonts w:ascii="Cambria Math" w:eastAsia="Cambria Math" w:hAnsi="Cambria Math" w:cs="Cambria Math"/>
            <w:color w:val="000000"/>
          </w:rPr>
          <m:t>/</m:t>
        </m:r>
        <m:r>
          <w:rPr>
            <w:rFonts w:ascii="Cambria Math" w:eastAsia="Cambria Math" w:hAnsi="Cambria Math" w:cs="Cambria Math"/>
            <w:color w:val="000000"/>
          </w:rPr>
          <m:t>min</m:t>
        </m:r>
        <m:r>
          <w:rPr>
            <w:rFonts w:ascii="Cambria Math" w:eastAsia="Cambria Math" w:hAnsi="Cambria Math" w:cs="Cambria Math"/>
            <w:color w:val="000000"/>
          </w:rPr>
          <m:t>/</m:t>
        </m:r>
        <m:r>
          <w:rPr>
            <w:rFonts w:ascii="Cambria Math" w:eastAsia="Cambria Math" w:hAnsi="Cambria Math" w:cs="Cambria Math"/>
            <w:color w:val="000000"/>
          </w:rPr>
          <m:t>kg</m:t>
        </m:r>
        <m:r>
          <w:rPr>
            <w:rFonts w:ascii="Cambria Math" w:eastAsia="Cambria Math" w:hAnsi="Cambria Math" w:cs="Cambria Math"/>
            <w:color w:val="000000"/>
          </w:rPr>
          <m:t>)</m:t>
        </m:r>
      </m:oMath>
      <w:r>
        <w:rPr>
          <w:color w:val="000000"/>
        </w:rPr>
        <w:t xml:space="preserve"> (Dempsey et al., 2002)</w:t>
      </w:r>
    </w:p>
    <w:p w:rsidR="001E3D37" w:rsidRDefault="005C48D4">
      <w:pPr>
        <w:widowControl w:val="0"/>
        <w:numPr>
          <w:ilvl w:val="0"/>
          <w:numId w:val="2"/>
        </w:numPr>
        <w:pBdr>
          <w:top w:val="nil"/>
          <w:left w:val="nil"/>
          <w:bottom w:val="nil"/>
          <w:right w:val="nil"/>
          <w:between w:val="nil"/>
        </w:pBdr>
        <w:spacing w:after="0" w:line="276" w:lineRule="auto"/>
      </w:pPr>
      <w:r>
        <w:rPr>
          <w:color w:val="000000"/>
        </w:rPr>
        <w:t xml:space="preserve">Nicotine renal clearance 0.6198  </w:t>
      </w:r>
      <m:oMath>
        <m:r>
          <w:rPr>
            <w:rFonts w:ascii="Cambria Math" w:eastAsia="Cambria Math" w:hAnsi="Cambria Math" w:cs="Cambria Math"/>
            <w:color w:val="000000"/>
          </w:rPr>
          <m:t>(</m:t>
        </m:r>
        <m:r>
          <w:rPr>
            <w:rFonts w:ascii="Cambria Math" w:eastAsia="Cambria Math" w:hAnsi="Cambria Math" w:cs="Cambria Math"/>
            <w:color w:val="000000"/>
          </w:rPr>
          <m:t>L</m:t>
        </m:r>
        <m:r>
          <w:rPr>
            <w:rFonts w:ascii="Cambria Math" w:eastAsia="Cambria Math" w:hAnsi="Cambria Math" w:cs="Cambria Math"/>
            <w:color w:val="000000"/>
          </w:rPr>
          <m:t>/h/</m:t>
        </m:r>
        <m:r>
          <w:rPr>
            <w:rFonts w:ascii="Cambria Math" w:eastAsia="Cambria Math" w:hAnsi="Cambria Math" w:cs="Cambria Math"/>
            <w:color w:val="000000"/>
          </w:rPr>
          <m:t>k</m:t>
        </m:r>
        <m:sSup>
          <m:sSupPr>
            <m:ctrlPr>
              <w:rPr>
                <w:rFonts w:ascii="Cambria Math" w:eastAsia="Cambria Math" w:hAnsi="Cambria Math" w:cs="Cambria Math"/>
                <w:color w:val="000000"/>
              </w:rPr>
            </m:ctrlPr>
          </m:sSupPr>
          <m:e>
            <m:r>
              <w:rPr>
                <w:rFonts w:ascii="Cambria Math" w:eastAsia="Cambria Math" w:hAnsi="Cambria Math" w:cs="Cambria Math"/>
                <w:color w:val="000000"/>
              </w:rPr>
              <m:t>g</m:t>
            </m:r>
          </m:e>
          <m:sup>
            <m:r>
              <w:rPr>
                <w:rFonts w:ascii="Cambria Math" w:eastAsia="Cambria Math" w:hAnsi="Cambria Math" w:cs="Cambria Math"/>
                <w:color w:val="000000"/>
              </w:rPr>
              <m:t>0.75</m:t>
            </m:r>
          </m:sup>
        </m:sSup>
        <m:r>
          <w:rPr>
            <w:rFonts w:ascii="Cambria Math" w:eastAsia="Cambria Math" w:hAnsi="Cambria Math" w:cs="Cambria Math"/>
            <w:color w:val="000000"/>
          </w:rPr>
          <m:t>)</m:t>
        </m:r>
      </m:oMath>
      <w:r>
        <w:rPr>
          <w:color w:val="000000"/>
        </w:rPr>
        <w:t xml:space="preserve">→ 0.7  </w:t>
      </w:r>
      <m:oMath>
        <m:r>
          <w:rPr>
            <w:rFonts w:ascii="Cambria Math" w:eastAsia="Cambria Math" w:hAnsi="Cambria Math" w:cs="Cambria Math"/>
            <w:color w:val="000000"/>
          </w:rPr>
          <m:t>(</m:t>
        </m:r>
        <m:r>
          <w:rPr>
            <w:rFonts w:ascii="Cambria Math" w:eastAsia="Cambria Math" w:hAnsi="Cambria Math" w:cs="Cambria Math"/>
            <w:color w:val="000000"/>
          </w:rPr>
          <m:t>ml</m:t>
        </m:r>
        <m:r>
          <w:rPr>
            <w:rFonts w:ascii="Cambria Math" w:eastAsia="Cambria Math" w:hAnsi="Cambria Math" w:cs="Cambria Math"/>
            <w:color w:val="000000"/>
          </w:rPr>
          <m:t>/</m:t>
        </m:r>
        <m:r>
          <w:rPr>
            <w:rFonts w:ascii="Cambria Math" w:eastAsia="Cambria Math" w:hAnsi="Cambria Math" w:cs="Cambria Math"/>
            <w:color w:val="000000"/>
          </w:rPr>
          <m:t>min</m:t>
        </m:r>
        <m:r>
          <w:rPr>
            <w:rFonts w:ascii="Cambria Math" w:eastAsia="Cambria Math" w:hAnsi="Cambria Math" w:cs="Cambria Math"/>
            <w:color w:val="000000"/>
          </w:rPr>
          <m:t>/</m:t>
        </m:r>
        <m:r>
          <w:rPr>
            <w:rFonts w:ascii="Cambria Math" w:eastAsia="Cambria Math" w:hAnsi="Cambria Math" w:cs="Cambria Math"/>
            <w:color w:val="000000"/>
          </w:rPr>
          <m:t>kg</m:t>
        </m:r>
        <m:r>
          <w:rPr>
            <w:rFonts w:ascii="Cambria Math" w:eastAsia="Cambria Math" w:hAnsi="Cambria Math" w:cs="Cambria Math"/>
            <w:color w:val="000000"/>
          </w:rPr>
          <m:t>)</m:t>
        </m:r>
      </m:oMath>
      <w:r>
        <w:rPr>
          <w:color w:val="000000"/>
        </w:rPr>
        <w:t xml:space="preserve"> (Dempsey et al., 2002) </w:t>
      </w:r>
    </w:p>
    <w:p w:rsidR="001E3D37" w:rsidRDefault="005C48D4">
      <w:pPr>
        <w:widowControl w:val="0"/>
        <w:numPr>
          <w:ilvl w:val="0"/>
          <w:numId w:val="2"/>
        </w:numPr>
        <w:pBdr>
          <w:top w:val="nil"/>
          <w:left w:val="nil"/>
          <w:bottom w:val="nil"/>
          <w:right w:val="nil"/>
          <w:between w:val="nil"/>
        </w:pBdr>
        <w:spacing w:after="0" w:line="276" w:lineRule="auto"/>
      </w:pPr>
      <w:r>
        <w:rPr>
          <w:color w:val="000000"/>
        </w:rPr>
        <w:t xml:space="preserve">Cotinine hepatic clearance 6.3635 </w:t>
      </w:r>
      <m:oMath>
        <m:r>
          <w:rPr>
            <w:rFonts w:ascii="Cambria Math" w:eastAsia="Cambria Math" w:hAnsi="Cambria Math" w:cs="Cambria Math"/>
            <w:color w:val="000000"/>
          </w:rPr>
          <m:t>(</m:t>
        </m:r>
        <m:r>
          <w:rPr>
            <w:rFonts w:ascii="Cambria Math" w:eastAsia="Cambria Math" w:hAnsi="Cambria Math" w:cs="Cambria Math"/>
            <w:color w:val="000000"/>
          </w:rPr>
          <m:t>k</m:t>
        </m:r>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r>
                  <w:rPr>
                    <w:rFonts w:ascii="Cambria Math" w:eastAsia="Cambria Math" w:hAnsi="Cambria Math" w:cs="Cambria Math"/>
                    <w:color w:val="000000"/>
                  </w:rPr>
                  <m:t>g</m:t>
                </m:r>
              </m:e>
              <m:sup>
                <m:r>
                  <w:rPr>
                    <w:rFonts w:ascii="Cambria Math" w:eastAsia="Cambria Math" w:hAnsi="Cambria Math" w:cs="Cambria Math"/>
                    <w:color w:val="000000"/>
                  </w:rPr>
                  <m:t>0.25</m:t>
                </m:r>
              </m:sup>
            </m:sSup>
          </m:num>
          <m:den>
            <m:r>
              <w:rPr>
                <w:rFonts w:ascii="Cambria Math" w:eastAsia="Cambria Math" w:hAnsi="Cambria Math" w:cs="Cambria Math"/>
                <w:color w:val="000000"/>
              </w:rPr>
              <m:t>h</m:t>
            </m:r>
          </m:den>
        </m:f>
        <m:r>
          <w:rPr>
            <w:rFonts w:ascii="Cambria Math" w:eastAsia="Cambria Math" w:hAnsi="Cambria Math" w:cs="Cambria Math"/>
            <w:color w:val="000000"/>
          </w:rPr>
          <m:t>)</m:t>
        </m:r>
      </m:oMath>
      <w:r>
        <w:rPr>
          <w:color w:val="000000"/>
        </w:rPr>
        <w:t xml:space="preserve">→ 0.5 </w:t>
      </w:r>
      <m:oMath>
        <m:r>
          <w:rPr>
            <w:rFonts w:ascii="Cambria Math" w:eastAsia="Cambria Math" w:hAnsi="Cambria Math" w:cs="Cambria Math"/>
            <w:color w:val="000000"/>
          </w:rPr>
          <m:t>(</m:t>
        </m:r>
        <m:r>
          <w:rPr>
            <w:rFonts w:ascii="Cambria Math" w:eastAsia="Cambria Math" w:hAnsi="Cambria Math" w:cs="Cambria Math"/>
            <w:color w:val="000000"/>
          </w:rPr>
          <m:t>ml</m:t>
        </m:r>
        <m:r>
          <w:rPr>
            <w:rFonts w:ascii="Cambria Math" w:eastAsia="Cambria Math" w:hAnsi="Cambria Math" w:cs="Cambria Math"/>
            <w:color w:val="000000"/>
          </w:rPr>
          <m:t>/</m:t>
        </m:r>
        <m:r>
          <w:rPr>
            <w:rFonts w:ascii="Cambria Math" w:eastAsia="Cambria Math" w:hAnsi="Cambria Math" w:cs="Cambria Math"/>
            <w:color w:val="000000"/>
          </w:rPr>
          <m:t>min</m:t>
        </m:r>
        <m:r>
          <w:rPr>
            <w:rFonts w:ascii="Cambria Math" w:eastAsia="Cambria Math" w:hAnsi="Cambria Math" w:cs="Cambria Math"/>
            <w:color w:val="000000"/>
          </w:rPr>
          <m:t>/</m:t>
        </m:r>
        <m:r>
          <w:rPr>
            <w:rFonts w:ascii="Cambria Math" w:eastAsia="Cambria Math" w:hAnsi="Cambria Math" w:cs="Cambria Math"/>
            <w:color w:val="000000"/>
          </w:rPr>
          <m:t>kg</m:t>
        </m:r>
        <m:r>
          <w:rPr>
            <w:rFonts w:ascii="Cambria Math" w:eastAsia="Cambria Math" w:hAnsi="Cambria Math" w:cs="Cambria Math"/>
            <w:color w:val="000000"/>
          </w:rPr>
          <m:t>)</m:t>
        </m:r>
      </m:oMath>
      <w:r>
        <w:rPr>
          <w:color w:val="000000"/>
        </w:rPr>
        <w:t xml:space="preserve">  (Dempsey et al., 2002)</w:t>
      </w:r>
    </w:p>
    <w:p w:rsidR="001E3D37" w:rsidRDefault="005C48D4">
      <w:pPr>
        <w:widowControl w:val="0"/>
        <w:numPr>
          <w:ilvl w:val="0"/>
          <w:numId w:val="2"/>
        </w:numPr>
        <w:pBdr>
          <w:top w:val="nil"/>
          <w:left w:val="nil"/>
          <w:bottom w:val="nil"/>
          <w:right w:val="nil"/>
          <w:between w:val="nil"/>
        </w:pBdr>
        <w:spacing w:after="0" w:line="276" w:lineRule="auto"/>
      </w:pPr>
      <w:r>
        <w:rPr>
          <w:color w:val="000000"/>
        </w:rPr>
        <w:t>Cotinine renal clearance 0.0248</w:t>
      </w:r>
      <m:oMath>
        <m:r>
          <w:rPr>
            <w:rFonts w:ascii="Cambria Math" w:eastAsia="Cambria Math" w:hAnsi="Cambria Math" w:cs="Cambria Math"/>
            <w:color w:val="000000"/>
          </w:rPr>
          <m:t>(</m:t>
        </m:r>
        <m:r>
          <w:rPr>
            <w:rFonts w:ascii="Cambria Math" w:eastAsia="Cambria Math" w:hAnsi="Cambria Math" w:cs="Cambria Math"/>
            <w:color w:val="000000"/>
          </w:rPr>
          <m:t>k</m:t>
        </m:r>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r>
                  <w:rPr>
                    <w:rFonts w:ascii="Cambria Math" w:eastAsia="Cambria Math" w:hAnsi="Cambria Math" w:cs="Cambria Math"/>
                    <w:color w:val="000000"/>
                  </w:rPr>
                  <m:t>g</m:t>
                </m:r>
              </m:e>
              <m:sup>
                <m:r>
                  <w:rPr>
                    <w:rFonts w:ascii="Cambria Math" w:eastAsia="Cambria Math" w:hAnsi="Cambria Math" w:cs="Cambria Math"/>
                    <w:color w:val="000000"/>
                  </w:rPr>
                  <m:t>0.25</m:t>
                </m:r>
              </m:sup>
            </m:sSup>
          </m:num>
          <m:den>
            <m:r>
              <w:rPr>
                <w:rFonts w:ascii="Cambria Math" w:eastAsia="Cambria Math" w:hAnsi="Cambria Math" w:cs="Cambria Math"/>
                <w:color w:val="000000"/>
              </w:rPr>
              <m:t>h</m:t>
            </m:r>
          </m:den>
        </m:f>
        <m:r>
          <w:rPr>
            <w:rFonts w:ascii="Cambria Math" w:eastAsia="Cambria Math" w:hAnsi="Cambria Math" w:cs="Cambria Math"/>
            <w:color w:val="000000"/>
          </w:rPr>
          <m:t>)</m:t>
        </m:r>
      </m:oMath>
      <w:r>
        <w:rPr>
          <w:color w:val="000000"/>
        </w:rPr>
        <w:t xml:space="preserve">→ 0.2 </w:t>
      </w:r>
      <m:oMath>
        <m:r>
          <w:rPr>
            <w:rFonts w:ascii="Cambria Math" w:eastAsia="Cambria Math" w:hAnsi="Cambria Math" w:cs="Cambria Math"/>
            <w:color w:val="000000"/>
          </w:rPr>
          <m:t>(</m:t>
        </m:r>
        <m:r>
          <w:rPr>
            <w:rFonts w:ascii="Cambria Math" w:eastAsia="Cambria Math" w:hAnsi="Cambria Math" w:cs="Cambria Math"/>
            <w:color w:val="000000"/>
          </w:rPr>
          <m:t>ml</m:t>
        </m:r>
        <m:r>
          <w:rPr>
            <w:rFonts w:ascii="Cambria Math" w:eastAsia="Cambria Math" w:hAnsi="Cambria Math" w:cs="Cambria Math"/>
            <w:color w:val="000000"/>
          </w:rPr>
          <m:t>/</m:t>
        </m:r>
        <m:r>
          <w:rPr>
            <w:rFonts w:ascii="Cambria Math" w:eastAsia="Cambria Math" w:hAnsi="Cambria Math" w:cs="Cambria Math"/>
            <w:color w:val="000000"/>
          </w:rPr>
          <m:t>min</m:t>
        </m:r>
        <m:r>
          <w:rPr>
            <w:rFonts w:ascii="Cambria Math" w:eastAsia="Cambria Math" w:hAnsi="Cambria Math" w:cs="Cambria Math"/>
            <w:color w:val="000000"/>
          </w:rPr>
          <m:t>/</m:t>
        </m:r>
        <m:r>
          <w:rPr>
            <w:rFonts w:ascii="Cambria Math" w:eastAsia="Cambria Math" w:hAnsi="Cambria Math" w:cs="Cambria Math"/>
            <w:color w:val="000000"/>
          </w:rPr>
          <m:t>kg</m:t>
        </m:r>
        <m:r>
          <w:rPr>
            <w:rFonts w:ascii="Cambria Math" w:eastAsia="Cambria Math" w:hAnsi="Cambria Math" w:cs="Cambria Math"/>
            <w:color w:val="000000"/>
          </w:rPr>
          <m:t>)</m:t>
        </m:r>
      </m:oMath>
      <w:r>
        <w:rPr>
          <w:color w:val="000000"/>
        </w:rPr>
        <w:t xml:space="preserve"> (Dempsey et al., 2002)</w:t>
      </w:r>
    </w:p>
    <w:p w:rsidR="001E3D37" w:rsidRDefault="001E3D37"/>
    <w:p w:rsidR="001E3D37" w:rsidRDefault="005C48D4">
      <w:r>
        <w:t xml:space="preserve">The p-PBPK model is based on a generic template, (Gentry et al., 2003) which contains 13 compartments for different organs and tissue groups of pregnant women. The minor modification in </w:t>
      </w:r>
      <w:proofErr w:type="gramStart"/>
      <w:r>
        <w:t>the</w:t>
      </w:r>
      <w:proofErr w:type="gramEnd"/>
      <w:r>
        <w:t xml:space="preserve"> diagram is the addition of “brain” compartments to the maternal an</w:t>
      </w:r>
      <w:r>
        <w:t xml:space="preserve">d </w:t>
      </w:r>
      <w:proofErr w:type="spellStart"/>
      <w:r>
        <w:t>fetal</w:t>
      </w:r>
      <w:proofErr w:type="spellEnd"/>
      <w:r>
        <w:t xml:space="preserve"> model. The major difference is the incorporation of nicotine and cotinine-specific parameters such as their partition coefficients and clearance rates, (Robinson et al., 1992) which were verified with experimental data available at that time. The d</w:t>
      </w:r>
      <w:r>
        <w:t>iagram of the p-PBPK model is shown in Fig. S1. The parameters of individual compartments are shown in S2.</w:t>
      </w:r>
    </w:p>
    <w:p w:rsidR="001E3D37" w:rsidRDefault="001E3D37">
      <w:pPr>
        <w:rPr>
          <w:b/>
        </w:rPr>
      </w:pPr>
    </w:p>
    <w:p w:rsidR="001E3D37" w:rsidRDefault="005C48D4">
      <w:pPr>
        <w:rPr>
          <w:i/>
          <w:color w:val="FF0000"/>
        </w:rPr>
      </w:pPr>
      <w:r>
        <w:rPr>
          <w:noProof/>
          <w:lang w:val="en-US"/>
        </w:rPr>
        <w:lastRenderedPageBreak/>
        <w:drawing>
          <wp:inline distT="114300" distB="114300" distL="114300" distR="114300">
            <wp:extent cx="5734050" cy="4051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4050" cy="4051300"/>
                    </a:xfrm>
                    <a:prstGeom prst="rect">
                      <a:avLst/>
                    </a:prstGeom>
                    <a:ln/>
                  </pic:spPr>
                </pic:pic>
              </a:graphicData>
            </a:graphic>
          </wp:inline>
        </w:drawing>
      </w:r>
    </w:p>
    <w:p w:rsidR="001E3D37" w:rsidRDefault="001E3D37">
      <w:pPr>
        <w:rPr>
          <w:i/>
          <w:color w:val="FF0000"/>
        </w:rPr>
      </w:pPr>
    </w:p>
    <w:p w:rsidR="001E3D37" w:rsidRDefault="005C48D4">
      <w:pPr>
        <w:rPr>
          <w:i/>
        </w:rPr>
      </w:pPr>
      <w:r>
        <w:rPr>
          <w:i/>
        </w:rPr>
        <w:t xml:space="preserve">Fig. S1: The structure of the P-PBPK model. Details of the </w:t>
      </w:r>
      <w:proofErr w:type="spellStart"/>
      <w:r>
        <w:rPr>
          <w:i/>
        </w:rPr>
        <w:t>fetus</w:t>
      </w:r>
      <w:proofErr w:type="spellEnd"/>
      <w:r>
        <w:rPr>
          <w:i/>
        </w:rPr>
        <w:t xml:space="preserve"> PBPK model are shown inside the blue compartment.</w:t>
      </w:r>
    </w:p>
    <w:p w:rsidR="001E3D37" w:rsidRDefault="001E3D37"/>
    <w:p w:rsidR="001E3D37" w:rsidRDefault="005C48D4">
      <w:r>
        <w:t>Significant changes occur dur</w:t>
      </w:r>
      <w:r>
        <w:t>ing pregnancy for the clearance of nicotine and cotinine. (Dempsey et al., 2002)  The clearance for nicotine and cotinine was significantly higher (60 and 140% respectively) for pregnant women. Corresponding changes made to the equation system include:</w:t>
      </w:r>
    </w:p>
    <w:p w:rsidR="001E3D37" w:rsidRDefault="005C48D4">
      <w:pPr>
        <w:numPr>
          <w:ilvl w:val="0"/>
          <w:numId w:val="1"/>
        </w:numPr>
        <w:spacing w:after="0" w:line="276" w:lineRule="auto"/>
      </w:pPr>
      <w:r>
        <w:t>Nic</w:t>
      </w:r>
      <w:r>
        <w:t xml:space="preserve">otine hepatic clearance 16.2 </w:t>
      </w:r>
      <m:oMath>
        <m:r>
          <w:rPr>
            <w:rFonts w:ascii="Cambria Math" w:eastAsia="Cambria Math" w:hAnsi="Cambria Math" w:cs="Cambria Math"/>
          </w:rPr>
          <m:t>(</m:t>
        </m:r>
        <m:r>
          <w:rPr>
            <w:rFonts w:ascii="Cambria Math" w:eastAsia="Cambria Math" w:hAnsi="Cambria Math" w:cs="Cambria Math"/>
          </w:rPr>
          <m:t>k</m:t>
        </m:r>
        <m:f>
          <m:fPr>
            <m:ctrlPr>
              <w:rPr>
                <w:rFonts w:ascii="Cambria Math" w:eastAsia="Cambria Math" w:hAnsi="Cambria Math" w:cs="Cambria Math"/>
              </w:rPr>
            </m:ctrlPr>
          </m:fPr>
          <m:num>
            <m:sSup>
              <m:sSupPr>
                <m:ctrlPr>
                  <w:rPr>
                    <w:rFonts w:ascii="Cambria Math" w:eastAsia="Cambria Math" w:hAnsi="Cambria Math" w:cs="Cambria Math"/>
                  </w:rPr>
                </m:ctrlPr>
              </m:sSupPr>
              <m:e>
                <m:r>
                  <w:rPr>
                    <w:rFonts w:ascii="Cambria Math" w:eastAsia="Cambria Math" w:hAnsi="Cambria Math" w:cs="Cambria Math"/>
                  </w:rPr>
                  <m:t>g</m:t>
                </m:r>
              </m:e>
              <m:sup>
                <m:r>
                  <w:rPr>
                    <w:rFonts w:ascii="Cambria Math" w:eastAsia="Cambria Math" w:hAnsi="Cambria Math" w:cs="Cambria Math"/>
                  </w:rPr>
                  <m:t>0.25</m:t>
                </m:r>
              </m:sup>
            </m:sSup>
          </m:num>
          <m:den>
            <m:r>
              <w:rPr>
                <w:rFonts w:ascii="Cambria Math" w:eastAsia="Cambria Math" w:hAnsi="Cambria Math" w:cs="Cambria Math"/>
              </w:rPr>
              <m:t>h</m:t>
            </m:r>
          </m:den>
        </m:f>
        <m:r>
          <w:rPr>
            <w:rFonts w:ascii="Cambria Math" w:eastAsia="Cambria Math" w:hAnsi="Cambria Math" w:cs="Cambria Math"/>
          </w:rPr>
          <m:t>)</m:t>
        </m:r>
      </m:oMath>
      <w:r>
        <w:t xml:space="preserve">→  26.6 </w:t>
      </w:r>
      <m:oMath>
        <m:r>
          <w:rPr>
            <w:rFonts w:ascii="Cambria Math" w:eastAsia="Cambria Math" w:hAnsi="Cambria Math" w:cs="Cambria Math"/>
          </w:rPr>
          <m:t>(</m:t>
        </m:r>
        <m:r>
          <w:rPr>
            <w:rFonts w:ascii="Cambria Math" w:eastAsia="Cambria Math" w:hAnsi="Cambria Math" w:cs="Cambria Math"/>
          </w:rPr>
          <m:t>ml</m:t>
        </m:r>
        <m:r>
          <w:rPr>
            <w:rFonts w:ascii="Cambria Math" w:eastAsia="Cambria Math" w:hAnsi="Cambria Math" w:cs="Cambria Math"/>
          </w:rPr>
          <m:t>/</m:t>
        </m:r>
        <m:r>
          <w:rPr>
            <w:rFonts w:ascii="Cambria Math" w:eastAsia="Cambria Math" w:hAnsi="Cambria Math" w:cs="Cambria Math"/>
          </w:rPr>
          <m:t>min</m:t>
        </m:r>
        <m:r>
          <w:rPr>
            <w:rFonts w:ascii="Cambria Math" w:eastAsia="Cambria Math" w:hAnsi="Cambria Math" w:cs="Cambria Math"/>
          </w:rPr>
          <m:t>/</m:t>
        </m:r>
        <m:r>
          <w:rPr>
            <w:rFonts w:ascii="Cambria Math" w:eastAsia="Cambria Math" w:hAnsi="Cambria Math" w:cs="Cambria Math"/>
          </w:rPr>
          <m:t>kg</m:t>
        </m:r>
        <m:r>
          <w:rPr>
            <w:rFonts w:ascii="Cambria Math" w:eastAsia="Cambria Math" w:hAnsi="Cambria Math" w:cs="Cambria Math"/>
          </w:rPr>
          <m:t>)</m:t>
        </m:r>
      </m:oMath>
      <w:r>
        <w:t xml:space="preserve">  (Dempsey et al., 2002)</w:t>
      </w:r>
    </w:p>
    <w:p w:rsidR="001E3D37" w:rsidRDefault="005C48D4">
      <w:pPr>
        <w:numPr>
          <w:ilvl w:val="0"/>
          <w:numId w:val="1"/>
        </w:numPr>
        <w:spacing w:after="0" w:line="276" w:lineRule="auto"/>
      </w:pPr>
      <w:r>
        <w:t xml:space="preserve">Nicotine renal clearance 0.7 </w:t>
      </w:r>
      <m:oMath>
        <m:r>
          <w:rPr>
            <w:rFonts w:ascii="Cambria Math" w:eastAsia="Cambria Math" w:hAnsi="Cambria Math" w:cs="Cambria Math"/>
          </w:rPr>
          <m:t>(</m:t>
        </m:r>
        <m:r>
          <w:rPr>
            <w:rFonts w:ascii="Cambria Math" w:eastAsia="Cambria Math" w:hAnsi="Cambria Math" w:cs="Cambria Math"/>
          </w:rPr>
          <m:t>ml</m:t>
        </m:r>
        <m:r>
          <w:rPr>
            <w:rFonts w:ascii="Cambria Math" w:eastAsia="Cambria Math" w:hAnsi="Cambria Math" w:cs="Cambria Math"/>
          </w:rPr>
          <m:t>/</m:t>
        </m:r>
        <m:r>
          <w:rPr>
            <w:rFonts w:ascii="Cambria Math" w:eastAsia="Cambria Math" w:hAnsi="Cambria Math" w:cs="Cambria Math"/>
          </w:rPr>
          <m:t>min</m:t>
        </m:r>
        <m:r>
          <w:rPr>
            <w:rFonts w:ascii="Cambria Math" w:eastAsia="Cambria Math" w:hAnsi="Cambria Math" w:cs="Cambria Math"/>
          </w:rPr>
          <m:t>/</m:t>
        </m:r>
        <m:r>
          <w:rPr>
            <w:rFonts w:ascii="Cambria Math" w:eastAsia="Cambria Math" w:hAnsi="Cambria Math" w:cs="Cambria Math"/>
          </w:rPr>
          <m:t>kg</m:t>
        </m:r>
        <m:r>
          <w:rPr>
            <w:rFonts w:ascii="Cambria Math" w:eastAsia="Cambria Math" w:hAnsi="Cambria Math" w:cs="Cambria Math"/>
          </w:rPr>
          <m:t>)</m:t>
        </m:r>
      </m:oMath>
      <w:r>
        <w:t xml:space="preserve">→ 0.3  </w:t>
      </w:r>
      <m:oMath>
        <m:r>
          <w:rPr>
            <w:rFonts w:ascii="Cambria Math" w:eastAsia="Cambria Math" w:hAnsi="Cambria Math" w:cs="Cambria Math"/>
          </w:rPr>
          <m:t>(</m:t>
        </m:r>
        <m:r>
          <w:rPr>
            <w:rFonts w:ascii="Cambria Math" w:eastAsia="Cambria Math" w:hAnsi="Cambria Math" w:cs="Cambria Math"/>
          </w:rPr>
          <m:t>ml</m:t>
        </m:r>
        <m:r>
          <w:rPr>
            <w:rFonts w:ascii="Cambria Math" w:eastAsia="Cambria Math" w:hAnsi="Cambria Math" w:cs="Cambria Math"/>
          </w:rPr>
          <m:t>/</m:t>
        </m:r>
        <m:r>
          <w:rPr>
            <w:rFonts w:ascii="Cambria Math" w:eastAsia="Cambria Math" w:hAnsi="Cambria Math" w:cs="Cambria Math"/>
          </w:rPr>
          <m:t>min</m:t>
        </m:r>
        <m:r>
          <w:rPr>
            <w:rFonts w:ascii="Cambria Math" w:eastAsia="Cambria Math" w:hAnsi="Cambria Math" w:cs="Cambria Math"/>
          </w:rPr>
          <m:t>/</m:t>
        </m:r>
        <m:r>
          <w:rPr>
            <w:rFonts w:ascii="Cambria Math" w:eastAsia="Cambria Math" w:hAnsi="Cambria Math" w:cs="Cambria Math"/>
          </w:rPr>
          <m:t>kg</m:t>
        </m:r>
        <m:r>
          <w:rPr>
            <w:rFonts w:ascii="Cambria Math" w:eastAsia="Cambria Math" w:hAnsi="Cambria Math" w:cs="Cambria Math"/>
          </w:rPr>
          <m:t>)</m:t>
        </m:r>
      </m:oMath>
      <w:r>
        <w:t xml:space="preserve">  (Dempsey et al., 2002)</w:t>
      </w:r>
    </w:p>
    <w:p w:rsidR="001E3D37" w:rsidRDefault="005C48D4">
      <w:pPr>
        <w:numPr>
          <w:ilvl w:val="0"/>
          <w:numId w:val="1"/>
        </w:numPr>
        <w:spacing w:after="0" w:line="276" w:lineRule="auto"/>
      </w:pPr>
      <w:r>
        <w:t>Cotinine hepatic clearance 0.5</w:t>
      </w:r>
      <m:oMath>
        <m:r>
          <w:rPr>
            <w:rFonts w:ascii="Cambria Math" w:eastAsia="Cambria Math" w:hAnsi="Cambria Math" w:cs="Cambria Math"/>
          </w:rPr>
          <m:t>(</m:t>
        </m:r>
        <m:r>
          <w:rPr>
            <w:rFonts w:ascii="Cambria Math" w:eastAsia="Cambria Math" w:hAnsi="Cambria Math" w:cs="Cambria Math"/>
          </w:rPr>
          <m:t>ml</m:t>
        </m:r>
        <m:r>
          <w:rPr>
            <w:rFonts w:ascii="Cambria Math" w:eastAsia="Cambria Math" w:hAnsi="Cambria Math" w:cs="Cambria Math"/>
          </w:rPr>
          <m:t>/</m:t>
        </m:r>
        <m:r>
          <w:rPr>
            <w:rFonts w:ascii="Cambria Math" w:eastAsia="Cambria Math" w:hAnsi="Cambria Math" w:cs="Cambria Math"/>
          </w:rPr>
          <m:t>min</m:t>
        </m:r>
        <m:r>
          <w:rPr>
            <w:rFonts w:ascii="Cambria Math" w:eastAsia="Cambria Math" w:hAnsi="Cambria Math" w:cs="Cambria Math"/>
          </w:rPr>
          <m:t>/</m:t>
        </m:r>
        <m:r>
          <w:rPr>
            <w:rFonts w:ascii="Cambria Math" w:eastAsia="Cambria Math" w:hAnsi="Cambria Math" w:cs="Cambria Math"/>
          </w:rPr>
          <m:t>kg</m:t>
        </m:r>
        <m:r>
          <w:rPr>
            <w:rFonts w:ascii="Cambria Math" w:eastAsia="Cambria Math" w:hAnsi="Cambria Math" w:cs="Cambria Math"/>
          </w:rPr>
          <m:t>)</m:t>
        </m:r>
      </m:oMath>
      <w:r>
        <w:t xml:space="preserve">  → 1.2 </w:t>
      </w:r>
      <m:oMath>
        <m:r>
          <w:rPr>
            <w:rFonts w:ascii="Cambria Math" w:eastAsia="Cambria Math" w:hAnsi="Cambria Math" w:cs="Cambria Math"/>
          </w:rPr>
          <m:t>(</m:t>
        </m:r>
        <m:r>
          <w:rPr>
            <w:rFonts w:ascii="Cambria Math" w:eastAsia="Cambria Math" w:hAnsi="Cambria Math" w:cs="Cambria Math"/>
          </w:rPr>
          <m:t>ml</m:t>
        </m:r>
        <m:r>
          <w:rPr>
            <w:rFonts w:ascii="Cambria Math" w:eastAsia="Cambria Math" w:hAnsi="Cambria Math" w:cs="Cambria Math"/>
          </w:rPr>
          <m:t>/</m:t>
        </m:r>
        <m:r>
          <w:rPr>
            <w:rFonts w:ascii="Cambria Math" w:eastAsia="Cambria Math" w:hAnsi="Cambria Math" w:cs="Cambria Math"/>
          </w:rPr>
          <m:t>min</m:t>
        </m:r>
        <m:r>
          <w:rPr>
            <w:rFonts w:ascii="Cambria Math" w:eastAsia="Cambria Math" w:hAnsi="Cambria Math" w:cs="Cambria Math"/>
          </w:rPr>
          <m:t>/</m:t>
        </m:r>
        <m:r>
          <w:rPr>
            <w:rFonts w:ascii="Cambria Math" w:eastAsia="Cambria Math" w:hAnsi="Cambria Math" w:cs="Cambria Math"/>
          </w:rPr>
          <m:t>kg</m:t>
        </m:r>
        <m:r>
          <w:rPr>
            <w:rFonts w:ascii="Cambria Math" w:eastAsia="Cambria Math" w:hAnsi="Cambria Math" w:cs="Cambria Math"/>
          </w:rPr>
          <m:t>)</m:t>
        </m:r>
      </m:oMath>
      <w:r>
        <w:t xml:space="preserve">   (Dempsey et al., 2002)</w:t>
      </w:r>
    </w:p>
    <w:p w:rsidR="001E3D37" w:rsidRDefault="005C48D4">
      <w:pPr>
        <w:numPr>
          <w:ilvl w:val="0"/>
          <w:numId w:val="1"/>
        </w:numPr>
        <w:spacing w:after="0" w:line="276" w:lineRule="auto"/>
      </w:pPr>
      <w:r>
        <w:t>Cotinine renal clearance 0.2</w:t>
      </w:r>
      <m:oMath>
        <m:r>
          <w:rPr>
            <w:rFonts w:ascii="Cambria Math" w:eastAsia="Cambria Math" w:hAnsi="Cambria Math" w:cs="Cambria Math"/>
          </w:rPr>
          <m:t>(</m:t>
        </m:r>
        <m:r>
          <w:rPr>
            <w:rFonts w:ascii="Cambria Math" w:eastAsia="Cambria Math" w:hAnsi="Cambria Math" w:cs="Cambria Math"/>
          </w:rPr>
          <m:t>ml</m:t>
        </m:r>
        <m:r>
          <w:rPr>
            <w:rFonts w:ascii="Cambria Math" w:eastAsia="Cambria Math" w:hAnsi="Cambria Math" w:cs="Cambria Math"/>
          </w:rPr>
          <m:t>/</m:t>
        </m:r>
        <m:r>
          <w:rPr>
            <w:rFonts w:ascii="Cambria Math" w:eastAsia="Cambria Math" w:hAnsi="Cambria Math" w:cs="Cambria Math"/>
          </w:rPr>
          <m:t>min</m:t>
        </m:r>
        <m:r>
          <w:rPr>
            <w:rFonts w:ascii="Cambria Math" w:eastAsia="Cambria Math" w:hAnsi="Cambria Math" w:cs="Cambria Math"/>
          </w:rPr>
          <m:t>/</m:t>
        </m:r>
        <m:r>
          <w:rPr>
            <w:rFonts w:ascii="Cambria Math" w:eastAsia="Cambria Math" w:hAnsi="Cambria Math" w:cs="Cambria Math"/>
          </w:rPr>
          <m:t>kg</m:t>
        </m:r>
        <m:r>
          <w:rPr>
            <w:rFonts w:ascii="Cambria Math" w:eastAsia="Cambria Math" w:hAnsi="Cambria Math" w:cs="Cambria Math"/>
          </w:rPr>
          <m:t>)</m:t>
        </m:r>
      </m:oMath>
      <w:r>
        <w:t xml:space="preserve">→ 0.3 </w:t>
      </w:r>
      <m:oMath>
        <m:r>
          <w:rPr>
            <w:rFonts w:ascii="Cambria Math" w:eastAsia="Cambria Math" w:hAnsi="Cambria Math" w:cs="Cambria Math"/>
          </w:rPr>
          <m:t>(</m:t>
        </m:r>
        <m:r>
          <w:rPr>
            <w:rFonts w:ascii="Cambria Math" w:eastAsia="Cambria Math" w:hAnsi="Cambria Math" w:cs="Cambria Math"/>
          </w:rPr>
          <m:t>ml</m:t>
        </m:r>
        <m:r>
          <w:rPr>
            <w:rFonts w:ascii="Cambria Math" w:eastAsia="Cambria Math" w:hAnsi="Cambria Math" w:cs="Cambria Math"/>
          </w:rPr>
          <m:t>/</m:t>
        </m:r>
        <m:r>
          <w:rPr>
            <w:rFonts w:ascii="Cambria Math" w:eastAsia="Cambria Math" w:hAnsi="Cambria Math" w:cs="Cambria Math"/>
          </w:rPr>
          <m:t>min</m:t>
        </m:r>
        <m:r>
          <w:rPr>
            <w:rFonts w:ascii="Cambria Math" w:eastAsia="Cambria Math" w:hAnsi="Cambria Math" w:cs="Cambria Math"/>
          </w:rPr>
          <m:t>/</m:t>
        </m:r>
        <m:r>
          <w:rPr>
            <w:rFonts w:ascii="Cambria Math" w:eastAsia="Cambria Math" w:hAnsi="Cambria Math" w:cs="Cambria Math"/>
          </w:rPr>
          <m:t>kg</m:t>
        </m:r>
        <m:r>
          <w:rPr>
            <w:rFonts w:ascii="Cambria Math" w:eastAsia="Cambria Math" w:hAnsi="Cambria Math" w:cs="Cambria Math"/>
          </w:rPr>
          <m:t>)</m:t>
        </m:r>
      </m:oMath>
      <w:r>
        <w:t xml:space="preserve">  (Dempsey et al., 2002)</w:t>
      </w:r>
    </w:p>
    <w:p w:rsidR="001E3D37" w:rsidRDefault="001E3D37"/>
    <w:p w:rsidR="001E3D37" w:rsidRDefault="001E3D37"/>
    <w:p w:rsidR="001E3D37" w:rsidRDefault="005C48D4">
      <w:pPr>
        <w:rPr>
          <w:b/>
        </w:rPr>
      </w:pPr>
      <w:r>
        <w:rPr>
          <w:b/>
        </w:rPr>
        <w:t>S2. Parameters of the p-PBPK model</w:t>
      </w:r>
    </w:p>
    <w:p w:rsidR="001E3D37" w:rsidRDefault="001E3D37"/>
    <w:p w:rsidR="001E3D37" w:rsidRDefault="005C48D4">
      <w:r>
        <w:t xml:space="preserve">The nicotine/cotinine model in (Robinson et al., 1992) is for adults. However, the model </w:t>
      </w:r>
      <w:proofErr w:type="gramStart"/>
      <w:r>
        <w:t>of</w:t>
      </w:r>
      <w:r>
        <w:t xml:space="preserve">  (</w:t>
      </w:r>
      <w:proofErr w:type="gramEnd"/>
      <w:r>
        <w:t>Robinson et al., 1992) overestimated the clearance of nicotine and cotinine. This discrepancy however is offset by the fact that pregnant women do have higher clearance rates for nicotine/cotinine than non-pregnant women.</w:t>
      </w:r>
    </w:p>
    <w:p w:rsidR="001E3D37" w:rsidRDefault="001E3D37"/>
    <w:p w:rsidR="001E3D37" w:rsidRDefault="005C48D4">
      <w:pPr>
        <w:spacing w:line="240" w:lineRule="auto"/>
        <w:rPr>
          <w:rFonts w:ascii="Times New Roman" w:eastAsia="Times New Roman" w:hAnsi="Times New Roman" w:cs="Times New Roman"/>
          <w:i/>
          <w:sz w:val="24"/>
          <w:szCs w:val="24"/>
        </w:rPr>
      </w:pPr>
      <w:r>
        <w:rPr>
          <w:i/>
          <w:color w:val="000000"/>
        </w:rPr>
        <w:t>Table S.1: Compartment specific physiological parameters for adults</w:t>
      </w:r>
    </w:p>
    <w:p w:rsidR="001E3D37" w:rsidRDefault="001E3D37">
      <w:pPr>
        <w:spacing w:line="240" w:lineRule="auto"/>
        <w:rPr>
          <w:rFonts w:ascii="Times New Roman" w:eastAsia="Times New Roman" w:hAnsi="Times New Roman" w:cs="Times New Roman"/>
          <w:sz w:val="24"/>
          <w:szCs w:val="24"/>
        </w:rPr>
      </w:pPr>
    </w:p>
    <w:tbl>
      <w:tblPr>
        <w:tblStyle w:val="a"/>
        <w:tblW w:w="9006" w:type="dxa"/>
        <w:tblLayout w:type="fixed"/>
        <w:tblLook w:val="0400" w:firstRow="0" w:lastRow="0" w:firstColumn="0" w:lastColumn="0" w:noHBand="0" w:noVBand="1"/>
      </w:tblPr>
      <w:tblGrid>
        <w:gridCol w:w="1953"/>
        <w:gridCol w:w="1757"/>
        <w:gridCol w:w="1729"/>
        <w:gridCol w:w="2019"/>
        <w:gridCol w:w="1548"/>
      </w:tblGrid>
      <w:tr w:rsidR="001E3D37">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Organ/tissue</w:t>
            </w:r>
          </w:p>
        </w:tc>
        <w:tc>
          <w:tcPr>
            <w:tcW w:w="1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 xml:space="preserve">Volume fraction to body weight </w:t>
            </w:r>
          </w:p>
          <w:p w:rsidR="001E3D37" w:rsidRDefault="005C48D4">
            <w:pPr>
              <w:spacing w:line="240" w:lineRule="auto"/>
              <w:rPr>
                <w:rFonts w:ascii="Times New Roman" w:eastAsia="Times New Roman" w:hAnsi="Times New Roman" w:cs="Times New Roman"/>
                <w:sz w:val="24"/>
                <w:szCs w:val="24"/>
              </w:rPr>
            </w:pPr>
            <w:proofErr w:type="spellStart"/>
            <w:r>
              <w:rPr>
                <w:color w:val="000000"/>
              </w:rPr>
              <w:t>Ftissue</w:t>
            </w:r>
            <w:proofErr w:type="spellEnd"/>
          </w:p>
        </w:tc>
        <w:tc>
          <w:tcPr>
            <w:tcW w:w="1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Data source</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Blood flows fraction to cardiac output</w:t>
            </w:r>
          </w:p>
          <w:p w:rsidR="001E3D37" w:rsidRDefault="005C48D4">
            <w:pPr>
              <w:spacing w:line="240" w:lineRule="auto"/>
              <w:rPr>
                <w:rFonts w:ascii="Times New Roman" w:eastAsia="Times New Roman" w:hAnsi="Times New Roman" w:cs="Times New Roman"/>
                <w:sz w:val="24"/>
                <w:szCs w:val="24"/>
              </w:rPr>
            </w:pPr>
            <w:proofErr w:type="spellStart"/>
            <w:r>
              <w:rPr>
                <w:color w:val="000000"/>
              </w:rPr>
              <w:t>FQtissue</w:t>
            </w:r>
            <w:proofErr w:type="spellEnd"/>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Data source</w:t>
            </w:r>
          </w:p>
        </w:tc>
      </w:tr>
      <w:tr w:rsidR="001E3D37">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Arterial</w:t>
            </w:r>
          </w:p>
        </w:tc>
        <w:tc>
          <w:tcPr>
            <w:tcW w:w="1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0.02</w:t>
            </w:r>
          </w:p>
        </w:tc>
        <w:tc>
          <w:tcPr>
            <w:tcW w:w="1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(Robinson et al., 1992)</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(Robinson et al., 1992)</w:t>
            </w:r>
          </w:p>
        </w:tc>
      </w:tr>
      <w:tr w:rsidR="001E3D37">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Fat</w:t>
            </w:r>
          </w:p>
        </w:tc>
        <w:tc>
          <w:tcPr>
            <w:tcW w:w="1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0.187</w:t>
            </w:r>
          </w:p>
        </w:tc>
        <w:tc>
          <w:tcPr>
            <w:tcW w:w="1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(Brown et al., 1997)</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0.052</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(Brown et al., 1997)</w:t>
            </w:r>
          </w:p>
        </w:tc>
      </w:tr>
      <w:tr w:rsidR="001E3D37">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Slow</w:t>
            </w:r>
          </w:p>
        </w:tc>
        <w:tc>
          <w:tcPr>
            <w:tcW w:w="1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0.536</w:t>
            </w:r>
          </w:p>
        </w:tc>
        <w:tc>
          <w:tcPr>
            <w:tcW w:w="1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w:t>
            </w:r>
            <w:proofErr w:type="spellStart"/>
            <w:r>
              <w:t>Clewell</w:t>
            </w:r>
            <w:proofErr w:type="spellEnd"/>
            <w:r>
              <w:t xml:space="preserve"> et al., 2001)</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0.188</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w:t>
            </w:r>
            <w:proofErr w:type="spellStart"/>
            <w:r>
              <w:t>Clewell</w:t>
            </w:r>
            <w:proofErr w:type="spellEnd"/>
            <w:r>
              <w:t xml:space="preserve"> et al., 2001)</w:t>
            </w:r>
          </w:p>
        </w:tc>
      </w:tr>
      <w:tr w:rsidR="001E3D37">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Rapid</w:t>
            </w:r>
          </w:p>
        </w:tc>
        <w:tc>
          <w:tcPr>
            <w:tcW w:w="1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0.032</w:t>
            </w:r>
          </w:p>
        </w:tc>
        <w:tc>
          <w:tcPr>
            <w:tcW w:w="1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w:t>
            </w:r>
            <w:proofErr w:type="spellStart"/>
            <w:r>
              <w:t>Clewell</w:t>
            </w:r>
            <w:proofErr w:type="spellEnd"/>
            <w:r>
              <w:t xml:space="preserve"> et al., 2001)</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0.216</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w:t>
            </w:r>
            <w:proofErr w:type="spellStart"/>
            <w:r>
              <w:t>Clewell</w:t>
            </w:r>
            <w:proofErr w:type="spellEnd"/>
            <w:r>
              <w:t xml:space="preserve"> et al., 2001)</w:t>
            </w:r>
          </w:p>
        </w:tc>
      </w:tr>
      <w:tr w:rsidR="001E3D37">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Brain</w:t>
            </w:r>
          </w:p>
        </w:tc>
        <w:tc>
          <w:tcPr>
            <w:tcW w:w="1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0.021</w:t>
            </w:r>
          </w:p>
        </w:tc>
        <w:tc>
          <w:tcPr>
            <w:tcW w:w="1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(Brown et al., 1997)</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0.117</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(Brown et al., 1997)</w:t>
            </w:r>
          </w:p>
        </w:tc>
      </w:tr>
      <w:tr w:rsidR="001E3D37">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Kidney</w:t>
            </w:r>
          </w:p>
        </w:tc>
        <w:tc>
          <w:tcPr>
            <w:tcW w:w="1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0.004</w:t>
            </w:r>
          </w:p>
        </w:tc>
        <w:tc>
          <w:tcPr>
            <w:tcW w:w="1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(Brown et al., 1997)</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0.177</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(Brown et al., 1997)</w:t>
            </w:r>
          </w:p>
        </w:tc>
      </w:tr>
      <w:tr w:rsidR="001E3D37">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Liver</w:t>
            </w:r>
          </w:p>
        </w:tc>
        <w:tc>
          <w:tcPr>
            <w:tcW w:w="1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0.026</w:t>
            </w:r>
          </w:p>
        </w:tc>
        <w:tc>
          <w:tcPr>
            <w:tcW w:w="1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(Brown et al., 1997)</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0.25</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(Brown et al., 1997)</w:t>
            </w:r>
          </w:p>
        </w:tc>
      </w:tr>
      <w:tr w:rsidR="001E3D37">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Lung</w:t>
            </w:r>
          </w:p>
        </w:tc>
        <w:tc>
          <w:tcPr>
            <w:tcW w:w="1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0.008</w:t>
            </w:r>
          </w:p>
        </w:tc>
        <w:tc>
          <w:tcPr>
            <w:tcW w:w="1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(Brown et al., 1997)</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(Brown et al., 1997)</w:t>
            </w:r>
          </w:p>
        </w:tc>
      </w:tr>
      <w:tr w:rsidR="001E3D37">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Venous</w:t>
            </w:r>
          </w:p>
        </w:tc>
        <w:tc>
          <w:tcPr>
            <w:tcW w:w="1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0.0571</w:t>
            </w:r>
          </w:p>
        </w:tc>
        <w:tc>
          <w:tcPr>
            <w:tcW w:w="1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(Robinson et al., 1992)</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(Robinson et al., 1992)</w:t>
            </w:r>
          </w:p>
        </w:tc>
      </w:tr>
      <w:tr w:rsidR="001E3D37">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proofErr w:type="spellStart"/>
            <w:r>
              <w:rPr>
                <w:color w:val="000000"/>
              </w:rPr>
              <w:t>Vit</w:t>
            </w:r>
            <w:proofErr w:type="spellEnd"/>
            <w:r>
              <w:rPr>
                <w:color w:val="000000"/>
              </w:rPr>
              <w:t xml:space="preserve"> (infusion compartment)</w:t>
            </w:r>
          </w:p>
        </w:tc>
        <w:tc>
          <w:tcPr>
            <w:tcW w:w="1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0.0214</w:t>
            </w:r>
          </w:p>
        </w:tc>
        <w:tc>
          <w:tcPr>
            <w:tcW w:w="1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(Robinson et al., 1992)</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1E3D37">
            <w:pPr>
              <w:spacing w:line="240" w:lineRule="auto"/>
              <w:rPr>
                <w:rFonts w:ascii="Times New Roman" w:eastAsia="Times New Roman" w:hAnsi="Times New Roman" w:cs="Times New Roman"/>
                <w:sz w:val="24"/>
                <w:szCs w:val="24"/>
              </w:rPr>
            </w:pP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1E3D37">
            <w:pPr>
              <w:spacing w:line="240" w:lineRule="auto"/>
              <w:rPr>
                <w:rFonts w:ascii="Times New Roman" w:eastAsia="Times New Roman" w:hAnsi="Times New Roman" w:cs="Times New Roman"/>
                <w:sz w:val="24"/>
                <w:szCs w:val="24"/>
              </w:rPr>
            </w:pPr>
          </w:p>
        </w:tc>
      </w:tr>
      <w:tr w:rsidR="001E3D37">
        <w:trPr>
          <w:trHeight w:val="420"/>
        </w:trPr>
        <w:tc>
          <w:tcPr>
            <w:tcW w:w="900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jc w:val="center"/>
              <w:rPr>
                <w:rFonts w:ascii="Times New Roman" w:eastAsia="Times New Roman" w:hAnsi="Times New Roman" w:cs="Times New Roman"/>
                <w:sz w:val="24"/>
                <w:szCs w:val="24"/>
              </w:rPr>
            </w:pPr>
            <w:r>
              <w:rPr>
                <w:color w:val="000000"/>
              </w:rPr>
              <w:t>Cardiac output</w:t>
            </w:r>
          </w:p>
        </w:tc>
      </w:tr>
      <w:tr w:rsidR="001E3D37">
        <w:trPr>
          <w:trHeight w:val="420"/>
        </w:trPr>
        <w:tc>
          <w:tcPr>
            <w:tcW w:w="3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 xml:space="preserve">Cardiac output fraction to body weight </w:t>
            </w:r>
          </w:p>
        </w:tc>
        <w:tc>
          <w:tcPr>
            <w:tcW w:w="1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FCO ( L/h/kg0.75 )</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15.126</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(Robinson et al., 1992)</w:t>
            </w:r>
          </w:p>
        </w:tc>
      </w:tr>
    </w:tbl>
    <w:p w:rsidR="001E3D37" w:rsidRDefault="001E3D37"/>
    <w:p w:rsidR="001E3D37" w:rsidRDefault="001E3D37"/>
    <w:p w:rsidR="001E3D37" w:rsidRDefault="005C48D4">
      <w:pPr>
        <w:spacing w:line="240" w:lineRule="auto"/>
        <w:rPr>
          <w:color w:val="000000"/>
        </w:rPr>
      </w:pPr>
      <w:r>
        <w:rPr>
          <w:color w:val="000000"/>
        </w:rPr>
        <w:t>The parameters used in the calculation of the volumes and blood flow rates during the pregnancy are detailed below:</w:t>
      </w:r>
    </w:p>
    <w:p w:rsidR="001E3D37" w:rsidRDefault="005C48D4">
      <w:r>
        <w:br w:type="page"/>
      </w:r>
    </w:p>
    <w:p w:rsidR="001E3D37" w:rsidRDefault="001E3D37"/>
    <w:p w:rsidR="001E3D37" w:rsidRDefault="005C48D4">
      <w:pPr>
        <w:spacing w:line="240" w:lineRule="auto"/>
        <w:rPr>
          <w:rFonts w:ascii="Times New Roman" w:eastAsia="Times New Roman" w:hAnsi="Times New Roman" w:cs="Times New Roman"/>
          <w:i/>
          <w:sz w:val="24"/>
          <w:szCs w:val="24"/>
        </w:rPr>
      </w:pPr>
      <w:r>
        <w:rPr>
          <w:i/>
          <w:color w:val="000000"/>
        </w:rPr>
        <w:t>Table S.2: Parameters for pregnancy compartments.</w:t>
      </w:r>
    </w:p>
    <w:p w:rsidR="001E3D37" w:rsidRDefault="001E3D37">
      <w:pPr>
        <w:spacing w:line="240" w:lineRule="auto"/>
        <w:rPr>
          <w:rFonts w:ascii="Times New Roman" w:eastAsia="Times New Roman" w:hAnsi="Times New Roman" w:cs="Times New Roman"/>
          <w:sz w:val="24"/>
          <w:szCs w:val="24"/>
        </w:rPr>
      </w:pPr>
    </w:p>
    <w:tbl>
      <w:tblPr>
        <w:tblStyle w:val="a0"/>
        <w:tblW w:w="9006" w:type="dxa"/>
        <w:tblLayout w:type="fixed"/>
        <w:tblLook w:val="0400" w:firstRow="0" w:lastRow="0" w:firstColumn="0" w:lastColumn="0" w:noHBand="0" w:noVBand="1"/>
      </w:tblPr>
      <w:tblGrid>
        <w:gridCol w:w="1827"/>
        <w:gridCol w:w="1220"/>
        <w:gridCol w:w="1338"/>
        <w:gridCol w:w="1736"/>
        <w:gridCol w:w="1759"/>
        <w:gridCol w:w="1126"/>
      </w:tblGrid>
      <w:tr w:rsidR="001E3D37">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Organ/tissue</w:t>
            </w:r>
          </w:p>
        </w:tc>
        <w:tc>
          <w:tcPr>
            <w:tcW w:w="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Volume fraction to body weight</w:t>
            </w:r>
          </w:p>
          <w:p w:rsidR="001E3D37" w:rsidRDefault="005C48D4">
            <w:pPr>
              <w:spacing w:line="240" w:lineRule="auto"/>
              <w:rPr>
                <w:rFonts w:ascii="Times New Roman" w:eastAsia="Times New Roman" w:hAnsi="Times New Roman" w:cs="Times New Roman"/>
                <w:sz w:val="24"/>
                <w:szCs w:val="24"/>
              </w:rPr>
            </w:pPr>
            <w:proofErr w:type="spellStart"/>
            <w:r>
              <w:rPr>
                <w:color w:val="000000"/>
              </w:rPr>
              <w:t>Ftissue</w:t>
            </w:r>
            <w:proofErr w:type="spellEnd"/>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Blood flows fraction to cardiac ou</w:t>
            </w:r>
            <w:r>
              <w:rPr>
                <w:color w:val="000000"/>
              </w:rPr>
              <w:t>tput</w:t>
            </w:r>
          </w:p>
          <w:p w:rsidR="001E3D37" w:rsidRDefault="005C48D4">
            <w:pPr>
              <w:spacing w:line="240" w:lineRule="auto"/>
              <w:rPr>
                <w:rFonts w:ascii="Times New Roman" w:eastAsia="Times New Roman" w:hAnsi="Times New Roman" w:cs="Times New Roman"/>
                <w:sz w:val="24"/>
                <w:szCs w:val="24"/>
              </w:rPr>
            </w:pPr>
            <w:proofErr w:type="spellStart"/>
            <w:r>
              <w:rPr>
                <w:color w:val="000000"/>
              </w:rPr>
              <w:t>FQtissue</w:t>
            </w:r>
            <w:proofErr w:type="spellEnd"/>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Nicotine partition coefficient</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Cotinine partition coefficient</w:t>
            </w:r>
          </w:p>
        </w:tc>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Source</w:t>
            </w:r>
          </w:p>
        </w:tc>
      </w:tr>
      <w:tr w:rsidR="001E3D37">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Mammary</w:t>
            </w:r>
          </w:p>
        </w:tc>
        <w:tc>
          <w:tcPr>
            <w:tcW w:w="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0.0062</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0.027</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2.5</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1.5</w:t>
            </w:r>
          </w:p>
        </w:tc>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(Gentry et al., 2003)</w:t>
            </w:r>
          </w:p>
        </w:tc>
      </w:tr>
      <w:tr w:rsidR="001E3D37">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Uterus</w:t>
            </w:r>
          </w:p>
        </w:tc>
        <w:tc>
          <w:tcPr>
            <w:tcW w:w="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0.0014</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0.0062</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3</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1.5</w:t>
            </w:r>
          </w:p>
        </w:tc>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(Gentry et al., 2003)</w:t>
            </w:r>
          </w:p>
        </w:tc>
      </w:tr>
      <w:tr w:rsidR="001E3D37">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Rapid</w:t>
            </w:r>
          </w:p>
        </w:tc>
        <w:tc>
          <w:tcPr>
            <w:tcW w:w="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0.0244</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0.1828</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3</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1.5</w:t>
            </w:r>
          </w:p>
        </w:tc>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w:t>
            </w:r>
            <w:proofErr w:type="spellStart"/>
            <w:r>
              <w:t>Clewell</w:t>
            </w:r>
            <w:proofErr w:type="spellEnd"/>
            <w:r>
              <w:t xml:space="preserve"> et al., 2001)</w:t>
            </w:r>
          </w:p>
        </w:tc>
      </w:tr>
      <w:tr w:rsidR="001E3D37">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proofErr w:type="spellStart"/>
            <w:r>
              <w:rPr>
                <w:color w:val="000000"/>
              </w:rPr>
              <w:t>Fetus</w:t>
            </w:r>
            <w:proofErr w:type="spellEnd"/>
            <w:r>
              <w:rPr>
                <w:color w:val="000000"/>
              </w:rPr>
              <w:t xml:space="preserve"> liver</w:t>
            </w:r>
          </w:p>
        </w:tc>
        <w:tc>
          <w:tcPr>
            <w:tcW w:w="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 xml:space="preserve">0.04 </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0.25 same as mother</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9 same as mother</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2 same as mother</w:t>
            </w:r>
          </w:p>
        </w:tc>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ICRP 2002</w:t>
            </w:r>
          </w:p>
        </w:tc>
      </w:tr>
      <w:tr w:rsidR="001E3D37">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proofErr w:type="spellStart"/>
            <w:r>
              <w:rPr>
                <w:color w:val="000000"/>
              </w:rPr>
              <w:t>Fetus</w:t>
            </w:r>
            <w:proofErr w:type="spellEnd"/>
            <w:r>
              <w:rPr>
                <w:color w:val="000000"/>
              </w:rPr>
              <w:t xml:space="preserve"> brain</w:t>
            </w:r>
          </w:p>
        </w:tc>
        <w:tc>
          <w:tcPr>
            <w:tcW w:w="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 xml:space="preserve">0.011 </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0.117 same as mother</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3 same as mother</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 same as mother</w:t>
            </w:r>
          </w:p>
        </w:tc>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ICRP 2002</w:t>
            </w:r>
          </w:p>
        </w:tc>
      </w:tr>
      <w:tr w:rsidR="001E3D37">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proofErr w:type="spellStart"/>
            <w:r>
              <w:rPr>
                <w:color w:val="000000"/>
              </w:rPr>
              <w:t>Fetus</w:t>
            </w:r>
            <w:proofErr w:type="spellEnd"/>
            <w:r>
              <w:rPr>
                <w:color w:val="000000"/>
              </w:rPr>
              <w:t xml:space="preserve"> blood</w:t>
            </w:r>
          </w:p>
        </w:tc>
        <w:tc>
          <w:tcPr>
            <w:tcW w:w="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0.085</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w:t>
            </w:r>
          </w:p>
        </w:tc>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w:t>
            </w:r>
            <w:proofErr w:type="spellStart"/>
            <w:r>
              <w:t>Clewell</w:t>
            </w:r>
            <w:proofErr w:type="spellEnd"/>
            <w:r>
              <w:t xml:space="preserve"> et al., 2001)</w:t>
            </w:r>
          </w:p>
        </w:tc>
      </w:tr>
      <w:tr w:rsidR="001E3D37">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proofErr w:type="spellStart"/>
            <w:r>
              <w:rPr>
                <w:color w:val="000000"/>
              </w:rPr>
              <w:t>Fetus</w:t>
            </w:r>
            <w:proofErr w:type="spellEnd"/>
            <w:r>
              <w:rPr>
                <w:color w:val="000000"/>
              </w:rPr>
              <w:t xml:space="preserve"> rest body</w:t>
            </w:r>
          </w:p>
        </w:tc>
        <w:tc>
          <w:tcPr>
            <w:tcW w:w="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0.9530</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0.6330</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 xml:space="preserve">3 rapidly perfused assumption because of </w:t>
            </w:r>
            <w:proofErr w:type="spellStart"/>
            <w:r>
              <w:rPr>
                <w:color w:val="000000"/>
              </w:rPr>
              <w:t>fetal</w:t>
            </w:r>
            <w:proofErr w:type="spellEnd"/>
            <w:r>
              <w:rPr>
                <w:color w:val="000000"/>
              </w:rPr>
              <w:t xml:space="preserve"> dev</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 xml:space="preserve">1.5 rapidly perfused assumption because of </w:t>
            </w:r>
            <w:proofErr w:type="spellStart"/>
            <w:r>
              <w:rPr>
                <w:color w:val="000000"/>
              </w:rPr>
              <w:t>fetal</w:t>
            </w:r>
            <w:proofErr w:type="spellEnd"/>
            <w:r>
              <w:rPr>
                <w:color w:val="000000"/>
              </w:rPr>
              <w:t xml:space="preserve"> dev</w:t>
            </w:r>
          </w:p>
          <w:p w:rsidR="001E3D37" w:rsidRDefault="001E3D37">
            <w:pPr>
              <w:spacing w:line="240" w:lineRule="auto"/>
              <w:rPr>
                <w:rFonts w:ascii="Times New Roman" w:eastAsia="Times New Roman" w:hAnsi="Times New Roman" w:cs="Times New Roman"/>
                <w:sz w:val="24"/>
                <w:szCs w:val="24"/>
              </w:rPr>
            </w:pPr>
          </w:p>
        </w:tc>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1E3D37">
            <w:pPr>
              <w:spacing w:line="240" w:lineRule="auto"/>
              <w:rPr>
                <w:rFonts w:ascii="Times New Roman" w:eastAsia="Times New Roman" w:hAnsi="Times New Roman" w:cs="Times New Roman"/>
                <w:sz w:val="24"/>
                <w:szCs w:val="24"/>
              </w:rPr>
            </w:pPr>
          </w:p>
        </w:tc>
      </w:tr>
      <w:tr w:rsidR="001E3D37">
        <w:trPr>
          <w:trHeight w:val="420"/>
        </w:trPr>
        <w:tc>
          <w:tcPr>
            <w:tcW w:w="900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jc w:val="center"/>
              <w:rPr>
                <w:rFonts w:ascii="Times New Roman" w:eastAsia="Times New Roman" w:hAnsi="Times New Roman" w:cs="Times New Roman"/>
                <w:sz w:val="24"/>
                <w:szCs w:val="24"/>
              </w:rPr>
            </w:pPr>
            <w:r>
              <w:rPr>
                <w:color w:val="000000"/>
              </w:rPr>
              <w:t>Placental kinetics</w:t>
            </w:r>
          </w:p>
        </w:tc>
      </w:tr>
      <w:tr w:rsidR="001E3D37">
        <w:trPr>
          <w:trHeight w:val="420"/>
        </w:trPr>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metabolism</w:t>
            </w:r>
          </w:p>
        </w:tc>
        <w:tc>
          <w:tcPr>
            <w:tcW w:w="255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nicotine</w:t>
            </w:r>
          </w:p>
        </w:tc>
        <w:tc>
          <w:tcPr>
            <w:tcW w:w="34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cotinine</w:t>
            </w:r>
          </w:p>
        </w:tc>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source</w:t>
            </w:r>
          </w:p>
        </w:tc>
      </w:tr>
      <w:tr w:rsidR="001E3D37">
        <w:trPr>
          <w:trHeight w:val="420"/>
        </w:trPr>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proofErr w:type="spellStart"/>
            <w:r>
              <w:rPr>
                <w:color w:val="000000"/>
              </w:rPr>
              <w:t>Vmax</w:t>
            </w:r>
            <w:proofErr w:type="spellEnd"/>
            <w:r>
              <w:rPr>
                <w:color w:val="000000"/>
              </w:rPr>
              <w:t xml:space="preserve"> (</w:t>
            </w:r>
            <w:proofErr w:type="spellStart"/>
            <w:r>
              <w:rPr>
                <w:color w:val="000000"/>
              </w:rPr>
              <w:t>nmol</w:t>
            </w:r>
            <w:proofErr w:type="spellEnd"/>
            <w:r>
              <w:rPr>
                <w:color w:val="000000"/>
              </w:rPr>
              <w:t>/min/</w:t>
            </w:r>
            <w:proofErr w:type="spellStart"/>
            <w:r>
              <w:rPr>
                <w:color w:val="000000"/>
              </w:rPr>
              <w:t>kgof</w:t>
            </w:r>
            <w:proofErr w:type="spellEnd"/>
            <w:r>
              <w:rPr>
                <w:color w:val="000000"/>
              </w:rPr>
              <w:t xml:space="preserve"> placenta)</w:t>
            </w:r>
          </w:p>
        </w:tc>
        <w:tc>
          <w:tcPr>
            <w:tcW w:w="255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w:t>
            </w:r>
          </w:p>
        </w:tc>
        <w:tc>
          <w:tcPr>
            <w:tcW w:w="34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w:t>
            </w:r>
          </w:p>
        </w:tc>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6F3CDA">
            <w:pPr>
              <w:spacing w:line="240" w:lineRule="auto"/>
              <w:rPr>
                <w:rFonts w:ascii="Times New Roman" w:eastAsia="Times New Roman" w:hAnsi="Times New Roman" w:cs="Times New Roman"/>
                <w:sz w:val="24"/>
                <w:szCs w:val="24"/>
              </w:rPr>
            </w:pPr>
            <w:r>
              <w:rPr>
                <w:color w:val="000000"/>
              </w:rPr>
              <w:t>O</w:t>
            </w:r>
            <w:r w:rsidR="005C48D4">
              <w:rPr>
                <w:color w:val="000000"/>
              </w:rPr>
              <w:t>ptimize</w:t>
            </w:r>
            <w:r>
              <w:rPr>
                <w:color w:val="000000"/>
              </w:rPr>
              <w:t>*</w:t>
            </w:r>
          </w:p>
        </w:tc>
      </w:tr>
      <w:tr w:rsidR="001E3D37">
        <w:trPr>
          <w:trHeight w:val="600"/>
        </w:trPr>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lastRenderedPageBreak/>
              <w:t>Km (</w:t>
            </w:r>
            <w:proofErr w:type="spellStart"/>
            <w:r>
              <w:rPr>
                <w:color w:val="000000"/>
              </w:rPr>
              <w:t>nmol</w:t>
            </w:r>
            <w:proofErr w:type="spellEnd"/>
            <w:r>
              <w:rPr>
                <w:color w:val="000000"/>
              </w:rPr>
              <w:t>/L)</w:t>
            </w:r>
          </w:p>
        </w:tc>
        <w:tc>
          <w:tcPr>
            <w:tcW w:w="255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1000</w:t>
            </w:r>
          </w:p>
        </w:tc>
        <w:tc>
          <w:tcPr>
            <w:tcW w:w="34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1000</w:t>
            </w:r>
          </w:p>
        </w:tc>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6F3CDA">
            <w:pPr>
              <w:spacing w:line="240" w:lineRule="auto"/>
              <w:rPr>
                <w:rFonts w:ascii="Times New Roman" w:eastAsia="Times New Roman" w:hAnsi="Times New Roman" w:cs="Times New Roman"/>
                <w:sz w:val="24"/>
                <w:szCs w:val="24"/>
              </w:rPr>
            </w:pPr>
            <w:r>
              <w:rPr>
                <w:color w:val="000000"/>
              </w:rPr>
              <w:t>O</w:t>
            </w:r>
            <w:r w:rsidR="005C48D4">
              <w:rPr>
                <w:color w:val="000000"/>
              </w:rPr>
              <w:t>ptimize</w:t>
            </w:r>
            <w:r>
              <w:rPr>
                <w:color w:val="000000"/>
              </w:rPr>
              <w:t>*</w:t>
            </w:r>
          </w:p>
        </w:tc>
      </w:tr>
      <w:tr w:rsidR="001E3D37">
        <w:trPr>
          <w:trHeight w:val="420"/>
        </w:trPr>
        <w:tc>
          <w:tcPr>
            <w:tcW w:w="788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jc w:val="center"/>
              <w:rPr>
                <w:rFonts w:ascii="Times New Roman" w:eastAsia="Times New Roman" w:hAnsi="Times New Roman" w:cs="Times New Roman"/>
                <w:sz w:val="24"/>
                <w:szCs w:val="24"/>
              </w:rPr>
            </w:pPr>
            <w:r>
              <w:rPr>
                <w:color w:val="000000"/>
              </w:rPr>
              <w:t>Transfer rates</w:t>
            </w:r>
          </w:p>
        </w:tc>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1E3D37">
            <w:pPr>
              <w:spacing w:line="240" w:lineRule="auto"/>
              <w:rPr>
                <w:rFonts w:ascii="Times New Roman" w:eastAsia="Times New Roman" w:hAnsi="Times New Roman" w:cs="Times New Roman"/>
                <w:sz w:val="24"/>
                <w:szCs w:val="24"/>
              </w:rPr>
            </w:pPr>
          </w:p>
        </w:tc>
      </w:tr>
      <w:tr w:rsidR="001E3D37">
        <w:trPr>
          <w:trHeight w:val="420"/>
        </w:trPr>
        <w:tc>
          <w:tcPr>
            <w:tcW w:w="30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 xml:space="preserve">Mother → </w:t>
            </w:r>
            <w:proofErr w:type="spellStart"/>
            <w:r>
              <w:rPr>
                <w:color w:val="000000"/>
              </w:rPr>
              <w:t>Fetus</w:t>
            </w:r>
            <w:proofErr w:type="spellEnd"/>
          </w:p>
        </w:tc>
        <w:tc>
          <w:tcPr>
            <w:tcW w:w="30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proofErr w:type="spellStart"/>
            <w:r>
              <w:rPr>
                <w:color w:val="000000"/>
              </w:rPr>
              <w:t>Fetus</w:t>
            </w:r>
            <w:proofErr w:type="spellEnd"/>
            <w:r>
              <w:rPr>
                <w:color w:val="000000"/>
              </w:rPr>
              <w:t xml:space="preserve"> → Mother</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1E3D37">
            <w:pPr>
              <w:spacing w:line="240" w:lineRule="auto"/>
              <w:rPr>
                <w:rFonts w:ascii="Times New Roman" w:eastAsia="Times New Roman" w:hAnsi="Times New Roman" w:cs="Times New Roman"/>
                <w:sz w:val="24"/>
                <w:szCs w:val="24"/>
              </w:rPr>
            </w:pPr>
          </w:p>
        </w:tc>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1E3D37">
            <w:pPr>
              <w:spacing w:line="240" w:lineRule="auto"/>
              <w:rPr>
                <w:rFonts w:ascii="Times New Roman" w:eastAsia="Times New Roman" w:hAnsi="Times New Roman" w:cs="Times New Roman"/>
                <w:sz w:val="24"/>
                <w:szCs w:val="24"/>
              </w:rPr>
            </w:pPr>
          </w:p>
        </w:tc>
      </w:tr>
      <w:tr w:rsidR="001E3D37">
        <w:trPr>
          <w:trHeight w:val="420"/>
        </w:trPr>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Kt1(L/h)</w:t>
            </w:r>
          </w:p>
        </w:tc>
        <w:tc>
          <w:tcPr>
            <w:tcW w:w="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1500</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Kt2(L/h)</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1000</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1E3D37">
            <w:pPr>
              <w:spacing w:line="240" w:lineRule="auto"/>
              <w:rPr>
                <w:rFonts w:ascii="Times New Roman" w:eastAsia="Times New Roman" w:hAnsi="Times New Roman" w:cs="Times New Roman"/>
                <w:sz w:val="24"/>
                <w:szCs w:val="24"/>
              </w:rPr>
            </w:pPr>
          </w:p>
        </w:tc>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6F3CDA">
            <w:pPr>
              <w:spacing w:line="240" w:lineRule="auto"/>
              <w:rPr>
                <w:rFonts w:ascii="Times New Roman" w:eastAsia="Times New Roman" w:hAnsi="Times New Roman" w:cs="Times New Roman"/>
                <w:sz w:val="24"/>
                <w:szCs w:val="24"/>
              </w:rPr>
            </w:pPr>
            <w:r>
              <w:rPr>
                <w:color w:val="000000"/>
              </w:rPr>
              <w:t>O</w:t>
            </w:r>
            <w:r w:rsidR="005C48D4">
              <w:rPr>
                <w:color w:val="000000"/>
              </w:rPr>
              <w:t>ptimize</w:t>
            </w:r>
            <w:r>
              <w:rPr>
                <w:color w:val="000000"/>
              </w:rPr>
              <w:t>*</w:t>
            </w:r>
          </w:p>
        </w:tc>
      </w:tr>
      <w:tr w:rsidR="001E3D37">
        <w:trPr>
          <w:trHeight w:val="420"/>
        </w:trPr>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Kt3(L/h)</w:t>
            </w:r>
          </w:p>
        </w:tc>
        <w:tc>
          <w:tcPr>
            <w:tcW w:w="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880</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Kt4(L/h)</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1000</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1E3D37">
            <w:pPr>
              <w:spacing w:line="240" w:lineRule="auto"/>
              <w:rPr>
                <w:rFonts w:ascii="Times New Roman" w:eastAsia="Times New Roman" w:hAnsi="Times New Roman" w:cs="Times New Roman"/>
                <w:sz w:val="24"/>
                <w:szCs w:val="24"/>
              </w:rPr>
            </w:pPr>
          </w:p>
        </w:tc>
        <w:tc>
          <w:tcPr>
            <w:tcW w:w="1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6F3CDA">
            <w:pPr>
              <w:spacing w:line="240" w:lineRule="auto"/>
              <w:rPr>
                <w:rFonts w:ascii="Times New Roman" w:eastAsia="Times New Roman" w:hAnsi="Times New Roman" w:cs="Times New Roman"/>
                <w:sz w:val="24"/>
                <w:szCs w:val="24"/>
              </w:rPr>
            </w:pPr>
            <w:r>
              <w:rPr>
                <w:color w:val="000000"/>
              </w:rPr>
              <w:t>O</w:t>
            </w:r>
            <w:r w:rsidR="005C48D4">
              <w:rPr>
                <w:color w:val="000000"/>
              </w:rPr>
              <w:t>ptimize</w:t>
            </w:r>
            <w:r>
              <w:rPr>
                <w:color w:val="000000"/>
              </w:rPr>
              <w:t>*</w:t>
            </w:r>
          </w:p>
        </w:tc>
      </w:tr>
    </w:tbl>
    <w:p w:rsidR="001E3D37" w:rsidRDefault="001E3D37"/>
    <w:p w:rsidR="006F3CDA" w:rsidRPr="006F3CDA" w:rsidRDefault="006F3CDA" w:rsidP="00B5726A">
      <w:pPr>
        <w:pStyle w:val="NormalWeb"/>
        <w:shd w:val="clear" w:color="auto" w:fill="FFFFFF"/>
        <w:spacing w:after="150" w:line="270" w:lineRule="atLeast"/>
        <w:rPr>
          <w:rFonts w:ascii="Trebuchet MS" w:hAnsi="Trebuchet MS"/>
          <w:color w:val="FF0000"/>
          <w:sz w:val="22"/>
          <w:szCs w:val="22"/>
        </w:rPr>
      </w:pPr>
      <w:r w:rsidRPr="006F3CDA">
        <w:rPr>
          <w:rFonts w:ascii="Trebuchet MS" w:hAnsi="Trebuchet MS"/>
          <w:color w:val="FF0000"/>
          <w:sz w:val="22"/>
          <w:szCs w:val="22"/>
        </w:rPr>
        <w:t>*The</w:t>
      </w:r>
      <w:r w:rsidRPr="006F3CDA">
        <w:rPr>
          <w:rFonts w:ascii="Trebuchet MS" w:hAnsi="Trebuchet MS"/>
          <w:color w:val="FF0000"/>
          <w:sz w:val="22"/>
          <w:szCs w:val="22"/>
        </w:rPr>
        <w:t xml:space="preserve"> </w:t>
      </w:r>
      <w:r w:rsidRPr="006F3CDA">
        <w:rPr>
          <w:rFonts w:ascii="Trebuchet MS" w:hAnsi="Trebuchet MS"/>
          <w:i/>
          <w:color w:val="FF0000"/>
          <w:sz w:val="22"/>
          <w:szCs w:val="22"/>
        </w:rPr>
        <w:t xml:space="preserve">in </w:t>
      </w:r>
      <w:proofErr w:type="spellStart"/>
      <w:r w:rsidRPr="006F3CDA">
        <w:rPr>
          <w:rFonts w:ascii="Trebuchet MS" w:hAnsi="Trebuchet MS"/>
          <w:i/>
          <w:color w:val="FF0000"/>
          <w:sz w:val="22"/>
          <w:szCs w:val="22"/>
        </w:rPr>
        <w:t>silico</w:t>
      </w:r>
      <w:proofErr w:type="spellEnd"/>
      <w:r w:rsidRPr="006F3CDA">
        <w:rPr>
          <w:rFonts w:ascii="Trebuchet MS" w:hAnsi="Trebuchet MS"/>
          <w:color w:val="FF0000"/>
          <w:sz w:val="22"/>
          <w:szCs w:val="22"/>
        </w:rPr>
        <w:t xml:space="preserve"> experiments for the placenta model</w:t>
      </w:r>
      <w:r w:rsidRPr="006F3CDA">
        <w:rPr>
          <w:rFonts w:ascii="Trebuchet MS" w:hAnsi="Trebuchet MS"/>
          <w:color w:val="FF0000"/>
          <w:sz w:val="22"/>
          <w:szCs w:val="22"/>
        </w:rPr>
        <w:t xml:space="preserve"> here</w:t>
      </w:r>
      <w:r>
        <w:rPr>
          <w:rFonts w:ascii="Trebuchet MS" w:hAnsi="Trebuchet MS"/>
          <w:color w:val="FF0000"/>
          <w:sz w:val="22"/>
          <w:szCs w:val="22"/>
        </w:rPr>
        <w:t xml:space="preserve"> was</w:t>
      </w:r>
      <w:r w:rsidR="00F11177">
        <w:rPr>
          <w:rFonts w:ascii="Trebuchet MS" w:hAnsi="Trebuchet MS"/>
          <w:color w:val="FF0000"/>
          <w:sz w:val="22"/>
          <w:szCs w:val="22"/>
        </w:rPr>
        <w:t xml:space="preserve"> </w:t>
      </w:r>
      <w:bookmarkStart w:id="1" w:name="_GoBack"/>
      <w:bookmarkEnd w:id="1"/>
      <w:r w:rsidR="00F11177">
        <w:rPr>
          <w:rFonts w:ascii="Trebuchet MS" w:hAnsi="Trebuchet MS"/>
          <w:color w:val="FF0000"/>
          <w:sz w:val="22"/>
          <w:szCs w:val="22"/>
        </w:rPr>
        <w:t xml:space="preserve">to </w:t>
      </w:r>
      <w:r w:rsidRPr="006F3CDA">
        <w:rPr>
          <w:rFonts w:ascii="Trebuchet MS" w:hAnsi="Trebuchet MS"/>
          <w:color w:val="FF0000"/>
          <w:sz w:val="22"/>
          <w:szCs w:val="22"/>
        </w:rPr>
        <w:t>rep</w:t>
      </w:r>
      <w:r w:rsidR="00F11177">
        <w:rPr>
          <w:rFonts w:ascii="Trebuchet MS" w:hAnsi="Trebuchet MS"/>
          <w:color w:val="FF0000"/>
          <w:sz w:val="22"/>
          <w:szCs w:val="22"/>
        </w:rPr>
        <w:t>roduce</w:t>
      </w:r>
      <w:r>
        <w:rPr>
          <w:rFonts w:ascii="Trebuchet MS" w:hAnsi="Trebuchet MS"/>
          <w:color w:val="FF0000"/>
          <w:sz w:val="22"/>
          <w:szCs w:val="22"/>
        </w:rPr>
        <w:t xml:space="preserve"> the NIC/COT</w:t>
      </w:r>
      <w:r w:rsidRPr="006F3CDA">
        <w:rPr>
          <w:rFonts w:ascii="Trebuchet MS" w:hAnsi="Trebuchet MS"/>
          <w:color w:val="FF0000"/>
          <w:sz w:val="22"/>
          <w:szCs w:val="22"/>
        </w:rPr>
        <w:t xml:space="preserve"> observations </w:t>
      </w:r>
      <w:r>
        <w:rPr>
          <w:rFonts w:ascii="Trebuchet MS" w:hAnsi="Trebuchet MS"/>
          <w:color w:val="FF0000"/>
          <w:sz w:val="22"/>
          <w:szCs w:val="22"/>
        </w:rPr>
        <w:t xml:space="preserve">reported </w:t>
      </w:r>
      <w:r w:rsidRPr="006F3CDA">
        <w:rPr>
          <w:rFonts w:ascii="Trebuchet MS" w:hAnsi="Trebuchet MS"/>
          <w:color w:val="FF0000"/>
          <w:sz w:val="22"/>
          <w:szCs w:val="22"/>
        </w:rPr>
        <w:t xml:space="preserve">in </w:t>
      </w:r>
      <w:proofErr w:type="spellStart"/>
      <w:r w:rsidRPr="006F3CDA">
        <w:rPr>
          <w:rFonts w:ascii="Trebuchet MS" w:hAnsi="Trebuchet MS"/>
          <w:color w:val="FF0000"/>
          <w:sz w:val="22"/>
          <w:szCs w:val="22"/>
        </w:rPr>
        <w:t>Lambers</w:t>
      </w:r>
      <w:proofErr w:type="spellEnd"/>
      <w:r w:rsidRPr="006F3CDA">
        <w:rPr>
          <w:rFonts w:ascii="Trebuchet MS" w:hAnsi="Trebuchet MS"/>
          <w:color w:val="FF0000"/>
          <w:sz w:val="22"/>
          <w:szCs w:val="22"/>
        </w:rPr>
        <w:t xml:space="preserve"> &amp; Clark (1996)</w:t>
      </w:r>
      <w:r>
        <w:rPr>
          <w:rFonts w:ascii="Trebuchet MS" w:hAnsi="Trebuchet MS"/>
          <w:color w:val="FF0000"/>
          <w:sz w:val="22"/>
          <w:szCs w:val="22"/>
        </w:rPr>
        <w:t xml:space="preserve">. </w:t>
      </w:r>
      <w:r w:rsidR="00B5726A" w:rsidRPr="00B5726A">
        <w:rPr>
          <w:rFonts w:ascii="Trebuchet MS" w:hAnsi="Trebuchet MS"/>
          <w:color w:val="FF0000"/>
          <w:sz w:val="22"/>
          <w:szCs w:val="22"/>
        </w:rPr>
        <w:t xml:space="preserve">Kt1, Kt2, Kt3 and Kt4 </w:t>
      </w:r>
      <w:r w:rsidR="00B5726A">
        <w:rPr>
          <w:rFonts w:ascii="Trebuchet MS" w:hAnsi="Trebuchet MS"/>
          <w:color w:val="FF0000"/>
          <w:sz w:val="22"/>
          <w:szCs w:val="22"/>
        </w:rPr>
        <w:t>represent</w:t>
      </w:r>
      <w:r w:rsidR="00B5726A" w:rsidRPr="00B5726A">
        <w:rPr>
          <w:rFonts w:ascii="Trebuchet MS" w:hAnsi="Trebuchet MS"/>
          <w:color w:val="FF0000"/>
          <w:sz w:val="22"/>
          <w:szCs w:val="22"/>
        </w:rPr>
        <w:t xml:space="preserve"> the influx/efflux parameters for NIC/COT respectively, corresponding to a single exchange interface between maternal/fetal circulations.</w:t>
      </w:r>
      <w:r w:rsidR="00B5726A">
        <w:rPr>
          <w:rFonts w:ascii="Trebuchet MS" w:hAnsi="Trebuchet MS"/>
          <w:color w:val="FF0000"/>
          <w:sz w:val="22"/>
          <w:szCs w:val="22"/>
        </w:rPr>
        <w:t xml:space="preserve"> </w:t>
      </w:r>
      <w:r w:rsidR="00320EFB">
        <w:rPr>
          <w:rFonts w:ascii="Trebuchet MS" w:hAnsi="Trebuchet MS"/>
          <w:color w:val="FF0000"/>
          <w:sz w:val="22"/>
          <w:szCs w:val="22"/>
        </w:rPr>
        <w:t>The parameters presented here</w:t>
      </w:r>
      <w:r w:rsidRPr="006F3CDA">
        <w:rPr>
          <w:rFonts w:ascii="Trebuchet MS" w:hAnsi="Trebuchet MS"/>
          <w:color w:val="FF0000"/>
          <w:sz w:val="22"/>
          <w:szCs w:val="22"/>
        </w:rPr>
        <w:t xml:space="preserve"> were our try-and-error approach</w:t>
      </w:r>
      <w:r w:rsidR="00320EFB">
        <w:rPr>
          <w:rFonts w:ascii="Trebuchet MS" w:hAnsi="Trebuchet MS"/>
          <w:color w:val="FF0000"/>
          <w:sz w:val="22"/>
          <w:szCs w:val="22"/>
        </w:rPr>
        <w:t xml:space="preserve"> to find numerical values</w:t>
      </w:r>
      <w:r w:rsidRPr="006F3CDA">
        <w:rPr>
          <w:rFonts w:ascii="Trebuchet MS" w:hAnsi="Trebuchet MS"/>
          <w:color w:val="FF0000"/>
          <w:sz w:val="22"/>
          <w:szCs w:val="22"/>
        </w:rPr>
        <w:t xml:space="preserve"> that generate the expected </w:t>
      </w:r>
      <w:r w:rsidR="00320EFB">
        <w:rPr>
          <w:rFonts w:ascii="Trebuchet MS" w:hAnsi="Trebuchet MS"/>
          <w:color w:val="FF0000"/>
          <w:sz w:val="22"/>
          <w:szCs w:val="22"/>
        </w:rPr>
        <w:t>pharmacokinetics of NIC/COT in maternal/fetal blood</w:t>
      </w:r>
      <w:r w:rsidRPr="006F3CDA">
        <w:rPr>
          <w:rFonts w:ascii="Trebuchet MS" w:hAnsi="Trebuchet MS"/>
          <w:color w:val="FF0000"/>
          <w:sz w:val="22"/>
          <w:szCs w:val="22"/>
        </w:rPr>
        <w:t>.</w:t>
      </w:r>
    </w:p>
    <w:p w:rsidR="006F3CDA" w:rsidRPr="006F3CDA" w:rsidRDefault="006F3CDA" w:rsidP="006F3CDA">
      <w:pPr>
        <w:pStyle w:val="NormalWeb"/>
        <w:shd w:val="clear" w:color="auto" w:fill="FFFFFF"/>
        <w:spacing w:before="0" w:beforeAutospacing="0" w:after="150" w:afterAutospacing="0" w:line="270" w:lineRule="atLeast"/>
        <w:rPr>
          <w:rFonts w:ascii="Trebuchet MS" w:hAnsi="Trebuchet MS"/>
          <w:color w:val="FF0000"/>
          <w:sz w:val="22"/>
          <w:szCs w:val="22"/>
        </w:rPr>
      </w:pPr>
      <w:r w:rsidRPr="006F3CDA">
        <w:rPr>
          <w:rFonts w:ascii="Trebuchet MS" w:hAnsi="Trebuchet MS"/>
          <w:color w:val="FF0000"/>
          <w:sz w:val="22"/>
          <w:szCs w:val="22"/>
        </w:rPr>
        <w:t>A better model would have three compartments: Maternal capillaries &lt;-&gt; trophoblast &lt;-&gt; fetal capillaries</w:t>
      </w:r>
      <w:r w:rsidR="005C48D4">
        <w:rPr>
          <w:rFonts w:ascii="Trebuchet MS" w:hAnsi="Trebuchet MS"/>
          <w:color w:val="FF0000"/>
          <w:sz w:val="22"/>
          <w:szCs w:val="22"/>
        </w:rPr>
        <w:t>, and also incorporate</w:t>
      </w:r>
      <w:r w:rsidR="00320EFB">
        <w:rPr>
          <w:rFonts w:ascii="Trebuchet MS" w:hAnsi="Trebuchet MS"/>
          <w:color w:val="FF0000"/>
          <w:sz w:val="22"/>
          <w:szCs w:val="22"/>
        </w:rPr>
        <w:t xml:space="preserve"> the role transporters play</w:t>
      </w:r>
      <w:r w:rsidR="00320EFB" w:rsidRPr="006F3CDA">
        <w:rPr>
          <w:rFonts w:ascii="Trebuchet MS" w:hAnsi="Trebuchet MS"/>
          <w:color w:val="FF0000"/>
          <w:sz w:val="22"/>
          <w:szCs w:val="22"/>
        </w:rPr>
        <w:t xml:space="preserve"> here</w:t>
      </w:r>
      <w:r w:rsidRPr="006F3CDA">
        <w:rPr>
          <w:rFonts w:ascii="Trebuchet MS" w:hAnsi="Trebuchet MS"/>
          <w:color w:val="FF0000"/>
          <w:sz w:val="22"/>
          <w:szCs w:val="22"/>
        </w:rPr>
        <w:t>.</w:t>
      </w:r>
      <w:r w:rsidR="00320EFB">
        <w:rPr>
          <w:rFonts w:ascii="Trebuchet MS" w:hAnsi="Trebuchet MS"/>
          <w:color w:val="FF0000"/>
          <w:sz w:val="22"/>
          <w:szCs w:val="22"/>
        </w:rPr>
        <w:t xml:space="preserve"> T</w:t>
      </w:r>
      <w:r w:rsidRPr="006F3CDA">
        <w:rPr>
          <w:rFonts w:ascii="Trebuchet MS" w:hAnsi="Trebuchet MS"/>
          <w:color w:val="FF0000"/>
          <w:sz w:val="22"/>
          <w:szCs w:val="22"/>
        </w:rPr>
        <w:t>his work deserves a separate study in its own right.</w:t>
      </w:r>
    </w:p>
    <w:p w:rsidR="001E3D37" w:rsidRPr="006F3CDA" w:rsidRDefault="001E3D37">
      <w:pPr>
        <w:spacing w:line="240" w:lineRule="auto"/>
        <w:rPr>
          <w:color w:val="000000"/>
          <w:lang w:val="en-US"/>
        </w:rPr>
      </w:pPr>
    </w:p>
    <w:p w:rsidR="001E3D37" w:rsidRDefault="001E3D37">
      <w:pPr>
        <w:spacing w:line="240" w:lineRule="auto"/>
        <w:rPr>
          <w:color w:val="000000"/>
        </w:rPr>
      </w:pPr>
    </w:p>
    <w:p w:rsidR="001E3D37" w:rsidRDefault="005C48D4">
      <w:pPr>
        <w:spacing w:line="240" w:lineRule="auto"/>
        <w:rPr>
          <w:rFonts w:ascii="Times New Roman" w:eastAsia="Times New Roman" w:hAnsi="Times New Roman" w:cs="Times New Roman"/>
          <w:i/>
          <w:sz w:val="24"/>
          <w:szCs w:val="24"/>
        </w:rPr>
      </w:pPr>
      <w:r>
        <w:rPr>
          <w:i/>
          <w:color w:val="000000"/>
        </w:rPr>
        <w:t>Table S.3: Drug-specific parameters for nicotine/cotinine</w:t>
      </w:r>
    </w:p>
    <w:p w:rsidR="001E3D37" w:rsidRDefault="001E3D37">
      <w:pPr>
        <w:spacing w:after="240" w:line="240" w:lineRule="auto"/>
        <w:rPr>
          <w:rFonts w:ascii="Times New Roman" w:eastAsia="Times New Roman" w:hAnsi="Times New Roman" w:cs="Times New Roman"/>
          <w:sz w:val="24"/>
          <w:szCs w:val="24"/>
        </w:rPr>
      </w:pPr>
    </w:p>
    <w:tbl>
      <w:tblPr>
        <w:tblStyle w:val="a1"/>
        <w:tblW w:w="9026" w:type="dxa"/>
        <w:tblLayout w:type="fixed"/>
        <w:tblLook w:val="0400" w:firstRow="0" w:lastRow="0" w:firstColumn="0" w:lastColumn="0" w:noHBand="0" w:noVBand="1"/>
      </w:tblPr>
      <w:tblGrid>
        <w:gridCol w:w="3122"/>
        <w:gridCol w:w="1700"/>
        <w:gridCol w:w="1401"/>
        <w:gridCol w:w="2803"/>
      </w:tblGrid>
      <w:tr w:rsidR="001E3D37">
        <w:tc>
          <w:tcPr>
            <w:tcW w:w="3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Clearance</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Nicotine</w:t>
            </w:r>
          </w:p>
        </w:tc>
        <w:tc>
          <w:tcPr>
            <w:tcW w:w="1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Cotinine</w:t>
            </w:r>
          </w:p>
        </w:tc>
        <w:tc>
          <w:tcPr>
            <w:tcW w:w="2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Source</w:t>
            </w:r>
          </w:p>
        </w:tc>
      </w:tr>
      <w:tr w:rsidR="001E3D37">
        <w:tc>
          <w:tcPr>
            <w:tcW w:w="3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 xml:space="preserve">Hepatic(ml/min/kg) </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16.2 (KFC)</w:t>
            </w:r>
          </w:p>
        </w:tc>
        <w:tc>
          <w:tcPr>
            <w:tcW w:w="1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0.5 (KFC1)</w:t>
            </w:r>
          </w:p>
        </w:tc>
        <w:tc>
          <w:tcPr>
            <w:tcW w:w="2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(Dempsey et al., 2002)</w:t>
            </w:r>
          </w:p>
        </w:tc>
      </w:tr>
      <w:tr w:rsidR="001E3D37">
        <w:tc>
          <w:tcPr>
            <w:tcW w:w="3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 xml:space="preserve">Renal(ml/min/kg) </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0.7</w:t>
            </w:r>
          </w:p>
        </w:tc>
        <w:tc>
          <w:tcPr>
            <w:tcW w:w="1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0.2</w:t>
            </w:r>
          </w:p>
        </w:tc>
        <w:tc>
          <w:tcPr>
            <w:tcW w:w="2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(Dempsey et al., 2002)</w:t>
            </w:r>
          </w:p>
        </w:tc>
      </w:tr>
      <w:tr w:rsidR="001E3D37">
        <w:tc>
          <w:tcPr>
            <w:tcW w:w="3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Unbound fraction</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0.95</w:t>
            </w:r>
          </w:p>
        </w:tc>
        <w:tc>
          <w:tcPr>
            <w:tcW w:w="1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0.974</w:t>
            </w:r>
          </w:p>
        </w:tc>
        <w:tc>
          <w:tcPr>
            <w:tcW w:w="2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(Robinson et al., 1992)</w:t>
            </w:r>
          </w:p>
        </w:tc>
      </w:tr>
      <w:tr w:rsidR="001E3D37">
        <w:tc>
          <w:tcPr>
            <w:tcW w:w="3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Blood/plasma ratio</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0.8</w:t>
            </w:r>
          </w:p>
        </w:tc>
        <w:tc>
          <w:tcPr>
            <w:tcW w:w="1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0.88</w:t>
            </w:r>
          </w:p>
        </w:tc>
        <w:tc>
          <w:tcPr>
            <w:tcW w:w="2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(Robinson et al., 1992)</w:t>
            </w:r>
          </w:p>
        </w:tc>
      </w:tr>
      <w:tr w:rsidR="001E3D37">
        <w:trPr>
          <w:trHeight w:val="480"/>
        </w:trPr>
        <w:tc>
          <w:tcPr>
            <w:tcW w:w="9026"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1E3D37">
            <w:pPr>
              <w:spacing w:line="240" w:lineRule="auto"/>
              <w:rPr>
                <w:rFonts w:ascii="Times New Roman" w:eastAsia="Times New Roman" w:hAnsi="Times New Roman" w:cs="Times New Roman"/>
                <w:sz w:val="24"/>
                <w:szCs w:val="24"/>
              </w:rPr>
            </w:pPr>
          </w:p>
          <w:p w:rsidR="001E3D37" w:rsidRDefault="005C48D4">
            <w:pPr>
              <w:spacing w:line="240" w:lineRule="auto"/>
              <w:jc w:val="center"/>
              <w:rPr>
                <w:rFonts w:ascii="Times New Roman" w:eastAsia="Times New Roman" w:hAnsi="Times New Roman" w:cs="Times New Roman"/>
                <w:sz w:val="24"/>
                <w:szCs w:val="24"/>
              </w:rPr>
            </w:pPr>
            <w:r>
              <w:rPr>
                <w:color w:val="000000"/>
              </w:rPr>
              <w:t>Tissue/Blood partition coefficients</w:t>
            </w:r>
          </w:p>
        </w:tc>
      </w:tr>
      <w:tr w:rsidR="001E3D37">
        <w:trPr>
          <w:trHeight w:val="450"/>
        </w:trPr>
        <w:tc>
          <w:tcPr>
            <w:tcW w:w="9026" w:type="dxa"/>
            <w:gridSpan w:val="4"/>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1E3D3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E3D37">
        <w:tc>
          <w:tcPr>
            <w:tcW w:w="3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lastRenderedPageBreak/>
              <w:t>Fat/Blood</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w:t>
            </w:r>
          </w:p>
        </w:tc>
        <w:tc>
          <w:tcPr>
            <w:tcW w:w="1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0.5</w:t>
            </w:r>
          </w:p>
        </w:tc>
        <w:tc>
          <w:tcPr>
            <w:tcW w:w="2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(Robinson et al., 1992)</w:t>
            </w:r>
          </w:p>
        </w:tc>
      </w:tr>
      <w:tr w:rsidR="001E3D37">
        <w:tc>
          <w:tcPr>
            <w:tcW w:w="3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Slow/Blood</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2.5</w:t>
            </w:r>
          </w:p>
        </w:tc>
        <w:tc>
          <w:tcPr>
            <w:tcW w:w="1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0.85</w:t>
            </w:r>
          </w:p>
        </w:tc>
        <w:tc>
          <w:tcPr>
            <w:tcW w:w="2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(Robinson et al., 1992)</w:t>
            </w:r>
          </w:p>
        </w:tc>
      </w:tr>
      <w:tr w:rsidR="001E3D37">
        <w:tc>
          <w:tcPr>
            <w:tcW w:w="3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Rapid/Blood</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3</w:t>
            </w:r>
          </w:p>
        </w:tc>
        <w:tc>
          <w:tcPr>
            <w:tcW w:w="1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1.5</w:t>
            </w:r>
          </w:p>
        </w:tc>
        <w:tc>
          <w:tcPr>
            <w:tcW w:w="2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(Robinson et al., 1992)</w:t>
            </w:r>
          </w:p>
        </w:tc>
      </w:tr>
      <w:tr w:rsidR="001E3D37">
        <w:tc>
          <w:tcPr>
            <w:tcW w:w="3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Brain/Blood</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3</w:t>
            </w:r>
          </w:p>
        </w:tc>
        <w:tc>
          <w:tcPr>
            <w:tcW w:w="1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1.5</w:t>
            </w:r>
          </w:p>
        </w:tc>
        <w:tc>
          <w:tcPr>
            <w:tcW w:w="2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(Gentry et al., 2003)</w:t>
            </w:r>
          </w:p>
        </w:tc>
      </w:tr>
      <w:tr w:rsidR="001E3D37">
        <w:tc>
          <w:tcPr>
            <w:tcW w:w="3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Kidney/Blood</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15</w:t>
            </w:r>
          </w:p>
        </w:tc>
        <w:tc>
          <w:tcPr>
            <w:tcW w:w="1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2</w:t>
            </w:r>
          </w:p>
        </w:tc>
        <w:tc>
          <w:tcPr>
            <w:tcW w:w="2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(Robinson et al., 1992)</w:t>
            </w:r>
          </w:p>
        </w:tc>
      </w:tr>
      <w:tr w:rsidR="001E3D37">
        <w:tc>
          <w:tcPr>
            <w:tcW w:w="3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Liver/Blood</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9</w:t>
            </w:r>
          </w:p>
        </w:tc>
        <w:tc>
          <w:tcPr>
            <w:tcW w:w="1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2</w:t>
            </w:r>
          </w:p>
        </w:tc>
        <w:tc>
          <w:tcPr>
            <w:tcW w:w="2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(Robinson et al., 1992)</w:t>
            </w:r>
          </w:p>
        </w:tc>
      </w:tr>
      <w:tr w:rsidR="001E3D37">
        <w:tc>
          <w:tcPr>
            <w:tcW w:w="3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Lung/Blood</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2</w:t>
            </w:r>
          </w:p>
        </w:tc>
        <w:tc>
          <w:tcPr>
            <w:tcW w:w="1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1</w:t>
            </w:r>
          </w:p>
        </w:tc>
        <w:tc>
          <w:tcPr>
            <w:tcW w:w="2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(Robinson et al., 1992)</w:t>
            </w:r>
          </w:p>
        </w:tc>
      </w:tr>
      <w:tr w:rsidR="001E3D37">
        <w:trPr>
          <w:trHeight w:val="420"/>
        </w:trPr>
        <w:tc>
          <w:tcPr>
            <w:tcW w:w="902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jc w:val="center"/>
              <w:rPr>
                <w:rFonts w:ascii="Times New Roman" w:eastAsia="Times New Roman" w:hAnsi="Times New Roman" w:cs="Times New Roman"/>
                <w:sz w:val="24"/>
                <w:szCs w:val="24"/>
              </w:rPr>
            </w:pPr>
            <w:r>
              <w:rPr>
                <w:color w:val="000000"/>
              </w:rPr>
              <w:t>Infusion kinetics</w:t>
            </w:r>
          </w:p>
        </w:tc>
      </w:tr>
      <w:tr w:rsidR="001E3D37">
        <w:trPr>
          <w:trHeight w:val="420"/>
        </w:trPr>
        <w:tc>
          <w:tcPr>
            <w:tcW w:w="3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Transfer rate (VIT→ lung)</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proofErr w:type="spellStart"/>
            <w:r>
              <w:rPr>
                <w:color w:val="000000"/>
              </w:rPr>
              <w:t>Kvit</w:t>
            </w:r>
            <w:proofErr w:type="spellEnd"/>
            <w:r>
              <w:rPr>
                <w:color w:val="000000"/>
              </w:rPr>
              <w:t xml:space="preserve"> ( min-1 )</w:t>
            </w:r>
          </w:p>
        </w:tc>
        <w:tc>
          <w:tcPr>
            <w:tcW w:w="1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rPr>
                <w:color w:val="000000"/>
              </w:rPr>
              <w:t>4.1</w:t>
            </w:r>
          </w:p>
        </w:tc>
        <w:tc>
          <w:tcPr>
            <w:tcW w:w="2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D37" w:rsidRDefault="005C48D4">
            <w:pPr>
              <w:spacing w:line="240" w:lineRule="auto"/>
              <w:rPr>
                <w:rFonts w:ascii="Times New Roman" w:eastAsia="Times New Roman" w:hAnsi="Times New Roman" w:cs="Times New Roman"/>
                <w:sz w:val="24"/>
                <w:szCs w:val="24"/>
              </w:rPr>
            </w:pPr>
            <w:r>
              <w:t>(Robinson et al., 1992)</w:t>
            </w:r>
          </w:p>
        </w:tc>
      </w:tr>
    </w:tbl>
    <w:p w:rsidR="001E3D37" w:rsidRDefault="001E3D37"/>
    <w:p w:rsidR="001E3D37" w:rsidRDefault="001E3D37"/>
    <w:p w:rsidR="001E3D37" w:rsidRDefault="001E3D37"/>
    <w:p w:rsidR="001E3D37" w:rsidRDefault="005C48D4">
      <w:pPr>
        <w:rPr>
          <w:b/>
        </w:rPr>
      </w:pPr>
      <w:r>
        <w:rPr>
          <w:b/>
        </w:rPr>
        <w:t>S3. Differential equations for the p-PBPK model</w:t>
      </w:r>
    </w:p>
    <w:p w:rsidR="001E3D37" w:rsidRDefault="001E3D37"/>
    <w:p w:rsidR="001E3D37" w:rsidRDefault="005C48D4">
      <w:r>
        <w:rPr>
          <w:color w:val="000000"/>
        </w:rPr>
        <w:t xml:space="preserve">The differential equation system for the </w:t>
      </w:r>
      <w:proofErr w:type="spellStart"/>
      <w:r>
        <w:rPr>
          <w:color w:val="000000"/>
        </w:rPr>
        <w:t>p_PBPK</w:t>
      </w:r>
      <w:proofErr w:type="spellEnd"/>
      <w:r>
        <w:rPr>
          <w:color w:val="000000"/>
        </w:rPr>
        <w:t xml:space="preserve"> model, which contains total 32 equations, is attached as a separate file “p_PBPK_equations.pdf”</w:t>
      </w:r>
    </w:p>
    <w:p w:rsidR="001E3D37" w:rsidRDefault="001E3D37"/>
    <w:p w:rsidR="001E3D37" w:rsidRDefault="001E3D37"/>
    <w:p w:rsidR="001E3D37" w:rsidRDefault="005C48D4">
      <w:pPr>
        <w:rPr>
          <w:b/>
        </w:rPr>
      </w:pPr>
      <w:r>
        <w:rPr>
          <w:b/>
        </w:rPr>
        <w:t>References</w:t>
      </w:r>
    </w:p>
    <w:p w:rsidR="001E3D37" w:rsidRDefault="005C48D4">
      <w:pPr>
        <w:pBdr>
          <w:top w:val="nil"/>
          <w:left w:val="nil"/>
          <w:bottom w:val="nil"/>
          <w:right w:val="nil"/>
          <w:between w:val="nil"/>
        </w:pBdr>
        <w:spacing w:after="240" w:line="240" w:lineRule="auto"/>
        <w:ind w:left="720" w:hanging="720"/>
        <w:rPr>
          <w:color w:val="000000"/>
        </w:rPr>
      </w:pPr>
      <w:r>
        <w:rPr>
          <w:color w:val="000000"/>
        </w:rPr>
        <w:t xml:space="preserve">Brown, R. P., </w:t>
      </w:r>
      <w:proofErr w:type="spellStart"/>
      <w:r>
        <w:rPr>
          <w:color w:val="000000"/>
        </w:rPr>
        <w:t>Delp</w:t>
      </w:r>
      <w:proofErr w:type="spellEnd"/>
      <w:r>
        <w:rPr>
          <w:color w:val="000000"/>
        </w:rPr>
        <w:t xml:space="preserve">, M. D., </w:t>
      </w:r>
      <w:proofErr w:type="spellStart"/>
      <w:r>
        <w:rPr>
          <w:color w:val="000000"/>
        </w:rPr>
        <w:t>Lindstedt</w:t>
      </w:r>
      <w:proofErr w:type="spellEnd"/>
      <w:r>
        <w:rPr>
          <w:color w:val="000000"/>
        </w:rPr>
        <w:t xml:space="preserve">, S. L., </w:t>
      </w:r>
      <w:proofErr w:type="spellStart"/>
      <w:r>
        <w:rPr>
          <w:color w:val="000000"/>
        </w:rPr>
        <w:t>Rhomberg</w:t>
      </w:r>
      <w:proofErr w:type="spellEnd"/>
      <w:r>
        <w:rPr>
          <w:color w:val="000000"/>
        </w:rPr>
        <w:t xml:space="preserve">, L. R., and </w:t>
      </w:r>
      <w:proofErr w:type="spellStart"/>
      <w:r>
        <w:rPr>
          <w:color w:val="000000"/>
        </w:rPr>
        <w:t>Beliles</w:t>
      </w:r>
      <w:proofErr w:type="spellEnd"/>
      <w:r>
        <w:rPr>
          <w:color w:val="000000"/>
        </w:rPr>
        <w:t>, R. P. (1997). Physiologi</w:t>
      </w:r>
      <w:r>
        <w:rPr>
          <w:color w:val="000000"/>
        </w:rPr>
        <w:t xml:space="preserve">cal Parameter Values for Physiologically Based Pharmacokinetic Models. </w:t>
      </w:r>
      <w:proofErr w:type="spellStart"/>
      <w:r>
        <w:rPr>
          <w:i/>
          <w:color w:val="000000"/>
        </w:rPr>
        <w:t>Toxicol</w:t>
      </w:r>
      <w:proofErr w:type="spellEnd"/>
      <w:r>
        <w:rPr>
          <w:i/>
          <w:color w:val="000000"/>
        </w:rPr>
        <w:t xml:space="preserve"> </w:t>
      </w:r>
      <w:proofErr w:type="spellStart"/>
      <w:r>
        <w:rPr>
          <w:i/>
          <w:color w:val="000000"/>
        </w:rPr>
        <w:t>Ind</w:t>
      </w:r>
      <w:proofErr w:type="spellEnd"/>
      <w:r>
        <w:rPr>
          <w:i/>
          <w:color w:val="000000"/>
        </w:rPr>
        <w:t xml:space="preserve"> Health</w:t>
      </w:r>
      <w:r>
        <w:rPr>
          <w:color w:val="000000"/>
        </w:rPr>
        <w:t xml:space="preserve"> 13, 407–484. </w:t>
      </w:r>
      <w:proofErr w:type="gramStart"/>
      <w:r>
        <w:rPr>
          <w:color w:val="000000"/>
        </w:rPr>
        <w:t>doi:</w:t>
      </w:r>
      <w:proofErr w:type="gramEnd"/>
      <w:r>
        <w:rPr>
          <w:color w:val="000000"/>
        </w:rPr>
        <w:t>10.1177/074823379701300401.</w:t>
      </w:r>
    </w:p>
    <w:p w:rsidR="001E3D37" w:rsidRDefault="005C48D4">
      <w:pPr>
        <w:pBdr>
          <w:top w:val="nil"/>
          <w:left w:val="nil"/>
          <w:bottom w:val="nil"/>
          <w:right w:val="nil"/>
          <w:between w:val="nil"/>
        </w:pBdr>
        <w:spacing w:after="240" w:line="240" w:lineRule="auto"/>
        <w:ind w:left="720" w:hanging="720"/>
        <w:rPr>
          <w:color w:val="000000"/>
        </w:rPr>
      </w:pPr>
      <w:proofErr w:type="spellStart"/>
      <w:r>
        <w:rPr>
          <w:color w:val="000000"/>
        </w:rPr>
        <w:t>Clewell</w:t>
      </w:r>
      <w:proofErr w:type="spellEnd"/>
      <w:r>
        <w:rPr>
          <w:color w:val="000000"/>
        </w:rPr>
        <w:t xml:space="preserve">, H. J., Gentry, P. R., Gearhart, J. M., Covington, T. R., </w:t>
      </w:r>
      <w:proofErr w:type="spellStart"/>
      <w:r>
        <w:rPr>
          <w:color w:val="000000"/>
        </w:rPr>
        <w:t>Banton</w:t>
      </w:r>
      <w:proofErr w:type="spellEnd"/>
      <w:r>
        <w:rPr>
          <w:color w:val="000000"/>
        </w:rPr>
        <w:t xml:space="preserve">, M. I., and Andersen, M. E. (2001). Development of a Physiologically Based Pharmacokinetic Model of Isopropanol and Its Metabolite Acetone. </w:t>
      </w:r>
      <w:proofErr w:type="spellStart"/>
      <w:r>
        <w:rPr>
          <w:i/>
          <w:color w:val="000000"/>
        </w:rPr>
        <w:t>Toxicol</w:t>
      </w:r>
      <w:proofErr w:type="spellEnd"/>
      <w:r>
        <w:rPr>
          <w:i/>
          <w:color w:val="000000"/>
        </w:rPr>
        <w:t xml:space="preserve"> </w:t>
      </w:r>
      <w:proofErr w:type="spellStart"/>
      <w:r>
        <w:rPr>
          <w:i/>
          <w:color w:val="000000"/>
        </w:rPr>
        <w:t>Sci</w:t>
      </w:r>
      <w:proofErr w:type="spellEnd"/>
      <w:r>
        <w:rPr>
          <w:color w:val="000000"/>
        </w:rPr>
        <w:t xml:space="preserve"> 63, 160–172. doi:10.1093/</w:t>
      </w:r>
      <w:proofErr w:type="spellStart"/>
      <w:r>
        <w:rPr>
          <w:color w:val="000000"/>
        </w:rPr>
        <w:t>toxsci</w:t>
      </w:r>
      <w:proofErr w:type="spellEnd"/>
      <w:r>
        <w:rPr>
          <w:color w:val="000000"/>
        </w:rPr>
        <w:t>/63.2.160.</w:t>
      </w:r>
    </w:p>
    <w:p w:rsidR="001E3D37" w:rsidRDefault="005C48D4">
      <w:pPr>
        <w:pBdr>
          <w:top w:val="nil"/>
          <w:left w:val="nil"/>
          <w:bottom w:val="nil"/>
          <w:right w:val="nil"/>
          <w:between w:val="nil"/>
        </w:pBdr>
        <w:spacing w:after="240" w:line="240" w:lineRule="auto"/>
        <w:ind w:left="720" w:hanging="720"/>
        <w:rPr>
          <w:color w:val="000000"/>
        </w:rPr>
      </w:pPr>
      <w:r>
        <w:rPr>
          <w:color w:val="000000"/>
        </w:rPr>
        <w:t xml:space="preserve">Dempsey, D., Jacob, P., and </w:t>
      </w:r>
      <w:proofErr w:type="spellStart"/>
      <w:r>
        <w:rPr>
          <w:color w:val="000000"/>
        </w:rPr>
        <w:t>Benowitz</w:t>
      </w:r>
      <w:proofErr w:type="spellEnd"/>
      <w:r>
        <w:rPr>
          <w:color w:val="000000"/>
        </w:rPr>
        <w:t xml:space="preserve">, N. L. (2002). Accelerated Metabolism of Nicotine and Cotinine in Pregnant Smokers. </w:t>
      </w:r>
      <w:r>
        <w:rPr>
          <w:i/>
          <w:color w:val="000000"/>
        </w:rPr>
        <w:t xml:space="preserve">J </w:t>
      </w:r>
      <w:proofErr w:type="spellStart"/>
      <w:r>
        <w:rPr>
          <w:i/>
          <w:color w:val="000000"/>
        </w:rPr>
        <w:t>Pharmacol</w:t>
      </w:r>
      <w:proofErr w:type="spellEnd"/>
      <w:r>
        <w:rPr>
          <w:i/>
          <w:color w:val="000000"/>
        </w:rPr>
        <w:t xml:space="preserve"> </w:t>
      </w:r>
      <w:proofErr w:type="spellStart"/>
      <w:r>
        <w:rPr>
          <w:i/>
          <w:color w:val="000000"/>
        </w:rPr>
        <w:t>Exp</w:t>
      </w:r>
      <w:proofErr w:type="spellEnd"/>
      <w:r>
        <w:rPr>
          <w:i/>
          <w:color w:val="000000"/>
        </w:rPr>
        <w:t xml:space="preserve"> </w:t>
      </w:r>
      <w:proofErr w:type="spellStart"/>
      <w:r>
        <w:rPr>
          <w:i/>
          <w:color w:val="000000"/>
        </w:rPr>
        <w:t>Ther</w:t>
      </w:r>
      <w:proofErr w:type="spellEnd"/>
      <w:r>
        <w:rPr>
          <w:color w:val="000000"/>
        </w:rPr>
        <w:t xml:space="preserve"> 301, 594–598. doi:10.1124/jpet.301.2.594.</w:t>
      </w:r>
    </w:p>
    <w:p w:rsidR="001E3D37" w:rsidRDefault="005C48D4">
      <w:pPr>
        <w:pBdr>
          <w:top w:val="nil"/>
          <w:left w:val="nil"/>
          <w:bottom w:val="nil"/>
          <w:right w:val="nil"/>
          <w:between w:val="nil"/>
        </w:pBdr>
        <w:spacing w:after="240" w:line="240" w:lineRule="auto"/>
        <w:ind w:left="720" w:hanging="720"/>
        <w:rPr>
          <w:color w:val="000000"/>
        </w:rPr>
      </w:pPr>
      <w:r>
        <w:rPr>
          <w:color w:val="000000"/>
        </w:rPr>
        <w:t xml:space="preserve">Gentry, P. R., Covington, T. R., and </w:t>
      </w:r>
      <w:proofErr w:type="spellStart"/>
      <w:r>
        <w:rPr>
          <w:color w:val="000000"/>
        </w:rPr>
        <w:t>Clewell</w:t>
      </w:r>
      <w:proofErr w:type="spellEnd"/>
      <w:r>
        <w:rPr>
          <w:color w:val="000000"/>
        </w:rPr>
        <w:t>, H. J. (2003). E</w:t>
      </w:r>
      <w:r>
        <w:rPr>
          <w:color w:val="000000"/>
        </w:rPr>
        <w:t xml:space="preserve">valuation of the potential impact of pharmacokinetic differences on tissue dosimetry in offspring during pregnancy and lactation. </w:t>
      </w:r>
      <w:r>
        <w:rPr>
          <w:i/>
          <w:color w:val="000000"/>
        </w:rPr>
        <w:t>Regulatory Toxicology and Pharmacology</w:t>
      </w:r>
      <w:r>
        <w:rPr>
          <w:color w:val="000000"/>
        </w:rPr>
        <w:t xml:space="preserve"> 38, 1–16. </w:t>
      </w:r>
      <w:proofErr w:type="gramStart"/>
      <w:r>
        <w:rPr>
          <w:color w:val="000000"/>
        </w:rPr>
        <w:t>doi:</w:t>
      </w:r>
      <w:proofErr w:type="gramEnd"/>
      <w:r>
        <w:rPr>
          <w:color w:val="000000"/>
        </w:rPr>
        <w:t>10.1016/S0273-2300(03)00047-3.</w:t>
      </w:r>
    </w:p>
    <w:p w:rsidR="006F3CDA" w:rsidRPr="006F3CDA" w:rsidRDefault="006F3CDA" w:rsidP="006F3CDA">
      <w:pPr>
        <w:spacing w:line="240" w:lineRule="auto"/>
        <w:ind w:left="720" w:hanging="720"/>
      </w:pPr>
      <w:proofErr w:type="spellStart"/>
      <w:r w:rsidRPr="009654B2">
        <w:lastRenderedPageBreak/>
        <w:t>Lambers</w:t>
      </w:r>
      <w:proofErr w:type="spellEnd"/>
      <w:r w:rsidRPr="009654B2">
        <w:t xml:space="preserve">, D. S., and Clark, K. E. (1996). The maternal and </w:t>
      </w:r>
      <w:proofErr w:type="spellStart"/>
      <w:r w:rsidRPr="009654B2">
        <w:t>fetal</w:t>
      </w:r>
      <w:proofErr w:type="spellEnd"/>
      <w:r w:rsidRPr="009654B2">
        <w:t xml:space="preserve"> physiologic effects of nicotine. </w:t>
      </w:r>
      <w:r w:rsidRPr="009654B2">
        <w:rPr>
          <w:i/>
        </w:rPr>
        <w:t>Seminars in Perinatology</w:t>
      </w:r>
      <w:r w:rsidRPr="009654B2">
        <w:t xml:space="preserve"> 20, 115–126. </w:t>
      </w:r>
      <w:proofErr w:type="gramStart"/>
      <w:r w:rsidRPr="009654B2">
        <w:t>doi:</w:t>
      </w:r>
      <w:proofErr w:type="gramEnd"/>
      <w:r w:rsidRPr="009654B2">
        <w:t>10.1016/S0146-0005(96)80079-6.</w:t>
      </w:r>
    </w:p>
    <w:p w:rsidR="001E3D37" w:rsidRDefault="005C48D4">
      <w:pPr>
        <w:pBdr>
          <w:top w:val="nil"/>
          <w:left w:val="nil"/>
          <w:bottom w:val="nil"/>
          <w:right w:val="nil"/>
          <w:between w:val="nil"/>
        </w:pBdr>
        <w:spacing w:after="240" w:line="240" w:lineRule="auto"/>
        <w:ind w:left="720" w:hanging="720"/>
        <w:rPr>
          <w:color w:val="000000"/>
        </w:rPr>
      </w:pPr>
      <w:r>
        <w:rPr>
          <w:color w:val="000000"/>
        </w:rPr>
        <w:t xml:space="preserve">Robinson, D. E., </w:t>
      </w:r>
      <w:proofErr w:type="spellStart"/>
      <w:r>
        <w:rPr>
          <w:color w:val="000000"/>
        </w:rPr>
        <w:t>Balter</w:t>
      </w:r>
      <w:proofErr w:type="spellEnd"/>
      <w:r>
        <w:rPr>
          <w:color w:val="000000"/>
        </w:rPr>
        <w:t>, N. J., and Schwar</w:t>
      </w:r>
      <w:r>
        <w:rPr>
          <w:color w:val="000000"/>
        </w:rPr>
        <w:t xml:space="preserve">tz, S. L. (1992). A physiologically based pharmacokinetic model for nicotine and cotinine in man. </w:t>
      </w:r>
      <w:r>
        <w:rPr>
          <w:i/>
          <w:color w:val="000000"/>
        </w:rPr>
        <w:t>Journal of Pharmacokinetics and Biopharmaceutics</w:t>
      </w:r>
      <w:r>
        <w:rPr>
          <w:color w:val="000000"/>
        </w:rPr>
        <w:t xml:space="preserve"> 20, 591–609. </w:t>
      </w:r>
      <w:proofErr w:type="gramStart"/>
      <w:r>
        <w:rPr>
          <w:color w:val="000000"/>
        </w:rPr>
        <w:t>doi:</w:t>
      </w:r>
      <w:proofErr w:type="gramEnd"/>
      <w:r>
        <w:rPr>
          <w:color w:val="000000"/>
        </w:rPr>
        <w:t>10.1007/BF01064421.</w:t>
      </w:r>
    </w:p>
    <w:p w:rsidR="001E3D37" w:rsidRDefault="001E3D37"/>
    <w:sectPr w:rsidR="001E3D3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5625"/>
    <w:multiLevelType w:val="multilevel"/>
    <w:tmpl w:val="2E50F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4344C4"/>
    <w:multiLevelType w:val="multilevel"/>
    <w:tmpl w:val="A28C7FA2"/>
    <w:lvl w:ilvl="0">
      <w:start w:val="1"/>
      <w:numFmt w:val="bullet"/>
      <w:lvlText w:val="-"/>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A81A95"/>
    <w:multiLevelType w:val="multilevel"/>
    <w:tmpl w:val="F89042E4"/>
    <w:lvl w:ilvl="0">
      <w:start w:val="1"/>
      <w:numFmt w:val="bullet"/>
      <w:lvlText w:val="-"/>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37"/>
    <w:rsid w:val="001E3D37"/>
    <w:rsid w:val="00320EFB"/>
    <w:rsid w:val="005C48D4"/>
    <w:rsid w:val="006F3CDA"/>
    <w:rsid w:val="007C1443"/>
    <w:rsid w:val="008D41EA"/>
    <w:rsid w:val="00B5726A"/>
    <w:rsid w:val="00F11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940C"/>
  <w15:docId w15:val="{1CD58EA3-831B-4EE1-B066-8BEE1237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unhideWhenUsed/>
    <w:rsid w:val="006F3CD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Ho</dc:creator>
  <cp:lastModifiedBy>Harvey Ho</cp:lastModifiedBy>
  <cp:revision>5</cp:revision>
  <dcterms:created xsi:type="dcterms:W3CDTF">2021-07-05T04:51:00Z</dcterms:created>
  <dcterms:modified xsi:type="dcterms:W3CDTF">2021-07-05T05:58:00Z</dcterms:modified>
</cp:coreProperties>
</file>