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color w:val="auto"/>
          <w:sz w:val="84"/>
          <w:szCs w:val="84"/>
        </w:rPr>
      </w:pPr>
    </w:p>
    <w:p>
      <w:pPr>
        <w:jc w:val="center"/>
        <w:rPr>
          <w:rFonts w:ascii="Times New Roman" w:hAnsi="Times New Roman" w:cs="Times New Roman"/>
          <w:color w:val="auto"/>
          <w:sz w:val="84"/>
          <w:szCs w:val="84"/>
        </w:rPr>
      </w:pPr>
    </w:p>
    <w:p>
      <w:pPr>
        <w:jc w:val="center"/>
        <w:rPr>
          <w:rFonts w:ascii="Times New Roman" w:hAnsi="Times New Roman" w:cs="Times New Roman"/>
          <w:color w:val="auto"/>
          <w:sz w:val="84"/>
          <w:szCs w:val="84"/>
        </w:rPr>
      </w:pPr>
    </w:p>
    <w:p>
      <w:pPr>
        <w:jc w:val="center"/>
        <w:rPr>
          <w:rFonts w:hint="eastAsia" w:ascii="Times New Roman" w:hAnsi="Times New Roman" w:cs="Times New Roman" w:eastAsiaTheme="minorEastAsia"/>
          <w:color w:val="auto"/>
          <w:sz w:val="84"/>
          <w:szCs w:val="84"/>
          <w:lang w:val="en-US" w:eastAsia="zh-CN"/>
        </w:rPr>
        <w:sectPr>
          <w:pgSz w:w="16783" w:h="11850" w:orient="landscape"/>
          <w:pgMar w:top="1440" w:right="1083" w:bottom="1440" w:left="1083" w:header="851" w:footer="992" w:gutter="0"/>
          <w:cols w:space="0" w:num="1"/>
          <w:rtlGutter w:val="0"/>
          <w:docGrid w:type="linesAndChars" w:linePitch="312" w:charSpace="0"/>
        </w:sectPr>
      </w:pPr>
      <w:r>
        <w:rPr>
          <w:rFonts w:ascii="Times New Roman" w:hAnsi="Times New Roman" w:cs="Times New Roman"/>
          <w:b/>
          <w:color w:val="auto"/>
          <w:sz w:val="52"/>
          <w:szCs w:val="52"/>
        </w:rPr>
        <w:t xml:space="preserve">Supplemental </w:t>
      </w:r>
      <w:r>
        <w:rPr>
          <w:rFonts w:hint="eastAsia" w:ascii="Times New Roman" w:hAnsi="Times New Roman" w:cs="Times New Roman"/>
          <w:b/>
          <w:color w:val="auto"/>
          <w:sz w:val="52"/>
          <w:szCs w:val="52"/>
        </w:rPr>
        <w:t>Materia</w:t>
      </w:r>
      <w:r>
        <w:rPr>
          <w:rFonts w:hint="eastAsia" w:ascii="Times New Roman" w:hAnsi="Times New Roman" w:cs="Times New Roman"/>
          <w:b/>
          <w:color w:val="auto"/>
          <w:sz w:val="52"/>
          <w:szCs w:val="52"/>
          <w:lang w:val="en-US" w:eastAsia="zh-CN"/>
        </w:rPr>
        <w:t>l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outlineLvl w:val="9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</w:rPr>
        <w:t xml:space="preserve">Supplemental </w:t>
      </w:r>
      <w:r>
        <w:rPr>
          <w:rFonts w:ascii="Times New Roman" w:hAnsi="Times New Roman" w:cs="Times New Roman"/>
          <w:b/>
          <w:bCs/>
          <w:color w:val="auto"/>
          <w:sz w:val="24"/>
        </w:rPr>
        <w:t>T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>able</w:t>
      </w:r>
      <w:r>
        <w:rPr>
          <w:rFonts w:ascii="Times New Roman" w:hAnsi="Times New Roman" w:cs="Times New Roman"/>
          <w:b/>
          <w:bCs/>
          <w:color w:val="auto"/>
          <w:sz w:val="24"/>
        </w:rPr>
        <w:t xml:space="preserve"> </w:t>
      </w: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>1</w:t>
      </w:r>
      <w:r>
        <w:rPr>
          <w:rFonts w:ascii="Times New Roman" w:hAnsi="Times New Roman" w:cs="Times New Roman"/>
          <w:b/>
          <w:bCs/>
          <w:color w:val="auto"/>
          <w:sz w:val="24"/>
        </w:rPr>
        <w:t>. Mean</w:t>
      </w:r>
      <w:r>
        <w:rPr>
          <w:rFonts w:ascii="Times New Roman" w:hAnsi="Times New Roman" w:cs="Times New Roman"/>
          <w:b/>
          <w:bCs/>
          <w:color w:val="auto"/>
          <w:sz w:val="24"/>
        </w:rPr>
        <w:sym w:font="Symbol" w:char="F0B1"/>
      </w:r>
      <w:r>
        <w:rPr>
          <w:rFonts w:ascii="Times New Roman" w:hAnsi="Times New Roman" w:cs="Times New Roman"/>
          <w:b/>
          <w:bCs/>
          <w:color w:val="auto"/>
          <w:sz w:val="24"/>
        </w:rPr>
        <w:t xml:space="preserve">SD </w:t>
      </w: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 xml:space="preserve">or median (range) </w:t>
      </w:r>
      <w:r>
        <w:rPr>
          <w:rFonts w:ascii="Times New Roman" w:hAnsi="Times New Roman" w:cs="Times New Roman"/>
          <w:b/>
          <w:bCs/>
          <w:color w:val="auto"/>
          <w:sz w:val="24"/>
        </w:rPr>
        <w:t xml:space="preserve">values </w:t>
      </w:r>
      <w:r>
        <w:rPr>
          <w:rFonts w:ascii="Times New Roman" w:hAnsi="Times New Roman" w:cs="Times New Roman"/>
          <w:b/>
          <w:color w:val="auto"/>
          <w:sz w:val="24"/>
        </w:rPr>
        <w:t xml:space="preserve">of the 3-hourly systemic hemodynamics and doses of inotropic and vasoactive drugs in 91 children during the first 48 hours after CPB </w:t>
      </w:r>
    </w:p>
    <w:tbl>
      <w:tblPr>
        <w:tblStyle w:val="10"/>
        <w:tblpPr w:leftFromText="180" w:rightFromText="180" w:vertAnchor="text" w:horzAnchor="page" w:tblpX="672" w:tblpY="110"/>
        <w:tblOverlap w:val="never"/>
        <w:tblW w:w="300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43"/>
        <w:gridCol w:w="1592"/>
        <w:gridCol w:w="1593"/>
        <w:gridCol w:w="1592"/>
        <w:gridCol w:w="1593"/>
        <w:gridCol w:w="1593"/>
        <w:gridCol w:w="1592"/>
        <w:gridCol w:w="1593"/>
        <w:gridCol w:w="1593"/>
        <w:gridCol w:w="1592"/>
        <w:gridCol w:w="1593"/>
        <w:gridCol w:w="1593"/>
        <w:gridCol w:w="1592"/>
        <w:gridCol w:w="1593"/>
        <w:gridCol w:w="1593"/>
        <w:gridCol w:w="1592"/>
        <w:gridCol w:w="1593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9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Time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h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0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3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6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9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12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15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18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21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24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27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30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33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36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39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42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45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94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Epinephrine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mcg/kg/min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0.05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(0-0.22)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0.05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(0-0.17)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0.05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(0-0.17)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0.05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(0-0.17)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0.05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(0-0.17)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0.05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(0-0.17)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0.05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(0-0.16)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0.05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(0-0.16)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0.03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(0-0.16)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0.05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(0-0.16)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0.05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(0-0.16)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0.04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(0-0.16)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0.04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(0-0.16)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(0-0.16)</w:t>
            </w:r>
          </w:p>
        </w:tc>
        <w:tc>
          <w:tcPr>
            <w:tcW w:w="15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0.03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(0-0.16)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(0-0.16)</w:t>
            </w:r>
          </w:p>
        </w:tc>
        <w:tc>
          <w:tcPr>
            <w:tcW w:w="15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(0-0.16)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Dopamine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mcg/kg/min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5.89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(3.70-9.00)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6.00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(3.1-9.00)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6.00 (3.10-9.00)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6.00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5.88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5.90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5.88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5.78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5.78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5.71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5.62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5.62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5.6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5.60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5.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50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5.4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5.40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Milrinone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mcg/kg/min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0.56 (0.33-0.96)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0.56 (0.33-0.96)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0.56 (0.33-0.96)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0.56 (0.26-0.96)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0.56 (0.26-0.86)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0.56 (0.26-0.86)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0.57 (0.13-0.86)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0.56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(0-0.86)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0.56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(0-0.86)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0.56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(0-0.86)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0.56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(0-0.86)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0.56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(0-0.86)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0.5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6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(0-0.86)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0.54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(0-0.86)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0.54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(0-0.86)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0.53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(0-0.86)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0.53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lang w:val="en-US" w:eastAsia="zh-CN"/>
              </w:rPr>
              <w:t>(0-0.86)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Heart rate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beats/min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150.53±21.56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151.25±22.39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149.08±22.65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148.35±20.44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148.19±21.42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146.64±21.88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147.65±22.08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148.18±24.87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150.38±22.97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151.03±22.90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151.24±22.09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151.67±21.44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149.46±20.90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151.73±20.53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149.91±19.80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149.78±20.88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149.76±19.14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SBP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mmHg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79.44±28.46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83.48±20.80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85.16±21.19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82.49±25.33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81.80±22.92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82.60±19.00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81.73±20.43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78.15±23.71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79.98±27.68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84.44±20.25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79.70±28.37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83.42±24.44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84.04±18.60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80.88±24.76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77.96±27.41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79.78±26.19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75.63±29.47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DBP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mmHg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47.81±17.47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50.50±12.66 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51.34±12.57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49.70±15.29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48.88±14.08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48.60±11.52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47.95±12.80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45.93±14.16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46.76±16.42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49.30±12.31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45.93±16.64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48.46±14.51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49.00±11.59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46.84±14.75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44.94±15.72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45.91±15.37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43.58±17.29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CI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L/min/m</w:t>
            </w:r>
            <w:r>
              <w:rPr>
                <w:rFonts w:ascii="Times New Roman" w:hAnsi="Times New Roman" w:cs="Times New Roman"/>
                <w:color w:val="auto"/>
                <w:sz w:val="24"/>
                <w:vertAlign w:val="superscript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82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±0.64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2.7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±0.5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bookmarkStart w:id="0" w:name="OLE_LINK6"/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91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</w:t>
            </w:r>
            <w:bookmarkEnd w:id="0"/>
            <w:r>
              <w:rPr>
                <w:rFonts w:ascii="Times New Roman" w:hAnsi="Times New Roman" w:cs="Times New Roman"/>
                <w:color w:val="auto"/>
                <w:sz w:val="24"/>
              </w:rPr>
              <w:t>6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91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±0.62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±0.62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±0.60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±0.6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84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±0.6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77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83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±0.6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78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76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2.82±0.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73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81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±0.6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2.76±0.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71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±0.70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±0.6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2.8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4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±0.6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CCE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unit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-0.47</w:t>
            </w:r>
            <w:bookmarkStart w:id="1" w:name="OLE_LINK7"/>
            <w:r>
              <w:rPr>
                <w:rFonts w:ascii="Times New Roman" w:hAnsi="Times New Roman" w:cs="Times New Roman"/>
                <w:color w:val="auto"/>
                <w:sz w:val="24"/>
              </w:rPr>
              <w:t>±0.</w:t>
            </w:r>
            <w:bookmarkEnd w:id="1"/>
            <w:r>
              <w:rPr>
                <w:rFonts w:ascii="Times New Roman" w:hAnsi="Times New Roman" w:cs="Times New Roman"/>
                <w:color w:val="auto"/>
                <w:sz w:val="24"/>
              </w:rPr>
              <w:t>37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-0.40±0.32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-0.41±0.31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-0.39±0.32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-0.39±0.33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-0.36±0.35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-0.32±0.34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-0.31±0.31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-0.35±0.35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-0.41±0.35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-0.34±0.33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-0.36±0.35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-0.34±0.30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-0.33±0.32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-0.34±0.30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-0.36±0.33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-0.33±0.32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dP/dT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vertAlign w:val="subscript"/>
              </w:rPr>
              <w:t>max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mmHg/ms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0.98±0.27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1.03±0.25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1.01±0.25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1.06±0.23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1.04±0.21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1.03±0.22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1.03±0.21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1.03±0.19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1.07±0.23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1.05±0.22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1.11±0.22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1.08±0.22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1.04±0.23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1.07±0.23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1.07±0.26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1.08±0.27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1.1±0.26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9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SVRI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, unit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21.17±4.61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20.96±4.54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20.4±4.31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20.59±4.62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20.46±4.80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19.97±4.72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19.86±4.74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19.75±4.74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20.04±4.49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20.74±4.65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20.29±4.67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21.01±5.37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20.27±5.26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20.23±5.03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19.89±4.70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20.07±5.09</w:t>
            </w:r>
          </w:p>
        </w:tc>
        <w:tc>
          <w:tcPr>
            <w:tcW w:w="159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19.65±4.62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outlineLvl w:val="9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i/>
          <w:iCs/>
          <w:color w:val="auto"/>
          <w:sz w:val="24"/>
        </w:rPr>
        <w:t xml:space="preserve">CCE, </w:t>
      </w:r>
      <w:r>
        <w:rPr>
          <w:rFonts w:ascii="Times New Roman" w:hAnsi="Times New Roman" w:cs="Times New Roman"/>
          <w:color w:val="auto"/>
          <w:sz w:val="24"/>
        </w:rPr>
        <w:t>cardiac cycle efficiency;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CI,</w:t>
      </w:r>
      <w:r>
        <w:rPr>
          <w:rFonts w:ascii="Times New Roman" w:hAnsi="Times New Roman" w:cs="Times New Roman"/>
          <w:color w:val="auto"/>
          <w:sz w:val="24"/>
        </w:rPr>
        <w:t xml:space="preserve"> cardiac index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</w:rPr>
        <w:t xml:space="preserve">; </w:t>
      </w:r>
      <w:r>
        <w:rPr>
          <w:rFonts w:hint="eastAsia" w:ascii="Times New Roman" w:hAnsi="Times New Roman" w:cs="Times New Roman"/>
          <w:i/>
          <w:iCs/>
          <w:color w:val="auto"/>
          <w:sz w:val="24"/>
        </w:rPr>
        <w:t>DBP</w:t>
      </w:r>
      <w:r>
        <w:rPr>
          <w:rFonts w:hint="eastAsia" w:ascii="Times New Roman" w:hAnsi="Times New Roman" w:cs="Times New Roman"/>
          <w:color w:val="auto"/>
          <w:sz w:val="24"/>
        </w:rPr>
        <w:t xml:space="preserve">, diastolic blood pressure; </w:t>
      </w:r>
      <w:r>
        <w:rPr>
          <w:rFonts w:ascii="Times New Roman" w:hAnsi="Times New Roman" w:cs="Times New Roman"/>
          <w:i/>
          <w:iCs/>
          <w:color w:val="auto"/>
          <w:sz w:val="24"/>
        </w:rPr>
        <w:t>dP/dT</w:t>
      </w:r>
      <w:r>
        <w:rPr>
          <w:rFonts w:ascii="Times New Roman" w:hAnsi="Times New Roman" w:cs="Times New Roman"/>
          <w:i/>
          <w:iCs/>
          <w:color w:val="auto"/>
          <w:sz w:val="24"/>
          <w:vertAlign w:val="subscript"/>
        </w:rPr>
        <w:t>max</w:t>
      </w:r>
      <w:r>
        <w:rPr>
          <w:rFonts w:ascii="Times New Roman" w:hAnsi="Times New Roman" w:cs="Times New Roman"/>
          <w:i/>
          <w:iCs/>
          <w:color w:val="auto"/>
          <w:sz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</w:rPr>
        <w:t xml:space="preserve">maximal left ventricular pressure rise rate; </w:t>
      </w:r>
      <w:r>
        <w:rPr>
          <w:rFonts w:hint="eastAsia" w:ascii="Times New Roman" w:hAnsi="Times New Roman" w:cs="Times New Roman"/>
          <w:i/>
          <w:iCs/>
          <w:color w:val="auto"/>
          <w:sz w:val="24"/>
        </w:rPr>
        <w:t>SBP</w:t>
      </w:r>
      <w:r>
        <w:rPr>
          <w:rFonts w:hint="eastAsia" w:ascii="Times New Roman" w:hAnsi="Times New Roman" w:cs="Times New Roman"/>
          <w:color w:val="auto"/>
          <w:sz w:val="24"/>
        </w:rPr>
        <w:t xml:space="preserve">, systolic blood pressure; </w:t>
      </w:r>
      <w:r>
        <w:rPr>
          <w:rFonts w:ascii="Times New Roman" w:hAnsi="Times New Roman" w:cs="Times New Roman"/>
          <w:i/>
          <w:iCs/>
          <w:color w:val="auto"/>
          <w:sz w:val="24"/>
        </w:rPr>
        <w:t>SVRI</w:t>
      </w:r>
      <w:r>
        <w:rPr>
          <w:rFonts w:ascii="Times New Roman" w:hAnsi="Times New Roman" w:cs="Times New Roman"/>
          <w:color w:val="auto"/>
          <w:sz w:val="24"/>
        </w:rPr>
        <w:t>, systematic vascular resistance index</w:t>
      </w:r>
    </w:p>
    <w:p>
      <w:pPr>
        <w:rPr>
          <w:color w:val="auto"/>
        </w:rPr>
        <w:sectPr>
          <w:type w:val="continuous"/>
          <w:pgSz w:w="31185" w:h="11907" w:orient="landscape"/>
          <w:pgMar w:top="567" w:right="567" w:bottom="567" w:left="567" w:header="851" w:footer="992" w:gutter="0"/>
          <w:cols w:space="0" w:num="1"/>
          <w:docGrid w:type="linesAndChars" w:linePitch="312" w:charSpace="396"/>
        </w:sectPr>
      </w:pPr>
    </w:p>
    <w:p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hint="eastAsia" w:ascii="Times New Roman" w:hAnsi="Times New Roman" w:cs="Times New Roman"/>
          <w:b/>
          <w:bCs/>
          <w:color w:val="auto"/>
          <w:sz w:val="24"/>
        </w:rPr>
        <w:t xml:space="preserve">Supplemental Table </w:t>
      </w:r>
      <w:r>
        <w:rPr>
          <w:rFonts w:hint="eastAsia" w:ascii="Times New Roman" w:hAnsi="Times New Roman" w:cs="Times New Roman"/>
          <w:b/>
          <w:bCs/>
          <w:color w:val="auto"/>
          <w:sz w:val="24"/>
          <w:lang w:val="en-US" w:eastAsia="zh-CN"/>
        </w:rPr>
        <w:t>2</w:t>
      </w:r>
      <w:r>
        <w:rPr>
          <w:rFonts w:ascii="Times New Roman" w:hAnsi="Times New Roman" w:cs="Times New Roman"/>
          <w:b/>
          <w:bCs/>
          <w:color w:val="auto"/>
          <w:sz w:val="24"/>
        </w:rPr>
        <w:t>.</w:t>
      </w:r>
      <w:r>
        <w:rPr>
          <w:rFonts w:hint="eastAsia" w:ascii="Times New Roman" w:hAnsi="Times New Roman" w:cs="Times New Roman"/>
          <w:b/>
          <w:bCs/>
          <w:color w:val="auto"/>
          <w:sz w:val="24"/>
        </w:rPr>
        <w:t xml:space="preserve"> Effect of deep hypothermic circulatory arrest (DHCA) on the temporal trends of hemodynamic variables and doses of vasoactive and inotropic drugs </w:t>
      </w:r>
    </w:p>
    <w:tbl>
      <w:tblPr>
        <w:tblStyle w:val="10"/>
        <w:tblpPr w:leftFromText="180" w:rightFromText="180" w:vertAnchor="text" w:horzAnchor="margin" w:tblpY="252"/>
        <w:tblOverlap w:val="never"/>
        <w:tblW w:w="2578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68"/>
        <w:gridCol w:w="843"/>
        <w:gridCol w:w="236"/>
        <w:gridCol w:w="1378"/>
        <w:gridCol w:w="833"/>
        <w:gridCol w:w="236"/>
        <w:gridCol w:w="1374"/>
        <w:gridCol w:w="837"/>
        <w:gridCol w:w="236"/>
        <w:gridCol w:w="1369"/>
        <w:gridCol w:w="842"/>
        <w:gridCol w:w="236"/>
        <w:gridCol w:w="1365"/>
        <w:gridCol w:w="846"/>
        <w:gridCol w:w="236"/>
        <w:gridCol w:w="1404"/>
        <w:gridCol w:w="807"/>
        <w:gridCol w:w="236"/>
        <w:gridCol w:w="1357"/>
        <w:gridCol w:w="854"/>
        <w:gridCol w:w="236"/>
        <w:gridCol w:w="1367"/>
        <w:gridCol w:w="844"/>
        <w:gridCol w:w="240"/>
        <w:gridCol w:w="1373"/>
        <w:gridCol w:w="838"/>
        <w:gridCol w:w="240"/>
        <w:gridCol w:w="1394"/>
        <w:gridCol w:w="81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Merge w:val="restart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Variable</w:t>
            </w: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Heart rate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SBP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DBP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CI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CCE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dP/dTmax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SVRI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Epinephrine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Dopamine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211" w:type="dxa"/>
            <w:gridSpan w:val="2"/>
            <w:tcBorders>
              <w:top w:val="single" w:color="auto" w:sz="4" w:space="0"/>
              <w:left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Milrinone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vMerge w:val="continue"/>
            <w:tcBorders>
              <w:top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ind w:left="224" w:leftChars="90" w:hanging="26" w:hangingChars="12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Parameter estimate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1"/>
              </w:rPr>
              <w:t xml:space="preserve">P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ind w:left="196" w:leftChars="89" w:firstLine="26" w:firstLineChars="12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Parameter estimate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ind w:left="225" w:leftChars="102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Parameter estimate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1"/>
              </w:rPr>
              <w:t xml:space="preserve">P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ind w:left="222" w:leftChars="89" w:hanging="26" w:hangingChars="12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Parameter estimate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ind w:left="222" w:leftChars="89" w:hanging="26" w:hangingChars="12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Parameter estimate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ind w:left="222" w:leftChars="89" w:hanging="26" w:hangingChars="12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Parameter estimate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1"/>
              </w:rPr>
              <w:t xml:space="preserve">P 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>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ind w:left="222" w:leftChars="89" w:hanging="26" w:hangingChars="12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Parameter estimate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tabs>
                <w:tab w:val="left" w:pos="220"/>
              </w:tabs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Parameter estimate</w:t>
            </w: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value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Parameter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auto"/>
                <w:szCs w:val="21"/>
              </w:rPr>
              <w:t>estimate</w:t>
            </w: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value</w:t>
            </w: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Cs w:val="21"/>
              </w:rPr>
              <w:t>Parameter estimate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1"/>
              </w:rPr>
              <w:t>P</w:t>
            </w:r>
            <w:r>
              <w:rPr>
                <w:rFonts w:ascii="Times New Roman" w:hAnsi="Times New Roman" w:cs="Times New Roman"/>
                <w:color w:val="auto"/>
                <w:szCs w:val="21"/>
              </w:rPr>
              <w:t xml:space="preserve"> value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5782" w:type="dxa"/>
            <w:gridSpan w:val="30"/>
            <w:tcBorders>
              <w:top w:val="single" w:color="auto" w:sz="4" w:space="0"/>
              <w:left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iCs/>
                <w:color w:val="auto"/>
                <w:sz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nalysis of groups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Time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3" w:leftChars="90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0.002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196" w:leftChars="89" w:firstLine="25" w:firstLine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0.807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5" w:leftChars="10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222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-0.007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0.204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20"/>
              </w:tabs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.0001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DHCAgroup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3" w:leftChars="90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14.56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0.006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196" w:leftChars="89" w:firstLine="25" w:firstLine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3.94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0.133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5" w:leftChars="10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0.393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-0.1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365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2.14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20"/>
              </w:tabs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0.020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-1.10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0.002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-0.02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0.479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DHCAgroup</w:t>
            </w:r>
          </w:p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*Time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3" w:leftChars="90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-0.38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196" w:leftChars="89" w:firstLine="25" w:firstLine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-0.08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0.088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5" w:leftChars="10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0.023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</w:rPr>
              <w:t>625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-0.0005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0.657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-0.005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1" w:leftChars="89" w:hanging="25" w:hanging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20"/>
              </w:tabs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-0.001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0.02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&lt;</w:t>
            </w: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u w:val="single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.0001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0.001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0.0002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782" w:type="dxa"/>
            <w:gridSpan w:val="30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spacing w:line="480" w:lineRule="auto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24"/>
              </w:rPr>
              <w:t>Analysis of groups and inotropic drugs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Time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3" w:leftChars="90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0.18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196" w:leftChars="89" w:firstLine="25" w:firstLine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0.667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5" w:leftChars="10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-0.05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0.0001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933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0.004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0.003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-0.003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0.570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20"/>
              </w:tabs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DHCAgroup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3" w:leftChars="90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9.97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0.031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196" w:leftChars="89" w:firstLine="25" w:firstLine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2.43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0.374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5" w:leftChars="10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0.11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0.950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-0.1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0.006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0.395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1.49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0.208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20"/>
              </w:tabs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DHCAgroup</w:t>
            </w:r>
          </w:p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*Time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3" w:leftChars="90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-0.24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196" w:leftChars="89" w:firstLine="25" w:firstLine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-0.03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0.504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5" w:leftChars="10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0.343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-0.002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0.469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-0.004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-0.03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0.010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20"/>
              </w:tabs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Epinephrine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3" w:leftChars="90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176.07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196" w:leftChars="89" w:firstLine="25" w:firstLine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34.22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0.006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5" w:leftChars="10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26.07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0.91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092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0.55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0.059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1.29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13.42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20"/>
              </w:tabs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Dopamine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3" w:leftChars="90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-0.34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0.501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196" w:leftChars="89" w:firstLine="25" w:firstLine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-0.51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0.219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5" w:leftChars="10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-0.63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0.014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0.01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740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0.04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&lt;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</w:t>
            </w: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.0001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-0.001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0.931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-0.24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0.035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tabs>
                <w:tab w:val="left" w:pos="220"/>
              </w:tabs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Milrinone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left="223" w:leftChars="90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8.10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0.176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left="196" w:leftChars="89" w:firstLine="25" w:firstLineChars="1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3.30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0.499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left="225" w:leftChars="102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6.71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0.025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0.3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098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-0.23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u w:val="single"/>
                <w:lang w:bidi="ar"/>
              </w:rPr>
              <w:t>0.043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-0.05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0.603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ind w:left="221" w:leftChars="89" w:hanging="25" w:hangingChars="12"/>
              <w:jc w:val="left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0.49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0"/>
                <w:szCs w:val="20"/>
                <w:lang w:bidi="ar"/>
              </w:rPr>
              <w:t>0.714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tabs>
                <w:tab w:val="left" w:pos="220"/>
              </w:tabs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ind w:left="227" w:leftChars="103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spacing w:line="48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>
      <w:pPr>
        <w:widowControl/>
        <w:jc w:val="left"/>
        <w:rPr>
          <w:rFonts w:hint="eastAsia" w:ascii="Times New Roman" w:hAnsi="Times New Roman" w:cs="Times New Roman"/>
          <w:iCs/>
          <w:color w:val="auto"/>
          <w:sz w:val="24"/>
        </w:rPr>
      </w:pPr>
      <w:r>
        <w:rPr>
          <w:rFonts w:ascii="Times New Roman" w:hAnsi="Times New Roman" w:cs="Times New Roman"/>
          <w:i/>
          <w:color w:val="auto"/>
          <w:sz w:val="24"/>
        </w:rPr>
        <w:t>P</w:t>
      </w:r>
      <w:r>
        <w:rPr>
          <w:rFonts w:ascii="Times New Roman" w:hAnsi="Times New Roman" w:cs="Times New Roman"/>
          <w:iCs/>
          <w:color w:val="auto"/>
          <w:sz w:val="24"/>
        </w:rPr>
        <w:t xml:space="preserve"> values &lt;0.05 were underlined.</w:t>
      </w:r>
      <w:r>
        <w:rPr>
          <w:rFonts w:ascii="Times New Roman" w:hAnsi="Times New Roman" w:cs="Times New Roman"/>
          <w:i/>
          <w:color w:val="auto"/>
          <w:sz w:val="24"/>
        </w:rPr>
        <w:t xml:space="preserve"> CCE, </w:t>
      </w:r>
      <w:r>
        <w:rPr>
          <w:rFonts w:ascii="Times New Roman" w:hAnsi="Times New Roman" w:cs="Times New Roman"/>
          <w:iCs/>
          <w:color w:val="auto"/>
          <w:sz w:val="24"/>
        </w:rPr>
        <w:t xml:space="preserve">cardiac cycle efficiency; </w:t>
      </w:r>
      <w:r>
        <w:rPr>
          <w:rFonts w:ascii="Times New Roman" w:hAnsi="Times New Roman" w:cs="Times New Roman"/>
          <w:i/>
          <w:color w:val="auto"/>
          <w:sz w:val="24"/>
        </w:rPr>
        <w:t xml:space="preserve">CI, </w:t>
      </w:r>
      <w:r>
        <w:rPr>
          <w:rFonts w:ascii="Times New Roman" w:hAnsi="Times New Roman" w:cs="Times New Roman"/>
          <w:iCs/>
          <w:color w:val="auto"/>
          <w:sz w:val="24"/>
        </w:rPr>
        <w:t>cardiac index;</w:t>
      </w:r>
      <w:r>
        <w:rPr>
          <w:rFonts w:ascii="Times New Roman" w:hAnsi="Times New Roman" w:cs="Times New Roman"/>
          <w:i/>
          <w:color w:val="auto"/>
          <w:sz w:val="24"/>
        </w:rPr>
        <w:t xml:space="preserve"> </w:t>
      </w:r>
      <w:r>
        <w:rPr>
          <w:rFonts w:hint="eastAsia" w:ascii="Times New Roman" w:hAnsi="Times New Roman" w:cs="Times New Roman"/>
          <w:i/>
          <w:iCs/>
          <w:color w:val="auto"/>
          <w:sz w:val="24"/>
        </w:rPr>
        <w:t>DBP</w:t>
      </w:r>
      <w:r>
        <w:rPr>
          <w:rFonts w:hint="eastAsia" w:ascii="Times New Roman" w:hAnsi="Times New Roman" w:cs="Times New Roman"/>
          <w:color w:val="auto"/>
          <w:sz w:val="24"/>
        </w:rPr>
        <w:t xml:space="preserve">, diastolic blood pressure; </w:t>
      </w:r>
      <w:r>
        <w:rPr>
          <w:rFonts w:hint="eastAsia" w:ascii="Times New Roman" w:hAnsi="Times New Roman" w:cs="Times New Roman"/>
          <w:i/>
          <w:color w:val="auto"/>
          <w:sz w:val="24"/>
        </w:rPr>
        <w:t>DHCA</w:t>
      </w:r>
      <w:r>
        <w:rPr>
          <w:rFonts w:hint="eastAsia" w:ascii="Times New Roman" w:hAnsi="Times New Roman" w:cs="Times New Roman"/>
          <w:color w:val="auto"/>
          <w:sz w:val="24"/>
        </w:rPr>
        <w:t xml:space="preserve">, deep hypothermic circulatory arrest; </w:t>
      </w:r>
      <w:r>
        <w:rPr>
          <w:rFonts w:ascii="Times New Roman" w:hAnsi="Times New Roman" w:cs="Times New Roman"/>
          <w:i/>
          <w:color w:val="auto"/>
          <w:sz w:val="24"/>
        </w:rPr>
        <w:t>dP/dT</w:t>
      </w:r>
      <w:r>
        <w:rPr>
          <w:rFonts w:ascii="Times New Roman" w:hAnsi="Times New Roman" w:cs="Times New Roman"/>
          <w:i/>
          <w:color w:val="auto"/>
          <w:sz w:val="24"/>
          <w:vertAlign w:val="subscript"/>
        </w:rPr>
        <w:t>max</w:t>
      </w:r>
      <w:r>
        <w:rPr>
          <w:rFonts w:ascii="Times New Roman" w:hAnsi="Times New Roman" w:cs="Times New Roman"/>
          <w:iCs/>
          <w:color w:val="auto"/>
          <w:sz w:val="24"/>
        </w:rPr>
        <w:t>, maximal left ventricular pressure rise rate;</w:t>
      </w:r>
      <w:r>
        <w:rPr>
          <w:rFonts w:ascii="Times New Roman" w:hAnsi="Times New Roman" w:cs="Times New Roman"/>
          <w:i/>
          <w:color w:val="auto"/>
          <w:sz w:val="24"/>
        </w:rPr>
        <w:t xml:space="preserve"> NT-proBNP</w:t>
      </w:r>
      <w:r>
        <w:rPr>
          <w:rFonts w:ascii="Times New Roman" w:hAnsi="Times New Roman" w:cs="Times New Roman"/>
          <w:iCs/>
          <w:color w:val="auto"/>
          <w:sz w:val="24"/>
        </w:rPr>
        <w:t>, N-terminal pro-B-type natriuretic peptide;</w:t>
      </w:r>
      <w:r>
        <w:rPr>
          <w:rFonts w:ascii="Times New Roman" w:hAnsi="Times New Roman" w:cs="Times New Roman"/>
          <w:i/>
          <w:color w:val="auto"/>
          <w:sz w:val="24"/>
        </w:rPr>
        <w:t xml:space="preserve"> </w:t>
      </w:r>
      <w:r>
        <w:rPr>
          <w:rFonts w:hint="eastAsia" w:ascii="Times New Roman" w:hAnsi="Times New Roman" w:cs="Times New Roman"/>
          <w:i/>
          <w:iCs/>
          <w:color w:val="auto"/>
          <w:sz w:val="24"/>
        </w:rPr>
        <w:t>SBP</w:t>
      </w:r>
      <w:r>
        <w:rPr>
          <w:rFonts w:hint="eastAsia" w:ascii="Times New Roman" w:hAnsi="Times New Roman" w:cs="Times New Roman"/>
          <w:color w:val="auto"/>
          <w:sz w:val="24"/>
        </w:rPr>
        <w:t xml:space="preserve">, </w:t>
      </w:r>
      <w:r>
        <w:rPr>
          <w:rFonts w:hint="eastAsia" w:ascii="Times New Roman" w:hAnsi="Times New Roman" w:cs="Times New Roman"/>
          <w:iCs/>
          <w:color w:val="auto"/>
          <w:sz w:val="24"/>
        </w:rPr>
        <w:t>systolic blood pressure;</w:t>
      </w:r>
      <w:r>
        <w:rPr>
          <w:rFonts w:hint="eastAsia" w:ascii="Times New Roman" w:hAnsi="Times New Roman" w:cs="Times New Roman"/>
          <w:color w:val="auto"/>
          <w:sz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</w:rPr>
        <w:t>SVRI</w:t>
      </w:r>
      <w:r>
        <w:rPr>
          <w:rFonts w:ascii="Times New Roman" w:hAnsi="Times New Roman" w:cs="Times New Roman"/>
          <w:iCs/>
          <w:color w:val="auto"/>
          <w:sz w:val="24"/>
        </w:rPr>
        <w:t>, systematic vascular resistance ind</w:t>
      </w:r>
      <w:r>
        <w:rPr>
          <w:rFonts w:hint="eastAsia" w:ascii="Times New Roman" w:hAnsi="Times New Roman" w:cs="Times New Roman"/>
          <w:iCs/>
          <w:color w:val="auto"/>
          <w:sz w:val="24"/>
        </w:rPr>
        <w:t>ex</w:t>
      </w:r>
    </w:p>
    <w:sectPr>
      <w:type w:val="continuous"/>
      <w:pgSz w:w="26645" w:h="13039" w:orient="landscape"/>
      <w:pgMar w:top="567" w:right="567" w:bottom="567" w:left="567" w:header="851" w:footer="992" w:gutter="0"/>
      <w:cols w:space="0" w:num="1"/>
      <w:rtlGutter w:val="0"/>
      <w:docGrid w:type="linesAndChars" w:linePitch="330" w:charSpace="2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11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tDQxMjQzNzE0NTVR0lEKTi0uzszPAykwqQUAPaUs7CwAAAA="/>
  </w:docVars>
  <w:rsids>
    <w:rsidRoot w:val="00172A27"/>
    <w:rsid w:val="000A5058"/>
    <w:rsid w:val="000B47B6"/>
    <w:rsid w:val="000C2F57"/>
    <w:rsid w:val="000F3A81"/>
    <w:rsid w:val="00172A27"/>
    <w:rsid w:val="002F10D1"/>
    <w:rsid w:val="002F4F1A"/>
    <w:rsid w:val="00333BB0"/>
    <w:rsid w:val="00340EDF"/>
    <w:rsid w:val="003E7905"/>
    <w:rsid w:val="005432E0"/>
    <w:rsid w:val="005C6A7B"/>
    <w:rsid w:val="005D19B2"/>
    <w:rsid w:val="006B5D80"/>
    <w:rsid w:val="00772BDC"/>
    <w:rsid w:val="007E20F1"/>
    <w:rsid w:val="007E232E"/>
    <w:rsid w:val="00826ADD"/>
    <w:rsid w:val="00A471DF"/>
    <w:rsid w:val="00A84E25"/>
    <w:rsid w:val="00AF052A"/>
    <w:rsid w:val="00B824C6"/>
    <w:rsid w:val="00C15527"/>
    <w:rsid w:val="00D26DF5"/>
    <w:rsid w:val="00D77FA5"/>
    <w:rsid w:val="00E24B2D"/>
    <w:rsid w:val="00ED61E5"/>
    <w:rsid w:val="00F918EC"/>
    <w:rsid w:val="01C16EF0"/>
    <w:rsid w:val="01FD5A3A"/>
    <w:rsid w:val="04474011"/>
    <w:rsid w:val="09AA0B84"/>
    <w:rsid w:val="09B31503"/>
    <w:rsid w:val="0AA16949"/>
    <w:rsid w:val="0C2003DC"/>
    <w:rsid w:val="0C633E73"/>
    <w:rsid w:val="0D2657CF"/>
    <w:rsid w:val="0DD6266B"/>
    <w:rsid w:val="0EBC03EA"/>
    <w:rsid w:val="151F2E4E"/>
    <w:rsid w:val="19C13659"/>
    <w:rsid w:val="23323F8C"/>
    <w:rsid w:val="235A42F0"/>
    <w:rsid w:val="2A5B6987"/>
    <w:rsid w:val="2ADF0EA3"/>
    <w:rsid w:val="2CB8192E"/>
    <w:rsid w:val="2D73390B"/>
    <w:rsid w:val="2E8A6D6D"/>
    <w:rsid w:val="2ECB3F6F"/>
    <w:rsid w:val="2EFE36AD"/>
    <w:rsid w:val="329A0B35"/>
    <w:rsid w:val="346140CE"/>
    <w:rsid w:val="34A11495"/>
    <w:rsid w:val="372228F0"/>
    <w:rsid w:val="380C4471"/>
    <w:rsid w:val="3B7041FE"/>
    <w:rsid w:val="3FEB25BD"/>
    <w:rsid w:val="40DD5253"/>
    <w:rsid w:val="411E299F"/>
    <w:rsid w:val="4143603F"/>
    <w:rsid w:val="429D1678"/>
    <w:rsid w:val="42EF3DF0"/>
    <w:rsid w:val="45D6358A"/>
    <w:rsid w:val="45F17B26"/>
    <w:rsid w:val="46773512"/>
    <w:rsid w:val="48B4114C"/>
    <w:rsid w:val="4A6F5A5B"/>
    <w:rsid w:val="4B076BEA"/>
    <w:rsid w:val="4D2D2179"/>
    <w:rsid w:val="503A4CC6"/>
    <w:rsid w:val="506C245F"/>
    <w:rsid w:val="50F254F1"/>
    <w:rsid w:val="529A407B"/>
    <w:rsid w:val="53334159"/>
    <w:rsid w:val="55FF5A7E"/>
    <w:rsid w:val="57567519"/>
    <w:rsid w:val="59A16126"/>
    <w:rsid w:val="5A483A11"/>
    <w:rsid w:val="5D6823A7"/>
    <w:rsid w:val="5FAF7D20"/>
    <w:rsid w:val="63577D87"/>
    <w:rsid w:val="68EF5549"/>
    <w:rsid w:val="69380E2A"/>
    <w:rsid w:val="69854AA0"/>
    <w:rsid w:val="71325544"/>
    <w:rsid w:val="72D80B75"/>
    <w:rsid w:val="75B26F93"/>
    <w:rsid w:val="776B2E1B"/>
    <w:rsid w:val="7E1D5825"/>
    <w:rsid w:val="7ED940D6"/>
    <w:rsid w:val="7F6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annotation reference"/>
    <w:basedOn w:val="6"/>
    <w:qFormat/>
    <w:uiPriority w:val="0"/>
    <w:rPr>
      <w:sz w:val="21"/>
      <w:szCs w:val="21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0">
    <w:name w:val="网格型1"/>
    <w:basedOn w:val="8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框文本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页眉 字符"/>
    <w:basedOn w:val="6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字符"/>
    <w:basedOn w:val="6"/>
    <w:link w:val="2"/>
    <w:qFormat/>
    <w:uiPriority w:val="0"/>
    <w:rPr>
      <w:kern w:val="2"/>
      <w:sz w:val="21"/>
      <w:szCs w:val="24"/>
    </w:rPr>
  </w:style>
  <w:style w:type="paragraph" w:styleId="15">
    <w:name w:val="No Spacing"/>
    <w:qFormat/>
    <w:uiPriority w:val="1"/>
    <w:rPr>
      <w:rFonts w:ascii="Times New Roman" w:hAnsi="Times New Roman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16FC0-3834-4FC1-B3A9-B26E37B01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Kingsoft</Company>
  <Pages>5</Pages>
  <Words>1102</Words>
  <Characters>6285</Characters>
  <Lines>52</Lines>
  <Paragraphs>14</Paragraphs>
  <TotalTime>2</TotalTime>
  <ScaleCrop>false</ScaleCrop>
  <LinksUpToDate>false</LinksUpToDate>
  <CharactersWithSpaces>7373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2021-06-10T14:02:17Z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