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EE" w:rsidRPr="00AE430C" w:rsidRDefault="003E52EE" w:rsidP="003E52EE">
      <w:pPr>
        <w:adjustRightInd w:val="0"/>
        <w:spacing w:line="480" w:lineRule="auto"/>
        <w:rPr>
          <w:rFonts w:ascii="Arial" w:eastAsia="STIX-Regular" w:hAnsi="Arial" w:cs="Arial"/>
          <w:b/>
          <w:bCs/>
          <w:sz w:val="24"/>
          <w:szCs w:val="24"/>
        </w:rPr>
      </w:pPr>
      <w:bookmarkStart w:id="0" w:name="_GoBack"/>
      <w:bookmarkEnd w:id="0"/>
      <w:r w:rsidRPr="00AE430C">
        <w:rPr>
          <w:rFonts w:ascii="Arial" w:eastAsia="STIX-Regular" w:hAnsi="Arial" w:cs="Arial"/>
          <w:b/>
          <w:bCs/>
          <w:sz w:val="24"/>
          <w:szCs w:val="24"/>
        </w:rPr>
        <w:t>Table s1: Treatment related Adverse Events(TRAEs) by System Organ Class</w:t>
      </w:r>
    </w:p>
    <w:p w:rsidR="00C72F3B" w:rsidRPr="003E52EE" w:rsidRDefault="00C72F3B" w:rsidP="00485BEE"/>
    <w:p w:rsidR="00485BEE" w:rsidRDefault="00485BEE" w:rsidP="00485BEE"/>
    <w:tbl>
      <w:tblPr>
        <w:tblW w:w="3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2337"/>
        <w:gridCol w:w="1984"/>
      </w:tblGrid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TRAEs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Any grade</w:t>
            </w: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, n (%)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Grade 3-5, n (%)</w:t>
            </w: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Patients with at least one TRAE</w:t>
            </w:r>
          </w:p>
        </w:tc>
        <w:tc>
          <w:tcPr>
            <w:tcW w:w="140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28 (90.3)</w:t>
            </w: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6 (19.4)</w:t>
            </w: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Investigations</w:t>
            </w:r>
          </w:p>
        </w:tc>
        <w:tc>
          <w:tcPr>
            <w:tcW w:w="1403" w:type="pct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24 (77.4)</w:t>
            </w:r>
          </w:p>
        </w:tc>
        <w:tc>
          <w:tcPr>
            <w:tcW w:w="119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Aspartate aminotransferase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12 (38.7)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Alanine aminotransferase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11 (35.5)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Bilirubin conjugated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7 (22.6)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bilirubin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7 (22.6)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Platelet count decreased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7 (22.6)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pressure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4 (12.9)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lactate dehydrogenase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thyroid stimulating hormone decreased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thyroid stimulating hormone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Gamma-glutamyltransferase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Total bile acids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White blood cell count decreased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C-reactive protein increased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Electrocardiogram QT prolonged</w:t>
            </w:r>
          </w:p>
        </w:tc>
        <w:tc>
          <w:tcPr>
            <w:tcW w:w="1403" w:type="pct"/>
            <w:shd w:val="clear" w:color="000000" w:fill="FFFFFF"/>
            <w:noWrap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Lipids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Protein urine present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alkaline phosphatase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calcium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creatinine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phosphorus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Blood urea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lastRenderedPageBreak/>
              <w:t>Blood urine present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Electrocardiogram T wave abnormal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Electrocardiogram T wave amplitude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Eosinophil count abnormal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Eosinophil percentage abnormal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Haemoglobin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Neutrophil count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Plateletcrit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Prothrombin time prolonged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Thyroglobulin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Thyroxine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Thyroxine free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Thyroxine free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Thyroxine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Tri-iodothyronine free decreased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Tri-iodothyronine free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Tri-iodothyronine uptake increased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Weight decreased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Gastrointestinal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11 (35.5)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Abdominal distension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Diarrhoea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Gastrointestinal hypomotility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Abdominal pain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Abdominal pain lower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Dyspepsia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Nausea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Stomatitis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lastRenderedPageBreak/>
              <w:t>Skin and subcutaneous tissue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11 (35.5)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Rash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5 (16.1)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</w:t>
            </w: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3.2</w:t>
            </w: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Palmar-plantar erythrodysaesthesia syndrome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Pruritus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Alopecia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Eczema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Rash generalised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1</w:t>
            </w: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rial" w:eastAsia="等线" w:hAnsi="Arial" w:cs="Arial"/>
                <w:color w:val="000000"/>
                <w:sz w:val="18"/>
                <w:szCs w:val="18"/>
              </w:rPr>
              <w:t>3.2</w:t>
            </w: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General disorders and administration site conditions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10 (32.3)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Asthenia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7 (22.6)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Oedema peripheral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Pyrexia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Chest pain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Face oedema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Peripheral swelling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Respiratory, thoracic and mediastinal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7 (22.6)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Dysphonia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4 (12.9)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Cough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Laryngeal discomfort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Pneumonitis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Endocrine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5 (16.1)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Hypothyroidism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4 (12.9)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Hyperthyroidism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Nervous system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4 (12.9)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Headache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Dizziness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Somnolence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lastRenderedPageBreak/>
              <w:t>Cardiac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Atrial fibrillation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Atrial flutter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Sinus tachycardia</w:t>
            </w:r>
          </w:p>
        </w:tc>
        <w:tc>
          <w:tcPr>
            <w:tcW w:w="1403" w:type="pct"/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Supraventricular extrasystoles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Vascular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3 (9.7)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(6.5)</w:t>
            </w: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Metabolism and nutrition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2 (6.5)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Decreased appetite</w:t>
            </w:r>
          </w:p>
        </w:tc>
        <w:tc>
          <w:tcPr>
            <w:tcW w:w="1403" w:type="pct"/>
            <w:tcBorders>
              <w:top w:val="nil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Hypoproteinaemia</w:t>
            </w:r>
          </w:p>
        </w:tc>
        <w:tc>
          <w:tcPr>
            <w:tcW w:w="14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Ear and labyrinth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Tinnitus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Eye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Vision blurred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Injury, poisoning and procedural complications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Hepatic rupture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AF691C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Musculoskeletal and connective tissue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Arthralgia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  <w:tr w:rsidR="00485BEE" w:rsidRPr="00485BEE" w:rsidTr="004A7755">
        <w:trPr>
          <w:trHeight w:val="340"/>
          <w:jc w:val="center"/>
        </w:trPr>
        <w:tc>
          <w:tcPr>
            <w:tcW w:w="240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Reproductive system and breast disorders</w:t>
            </w:r>
          </w:p>
        </w:tc>
        <w:tc>
          <w:tcPr>
            <w:tcW w:w="1403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85BEE" w:rsidRPr="00485BEE" w:rsidTr="00AF691C">
        <w:trPr>
          <w:trHeight w:val="340"/>
          <w:jc w:val="center"/>
        </w:trPr>
        <w:tc>
          <w:tcPr>
            <w:tcW w:w="2406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Menstrual disorder</w:t>
            </w:r>
          </w:p>
        </w:tc>
        <w:tc>
          <w:tcPr>
            <w:tcW w:w="1403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  <w:r w:rsidRPr="00485BEE">
              <w:rPr>
                <w:rFonts w:ascii="Arial" w:eastAsia="等线" w:hAnsi="Arial" w:cs="Arial"/>
                <w:color w:val="000000"/>
                <w:sz w:val="18"/>
                <w:szCs w:val="18"/>
              </w:rPr>
              <w:t>1 (3.2)</w:t>
            </w:r>
          </w:p>
        </w:tc>
        <w:tc>
          <w:tcPr>
            <w:tcW w:w="1191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485BEE" w:rsidRPr="00485BEE" w:rsidRDefault="00485BEE" w:rsidP="00AF691C">
            <w:pPr>
              <w:autoSpaceDE/>
              <w:autoSpaceDN/>
              <w:jc w:val="center"/>
              <w:rPr>
                <w:rFonts w:ascii="Arial" w:eastAsia="等线" w:hAnsi="Arial" w:cs="Arial"/>
                <w:color w:val="000000"/>
                <w:sz w:val="18"/>
                <w:szCs w:val="18"/>
              </w:rPr>
            </w:pPr>
          </w:p>
        </w:tc>
      </w:tr>
    </w:tbl>
    <w:p w:rsidR="00485BEE" w:rsidRPr="00485BEE" w:rsidRDefault="00485BEE" w:rsidP="00485BEE"/>
    <w:sectPr w:rsidR="00485BEE" w:rsidRPr="00485BEE">
      <w:headerReference w:type="default" r:id="rId6"/>
      <w:pgSz w:w="15840" w:h="12240" w:orient="landscape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4A" w:rsidRDefault="001F314A">
      <w:r>
        <w:separator/>
      </w:r>
    </w:p>
  </w:endnote>
  <w:endnote w:type="continuationSeparator" w:id="0">
    <w:p w:rsidR="001F314A" w:rsidRDefault="001F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-Regular">
    <w:altName w:val="宋体"/>
    <w:charset w:val="86"/>
    <w:family w:val="roma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4A" w:rsidRDefault="001F314A">
      <w:r>
        <w:separator/>
      </w:r>
    </w:p>
  </w:footnote>
  <w:footnote w:type="continuationSeparator" w:id="0">
    <w:p w:rsidR="001F314A" w:rsidRDefault="001F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F3B" w:rsidRDefault="00C72F3B">
    <w:r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EE"/>
    <w:rsid w:val="000444EA"/>
    <w:rsid w:val="001F314A"/>
    <w:rsid w:val="003E52EE"/>
    <w:rsid w:val="00485BEE"/>
    <w:rsid w:val="004A7755"/>
    <w:rsid w:val="00AE430C"/>
    <w:rsid w:val="00AF691C"/>
    <w:rsid w:val="00C7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12FE0A9F-1616-41CC-91CE-6A56ED75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kern w:val="0"/>
      <w:sz w:val="20"/>
      <w:szCs w:val="20"/>
    </w:rPr>
  </w:style>
  <w:style w:type="paragraph" w:styleId="1">
    <w:name w:val="heading 1"/>
    <w:basedOn w:val="a"/>
    <w:next w:val="a"/>
    <w:link w:val="1Char"/>
    <w:uiPriority w:val="99"/>
    <w:qFormat/>
    <w:pPr>
      <w:widowControl w:val="0"/>
      <w:adjustRightInd w:val="0"/>
      <w:outlineLvl w:val="0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5B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locked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4">
    <w:name w:val="footer"/>
    <w:basedOn w:val="a"/>
    <w:link w:val="Char0"/>
    <w:uiPriority w:val="99"/>
    <w:unhideWhenUsed/>
    <w:rsid w:val="00485B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485BEE"/>
    <w:rPr>
      <w:rFonts w:ascii="Times New Roman" w:hAnsi="Times New Roman" w:cs="Times New Roman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85BEE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9.4 SAS System Output</dc:title>
  <dc:subject/>
  <dc:creator>SAS Version 9.4</dc:creator>
  <cp:keywords/>
  <dc:description/>
  <cp:lastModifiedBy>王欢</cp:lastModifiedBy>
  <cp:revision>2</cp:revision>
  <dcterms:created xsi:type="dcterms:W3CDTF">2021-07-05T06:55:00Z</dcterms:created>
  <dcterms:modified xsi:type="dcterms:W3CDTF">2021-07-05T06:55:00Z</dcterms:modified>
</cp:coreProperties>
</file>