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D968" w14:textId="77777777" w:rsidR="002D65C2" w:rsidRPr="00CF7DD5" w:rsidRDefault="002D65C2" w:rsidP="002D65C2">
      <w:pPr>
        <w:spacing w:line="360" w:lineRule="auto"/>
        <w:ind w:left="0" w:firstLine="720"/>
        <w:rPr>
          <w:rFonts w:ascii="Arial" w:hAnsi="Arial" w:cs="Arial"/>
          <w:sz w:val="20"/>
          <w:szCs w:val="20"/>
        </w:rPr>
      </w:pPr>
    </w:p>
    <w:p w14:paraId="57CD1F20" w14:textId="0AD4E363" w:rsidR="002D65C2" w:rsidRPr="00CF7DD5" w:rsidRDefault="002D65C2" w:rsidP="002D65C2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F7DD5">
        <w:rPr>
          <w:rFonts w:ascii="Arial" w:hAnsi="Arial" w:cs="Arial"/>
          <w:b/>
          <w:bCs/>
          <w:sz w:val="20"/>
          <w:szCs w:val="20"/>
          <w:lang w:val="en-US"/>
        </w:rPr>
        <w:t>Conjugation of microspheres</w:t>
      </w:r>
    </w:p>
    <w:p w14:paraId="24240D55" w14:textId="77777777" w:rsidR="009E2867" w:rsidRPr="00CF7DD5" w:rsidRDefault="009E2867" w:rsidP="002D65C2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2FFCC4" w14:textId="1BC7DB2D" w:rsidR="002D65C2" w:rsidRPr="00CF7DD5" w:rsidRDefault="002D65C2" w:rsidP="009E2867">
      <w:pPr>
        <w:spacing w:line="36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CF7DD5">
        <w:rPr>
          <w:rFonts w:ascii="Arial" w:hAnsi="Arial" w:cs="Arial"/>
          <w:sz w:val="20"/>
          <w:szCs w:val="20"/>
          <w:lang w:val="en-US"/>
        </w:rPr>
        <w:t>SARS-CoV-2 proteins S1, RBD, and N</w:t>
      </w:r>
      <w:r w:rsidR="00B47CEC" w:rsidRPr="00CF7DD5">
        <w:rPr>
          <w:rFonts w:ascii="Arial" w:hAnsi="Arial" w:cs="Arial"/>
          <w:sz w:val="20"/>
          <w:szCs w:val="20"/>
          <w:lang w:val="en-US"/>
        </w:rPr>
        <w:t xml:space="preserve"> (</w:t>
      </w:r>
      <w:r w:rsidR="00B47CEC" w:rsidRPr="00CF7DD5">
        <w:rPr>
          <w:rFonts w:ascii="Arial" w:hAnsi="Arial" w:cs="Arial"/>
          <w:sz w:val="20"/>
          <w:szCs w:val="20"/>
        </w:rPr>
        <w:t>all from Trenzyme, Konstanz, Germany)</w:t>
      </w:r>
      <w:r w:rsidRPr="00CF7DD5">
        <w:rPr>
          <w:rFonts w:ascii="Arial" w:hAnsi="Arial" w:cs="Arial"/>
          <w:sz w:val="20"/>
          <w:szCs w:val="20"/>
          <w:lang w:val="en-US"/>
        </w:rPr>
        <w:t>, were conjugated to MagPlex</w:t>
      </w:r>
      <w:r w:rsidRPr="00CF7DD5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Microspheres (Luminex</w:t>
      </w:r>
      <w:r w:rsidR="00B47CEC" w:rsidRPr="00CF7DD5">
        <w:rPr>
          <w:rFonts w:ascii="Arial" w:hAnsi="Arial" w:cs="Arial"/>
          <w:sz w:val="20"/>
          <w:szCs w:val="20"/>
          <w:lang w:val="en-US"/>
        </w:rPr>
        <w:t xml:space="preserve"> Corporation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, </w:t>
      </w:r>
      <w:r w:rsidR="00B47CEC" w:rsidRPr="00CF7DD5">
        <w:rPr>
          <w:rFonts w:ascii="Arial" w:hAnsi="Arial" w:cs="Arial"/>
          <w:sz w:val="20"/>
          <w:szCs w:val="20"/>
          <w:lang w:val="en-US"/>
        </w:rPr>
        <w:t xml:space="preserve">Austin, Texas, </w:t>
      </w:r>
      <w:r w:rsidRPr="00CF7DD5">
        <w:rPr>
          <w:rFonts w:ascii="Arial" w:hAnsi="Arial" w:cs="Arial"/>
          <w:sz w:val="20"/>
          <w:szCs w:val="20"/>
          <w:lang w:val="en-US"/>
        </w:rPr>
        <w:t>USA) at a ratio of 3µg protein / 1*10</w:t>
      </w:r>
      <w:r w:rsidRPr="00CF7DD5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microspheres. </w:t>
      </w:r>
      <w:r w:rsidR="00B47CEC" w:rsidRPr="00CF7DD5">
        <w:rPr>
          <w:rFonts w:ascii="Arial" w:hAnsi="Arial" w:cs="Arial"/>
          <w:sz w:val="20"/>
          <w:szCs w:val="20"/>
          <w:lang w:val="en-US"/>
        </w:rPr>
        <w:t>M</w:t>
      </w:r>
      <w:r w:rsidRPr="00CF7DD5">
        <w:rPr>
          <w:rFonts w:ascii="Arial" w:hAnsi="Arial" w:cs="Arial"/>
          <w:sz w:val="20"/>
          <w:szCs w:val="20"/>
          <w:lang w:val="en-US"/>
        </w:rPr>
        <w:t>icrospheres were washed</w:t>
      </w:r>
      <w:r w:rsidR="009E2867" w:rsidRPr="00CF7DD5">
        <w:rPr>
          <w:rFonts w:ascii="Arial" w:hAnsi="Arial" w:cs="Arial"/>
          <w:sz w:val="20"/>
          <w:szCs w:val="20"/>
          <w:lang w:val="en-US"/>
        </w:rPr>
        <w:t xml:space="preserve"> using a magnet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(vortex and sonication was included with each wash) twice with an activation buffer (100mM NaH</w:t>
      </w:r>
      <w:r w:rsidRPr="00CF7DD5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CF7DD5">
        <w:rPr>
          <w:rFonts w:ascii="Arial" w:hAnsi="Arial" w:cs="Arial"/>
          <w:sz w:val="20"/>
          <w:szCs w:val="20"/>
          <w:lang w:val="en-US"/>
        </w:rPr>
        <w:t>PO</w:t>
      </w:r>
      <w:r w:rsidRPr="00CF7DD5">
        <w:rPr>
          <w:rFonts w:ascii="Arial" w:hAnsi="Arial" w:cs="Arial"/>
          <w:sz w:val="20"/>
          <w:szCs w:val="20"/>
          <w:vertAlign w:val="subscript"/>
          <w:lang w:val="en-US"/>
        </w:rPr>
        <w:t xml:space="preserve">4 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in water, pH 6.0). </w:t>
      </w:r>
      <w:r w:rsidR="009E2867" w:rsidRPr="00CF7DD5">
        <w:rPr>
          <w:rFonts w:ascii="Arial" w:hAnsi="Arial" w:cs="Arial"/>
          <w:sz w:val="20"/>
          <w:szCs w:val="20"/>
          <w:lang w:val="en-US"/>
        </w:rPr>
        <w:t>Microspheres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were resuspended in activation buffer, Sulfo-NHS (50mg/ml) and EDC (40mg/ml) were added to the </w:t>
      </w:r>
      <w:r w:rsidR="009E2867" w:rsidRPr="00CF7DD5">
        <w:rPr>
          <w:rFonts w:ascii="Arial" w:hAnsi="Arial" w:cs="Arial"/>
          <w:sz w:val="20"/>
          <w:szCs w:val="20"/>
          <w:lang w:val="en-US"/>
        </w:rPr>
        <w:t>microspheres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and incubated in dark on a rotator for 20 min. </w:t>
      </w:r>
      <w:r w:rsidR="009E2867" w:rsidRPr="00CF7DD5">
        <w:rPr>
          <w:rFonts w:ascii="Arial" w:hAnsi="Arial" w:cs="Arial"/>
          <w:sz w:val="20"/>
          <w:szCs w:val="20"/>
          <w:lang w:val="en-US"/>
        </w:rPr>
        <w:t>Microspheres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were washed three times with coupling buffer (50mM MES, pH 5.0). </w:t>
      </w:r>
      <w:r w:rsidR="009E2867" w:rsidRPr="00CF7DD5">
        <w:rPr>
          <w:rFonts w:ascii="Arial" w:hAnsi="Arial" w:cs="Arial"/>
          <w:sz w:val="20"/>
          <w:szCs w:val="20"/>
          <w:lang w:val="en-US"/>
        </w:rPr>
        <w:t>Microspheres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were resuspended in coupling buffer, protein added and incubated on rotor for two hours. </w:t>
      </w:r>
      <w:r w:rsidR="009E2867" w:rsidRPr="00CF7DD5">
        <w:rPr>
          <w:rFonts w:ascii="Arial" w:hAnsi="Arial" w:cs="Arial"/>
          <w:sz w:val="20"/>
          <w:szCs w:val="20"/>
          <w:lang w:val="en-US"/>
        </w:rPr>
        <w:t>Microspheres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were washed three times </w:t>
      </w:r>
      <w:r w:rsidR="009E2867" w:rsidRPr="00CF7DD5">
        <w:rPr>
          <w:rFonts w:ascii="Arial" w:hAnsi="Arial" w:cs="Arial"/>
          <w:sz w:val="20"/>
          <w:szCs w:val="20"/>
          <w:lang w:val="en-US"/>
        </w:rPr>
        <w:t xml:space="preserve">and resuspended 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with blocking buffer (PBS, 1% </w:t>
      </w:r>
      <w:r w:rsidR="00951E7E" w:rsidRPr="00CF7DD5">
        <w:rPr>
          <w:rFonts w:ascii="Arial" w:hAnsi="Arial" w:cs="Arial"/>
          <w:sz w:val="20"/>
          <w:szCs w:val="20"/>
          <w:lang w:val="en-US"/>
        </w:rPr>
        <w:t>newborn bovine serum (</w:t>
      </w:r>
      <w:r w:rsidRPr="00CF7DD5">
        <w:rPr>
          <w:rFonts w:ascii="Arial" w:hAnsi="Arial" w:cs="Arial"/>
          <w:sz w:val="20"/>
          <w:szCs w:val="20"/>
          <w:lang w:val="en-US"/>
        </w:rPr>
        <w:t>NBBS</w:t>
      </w:r>
      <w:r w:rsidR="00951E7E" w:rsidRPr="00CF7DD5">
        <w:rPr>
          <w:rFonts w:ascii="Arial" w:hAnsi="Arial" w:cs="Arial"/>
          <w:sz w:val="20"/>
          <w:szCs w:val="20"/>
          <w:lang w:val="en-US"/>
        </w:rPr>
        <w:t>)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, 0.08% Azide, sterile), and stored in dark and 4°C until use. </w:t>
      </w:r>
    </w:p>
    <w:p w14:paraId="1300EBDC" w14:textId="77777777" w:rsidR="002D65C2" w:rsidRPr="00CF7DD5" w:rsidRDefault="002D65C2" w:rsidP="002D65C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56505C1" w14:textId="16202A7B" w:rsidR="002D65C2" w:rsidRPr="00CF7DD5" w:rsidRDefault="002D65C2" w:rsidP="002D65C2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F7DD5">
        <w:rPr>
          <w:rFonts w:ascii="Arial" w:hAnsi="Arial" w:cs="Arial"/>
          <w:b/>
          <w:bCs/>
          <w:sz w:val="20"/>
          <w:szCs w:val="20"/>
          <w:lang w:val="en-US"/>
        </w:rPr>
        <w:t>Assay</w:t>
      </w:r>
    </w:p>
    <w:p w14:paraId="6B0A77CA" w14:textId="77777777" w:rsidR="009E2867" w:rsidRPr="00CF7DD5" w:rsidRDefault="009E2867" w:rsidP="002D65C2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F9A84BF" w14:textId="5A6F375B" w:rsidR="002D65C2" w:rsidRPr="00CF7DD5" w:rsidRDefault="002D65C2" w:rsidP="009E2867">
      <w:pPr>
        <w:spacing w:line="360" w:lineRule="auto"/>
        <w:ind w:firstLine="0"/>
        <w:rPr>
          <w:rFonts w:ascii="Arial" w:hAnsi="Arial" w:cs="Arial"/>
          <w:b/>
          <w:bCs/>
          <w:sz w:val="20"/>
          <w:szCs w:val="20"/>
          <w:lang w:val="en-US"/>
        </w:rPr>
      </w:pPr>
      <w:r w:rsidRPr="00CF7DD5">
        <w:rPr>
          <w:rFonts w:ascii="Arial" w:hAnsi="Arial" w:cs="Arial"/>
          <w:sz w:val="20"/>
          <w:szCs w:val="20"/>
          <w:lang w:val="en-US"/>
        </w:rPr>
        <w:t xml:space="preserve">Briefly, 2500 </w:t>
      </w:r>
      <w:r w:rsidR="009E2867" w:rsidRPr="00CF7DD5">
        <w:rPr>
          <w:rFonts w:ascii="Arial" w:hAnsi="Arial" w:cs="Arial"/>
          <w:sz w:val="20"/>
          <w:szCs w:val="20"/>
          <w:lang w:val="en-US"/>
        </w:rPr>
        <w:t>microspheres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for each protein </w:t>
      </w:r>
      <w:r w:rsidRPr="00CF7DD5">
        <w:rPr>
          <w:rFonts w:ascii="Arial" w:hAnsi="Arial" w:cs="Arial"/>
          <w:sz w:val="20"/>
          <w:szCs w:val="20"/>
          <w:lang w:val="en-US"/>
        </w:rPr>
        <w:t>were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added to each well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in 3x96 well plates (one for each isotype) 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and washed 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in a Bio-Plex Pro (Bio-Rad, </w:t>
      </w:r>
      <w:r w:rsidR="00B47CEC" w:rsidRPr="00CF7DD5">
        <w:rPr>
          <w:rFonts w:ascii="Arial" w:hAnsi="Arial" w:cs="Arial"/>
          <w:sz w:val="20"/>
          <w:szCs w:val="20"/>
          <w:lang w:val="en-US"/>
        </w:rPr>
        <w:t xml:space="preserve">Hercules, California, </w:t>
      </w:r>
      <w:r w:rsidR="00951E7E" w:rsidRPr="00CF7DD5">
        <w:rPr>
          <w:rFonts w:ascii="Arial" w:hAnsi="Arial" w:cs="Arial"/>
          <w:sz w:val="20"/>
          <w:szCs w:val="20"/>
          <w:lang w:val="en-US"/>
        </w:rPr>
        <w:t>USA) wash station.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</w:t>
      </w:r>
      <w:r w:rsidR="00951E7E" w:rsidRPr="00CF7DD5">
        <w:rPr>
          <w:rFonts w:ascii="Arial" w:hAnsi="Arial" w:cs="Arial"/>
          <w:sz w:val="20"/>
          <w:szCs w:val="20"/>
          <w:lang w:val="en-US"/>
        </w:rPr>
        <w:t>S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erum 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samples, both the serum pool and patient samples, were diluted </w:t>
      </w:r>
      <w:r w:rsidRPr="00CF7DD5">
        <w:rPr>
          <w:rFonts w:ascii="Arial" w:hAnsi="Arial" w:cs="Arial"/>
          <w:sz w:val="20"/>
          <w:szCs w:val="20"/>
          <w:lang w:val="en-US"/>
        </w:rPr>
        <w:t>1/100 with PBS with 2% NBBS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and incubated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with 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the </w:t>
      </w:r>
      <w:r w:rsidR="00856C58" w:rsidRPr="00CF7DD5">
        <w:rPr>
          <w:rFonts w:ascii="Arial" w:hAnsi="Arial" w:cs="Arial"/>
          <w:sz w:val="20"/>
          <w:szCs w:val="20"/>
          <w:lang w:val="en-US"/>
        </w:rPr>
        <w:t>microspheres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for 30 min/RT/shaking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in the dark. Plates are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washed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and secondary antibodies are added in a 1/100 dilution (diluted in PBS</w:t>
      </w:r>
      <w:r w:rsidR="00634AD5" w:rsidRPr="00CF7DD5">
        <w:rPr>
          <w:rFonts w:ascii="Arial" w:hAnsi="Arial" w:cs="Arial"/>
          <w:sz w:val="20"/>
          <w:szCs w:val="20"/>
          <w:lang w:val="en-US"/>
        </w:rPr>
        <w:t>-T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with 2% NBBS), then</w:t>
      </w:r>
      <w:r w:rsidRPr="00CF7DD5">
        <w:rPr>
          <w:rFonts w:ascii="Arial" w:hAnsi="Arial" w:cs="Arial"/>
          <w:sz w:val="20"/>
          <w:szCs w:val="20"/>
          <w:lang w:val="en-US"/>
        </w:rPr>
        <w:t xml:space="preserve"> incubated for 30 min/RT/shaking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in the dark (</w:t>
      </w:r>
      <w:r w:rsidR="00B47CEC" w:rsidRPr="00CF7DD5">
        <w:rPr>
          <w:rFonts w:ascii="Arial" w:hAnsi="Arial" w:cs="Arial"/>
          <w:sz w:val="20"/>
          <w:szCs w:val="20"/>
          <w:lang w:val="en-US"/>
        </w:rPr>
        <w:t>anti-</w:t>
      </w:r>
      <w:r w:rsidR="00951E7E" w:rsidRPr="00CF7DD5">
        <w:rPr>
          <w:rFonts w:ascii="Arial" w:hAnsi="Arial" w:cs="Arial"/>
          <w:sz w:val="20"/>
          <w:szCs w:val="20"/>
          <w:lang w:val="en-US"/>
        </w:rPr>
        <w:t>IgA</w:t>
      </w:r>
      <w:r w:rsidR="00634AD5" w:rsidRPr="00CF7DD5">
        <w:rPr>
          <w:rFonts w:ascii="Arial" w:hAnsi="Arial" w:cs="Arial"/>
          <w:sz w:val="20"/>
          <w:szCs w:val="20"/>
          <w:lang w:val="en-US"/>
        </w:rPr>
        <w:t>-PE</w:t>
      </w:r>
      <w:r w:rsidR="00951E7E" w:rsidRPr="00CF7DD5">
        <w:rPr>
          <w:rFonts w:ascii="Arial" w:hAnsi="Arial" w:cs="Arial"/>
          <w:sz w:val="20"/>
          <w:szCs w:val="20"/>
          <w:lang w:val="en-US"/>
        </w:rPr>
        <w:t xml:space="preserve"> is from Southern Biotech,</w:t>
      </w:r>
      <w:r w:rsidR="00951E7E" w:rsidRPr="00CF7DD5">
        <w:rPr>
          <w:rFonts w:ascii="Arial" w:hAnsi="Arial" w:cs="Arial"/>
          <w:sz w:val="20"/>
          <w:szCs w:val="20"/>
        </w:rPr>
        <w:t xml:space="preserve"> Birmingham, Alabama</w:t>
      </w:r>
      <w:r w:rsidR="00634AD5" w:rsidRPr="00CF7DD5">
        <w:rPr>
          <w:rFonts w:ascii="Arial" w:hAnsi="Arial" w:cs="Arial"/>
          <w:sz w:val="20"/>
          <w:szCs w:val="20"/>
        </w:rPr>
        <w:t xml:space="preserve">, </w:t>
      </w:r>
      <w:r w:rsidR="00B47CEC" w:rsidRPr="00CF7DD5">
        <w:rPr>
          <w:rFonts w:ascii="Arial" w:hAnsi="Arial" w:cs="Arial"/>
          <w:sz w:val="20"/>
          <w:szCs w:val="20"/>
          <w:lang w:val="en-US"/>
        </w:rPr>
        <w:t>anti-</w:t>
      </w:r>
      <w:r w:rsidR="00951E7E" w:rsidRPr="00CF7DD5">
        <w:rPr>
          <w:rFonts w:ascii="Arial" w:hAnsi="Arial" w:cs="Arial"/>
          <w:sz w:val="20"/>
          <w:szCs w:val="20"/>
        </w:rPr>
        <w:t>IgG</w:t>
      </w:r>
      <w:r w:rsidR="00634AD5" w:rsidRPr="00CF7DD5">
        <w:rPr>
          <w:rFonts w:ascii="Arial" w:hAnsi="Arial" w:cs="Arial"/>
          <w:sz w:val="20"/>
          <w:szCs w:val="20"/>
        </w:rPr>
        <w:t>-PE</w:t>
      </w:r>
      <w:r w:rsidR="00951E7E" w:rsidRPr="00CF7DD5">
        <w:rPr>
          <w:rFonts w:ascii="Arial" w:hAnsi="Arial" w:cs="Arial"/>
          <w:sz w:val="20"/>
          <w:szCs w:val="20"/>
        </w:rPr>
        <w:t xml:space="preserve"> </w:t>
      </w:r>
      <w:r w:rsidR="00634AD5" w:rsidRPr="00CF7DD5">
        <w:rPr>
          <w:rFonts w:ascii="Arial" w:hAnsi="Arial" w:cs="Arial"/>
          <w:sz w:val="20"/>
          <w:szCs w:val="20"/>
        </w:rPr>
        <w:t xml:space="preserve">and </w:t>
      </w:r>
      <w:r w:rsidR="00B47CEC" w:rsidRPr="00CF7DD5">
        <w:rPr>
          <w:rFonts w:ascii="Arial" w:hAnsi="Arial" w:cs="Arial"/>
          <w:sz w:val="20"/>
          <w:szCs w:val="20"/>
          <w:lang w:val="en-US"/>
        </w:rPr>
        <w:t>anti-IgM</w:t>
      </w:r>
      <w:r w:rsidR="00634AD5" w:rsidRPr="00CF7DD5">
        <w:rPr>
          <w:rFonts w:ascii="Arial" w:hAnsi="Arial" w:cs="Arial"/>
          <w:sz w:val="20"/>
          <w:szCs w:val="20"/>
          <w:lang w:val="en-US"/>
        </w:rPr>
        <w:t>-PE</w:t>
      </w:r>
      <w:r w:rsidR="00B47CEC" w:rsidRPr="00CF7DD5">
        <w:rPr>
          <w:rFonts w:ascii="Arial" w:hAnsi="Arial" w:cs="Arial"/>
          <w:sz w:val="20"/>
          <w:szCs w:val="20"/>
          <w:lang w:val="en-US"/>
        </w:rPr>
        <w:t xml:space="preserve"> from </w:t>
      </w:r>
      <w:r w:rsidR="00B47CEC" w:rsidRPr="00CF7DD5">
        <w:rPr>
          <w:rFonts w:ascii="Arial" w:hAnsi="Arial" w:cs="Arial"/>
          <w:sz w:val="20"/>
          <w:szCs w:val="20"/>
        </w:rPr>
        <w:t>Jackson ImmunoResearch, West Grove, Pennsylvania, USA)</w:t>
      </w:r>
      <w:r w:rsidR="009E2867" w:rsidRPr="00CF7DD5">
        <w:rPr>
          <w:rFonts w:ascii="Arial" w:hAnsi="Arial" w:cs="Arial"/>
          <w:sz w:val="20"/>
          <w:szCs w:val="20"/>
        </w:rPr>
        <w:t xml:space="preserve">. </w:t>
      </w:r>
      <w:r w:rsidR="009E2867" w:rsidRPr="00CF7DD5">
        <w:rPr>
          <w:rFonts w:ascii="Arial" w:hAnsi="Arial" w:cs="Arial"/>
          <w:sz w:val="20"/>
          <w:szCs w:val="20"/>
          <w:lang w:val="en-US"/>
        </w:rPr>
        <w:t>Microspheres are resuspended after wash in PBS</w:t>
      </w:r>
      <w:r w:rsidR="00634AD5" w:rsidRPr="00CF7DD5">
        <w:rPr>
          <w:rFonts w:ascii="Arial" w:hAnsi="Arial" w:cs="Arial"/>
          <w:sz w:val="20"/>
          <w:szCs w:val="20"/>
          <w:lang w:val="en-US"/>
        </w:rPr>
        <w:t>-T</w:t>
      </w:r>
      <w:r w:rsidR="009E2867" w:rsidRPr="00CF7DD5">
        <w:rPr>
          <w:rFonts w:ascii="Arial" w:hAnsi="Arial" w:cs="Arial"/>
          <w:sz w:val="20"/>
          <w:szCs w:val="20"/>
          <w:lang w:val="en-US"/>
        </w:rPr>
        <w:t xml:space="preserve"> with 2% NBBS and analyze</w:t>
      </w:r>
      <w:r w:rsidRPr="00CF7DD5">
        <w:rPr>
          <w:rFonts w:ascii="Arial" w:hAnsi="Arial" w:cs="Arial"/>
          <w:sz w:val="20"/>
          <w:szCs w:val="20"/>
          <w:lang w:val="en-US"/>
        </w:rPr>
        <w:t>d on a Bio-plex 200 (</w:t>
      </w:r>
      <w:r w:rsidR="009E2867" w:rsidRPr="00CF7DD5">
        <w:rPr>
          <w:rFonts w:ascii="Arial" w:hAnsi="Arial" w:cs="Arial"/>
          <w:sz w:val="20"/>
          <w:szCs w:val="20"/>
          <w:lang w:val="en-US"/>
        </w:rPr>
        <w:t>Bio-Rad</w:t>
      </w:r>
      <w:r w:rsidRPr="00CF7DD5">
        <w:rPr>
          <w:rFonts w:ascii="Arial" w:hAnsi="Arial" w:cs="Arial"/>
          <w:sz w:val="20"/>
          <w:szCs w:val="20"/>
          <w:lang w:val="en-US"/>
        </w:rPr>
        <w:t>).</w:t>
      </w:r>
    </w:p>
    <w:p w14:paraId="3154DE4C" w14:textId="7D46FA1F" w:rsidR="002D65C2" w:rsidRPr="00CF7DD5" w:rsidRDefault="002D65C2" w:rsidP="002D65C2">
      <w:pPr>
        <w:spacing w:line="360" w:lineRule="auto"/>
        <w:ind w:left="0" w:firstLine="720"/>
        <w:rPr>
          <w:rFonts w:ascii="Arial" w:hAnsi="Arial" w:cs="Arial"/>
          <w:sz w:val="20"/>
          <w:szCs w:val="20"/>
        </w:rPr>
      </w:pPr>
    </w:p>
    <w:p w14:paraId="53940B1B" w14:textId="4812ED91" w:rsidR="00E51E8B" w:rsidRPr="00CF7DD5" w:rsidRDefault="00E51E8B" w:rsidP="002D65C2"/>
    <w:p w14:paraId="1930BDC7" w14:textId="7DED368F" w:rsidR="00CF7DD5" w:rsidRPr="00CF7DD5" w:rsidRDefault="00CF7DD5" w:rsidP="002D65C2"/>
    <w:p w14:paraId="1052FFCB" w14:textId="5B2BBB54" w:rsidR="00CF7DD5" w:rsidRPr="00CF7DD5" w:rsidRDefault="00CF7DD5" w:rsidP="002D65C2"/>
    <w:p w14:paraId="37BE6247" w14:textId="1DCD12B0" w:rsidR="00CF7DD5" w:rsidRPr="00CF7DD5" w:rsidRDefault="00CF7DD5" w:rsidP="002D65C2"/>
    <w:p w14:paraId="5F52BC0F" w14:textId="0405684A" w:rsidR="00CF7DD5" w:rsidRPr="00CF7DD5" w:rsidRDefault="00CF7DD5" w:rsidP="002D65C2"/>
    <w:p w14:paraId="5E7E9461" w14:textId="390F419A" w:rsidR="00CF7DD5" w:rsidRPr="00CF7DD5" w:rsidRDefault="00CF7DD5" w:rsidP="002D65C2"/>
    <w:p w14:paraId="19548E29" w14:textId="5BDE6CDF" w:rsidR="00CF7DD5" w:rsidRPr="00CF7DD5" w:rsidRDefault="00CF7DD5" w:rsidP="002D65C2"/>
    <w:p w14:paraId="7F0386C4" w14:textId="455612A7" w:rsidR="00CF7DD5" w:rsidRPr="00CF7DD5" w:rsidRDefault="00CF7DD5" w:rsidP="002D65C2"/>
    <w:p w14:paraId="1216577A" w14:textId="7E26AFBE" w:rsidR="00CF7DD5" w:rsidRPr="00CF7DD5" w:rsidRDefault="00CF7DD5" w:rsidP="002D65C2"/>
    <w:p w14:paraId="2D3116B8" w14:textId="4F414CB6" w:rsidR="00CF7DD5" w:rsidRPr="00CF7DD5" w:rsidRDefault="00CF7DD5" w:rsidP="002D65C2"/>
    <w:p w14:paraId="1728C0FB" w14:textId="11800F04" w:rsidR="00CF7DD5" w:rsidRPr="00CF7DD5" w:rsidRDefault="00CF7DD5" w:rsidP="002D65C2"/>
    <w:p w14:paraId="78CCB7E9" w14:textId="60B84CF8" w:rsidR="00CF7DD5" w:rsidRPr="00CF7DD5" w:rsidRDefault="00CF7DD5" w:rsidP="002D65C2"/>
    <w:p w14:paraId="196DB285" w14:textId="2066456D" w:rsidR="00CF7DD5" w:rsidRPr="00CF7DD5" w:rsidRDefault="00CF7DD5" w:rsidP="002D65C2"/>
    <w:p w14:paraId="0E82276A" w14:textId="322EC58E" w:rsidR="00CF7DD5" w:rsidRPr="00CF7DD5" w:rsidRDefault="00CF7DD5" w:rsidP="002D65C2"/>
    <w:p w14:paraId="475DAD54" w14:textId="6FCF5A10" w:rsidR="00CF7DD5" w:rsidRPr="00CF7DD5" w:rsidRDefault="00CF7DD5" w:rsidP="002D65C2"/>
    <w:p w14:paraId="00BEFCE5" w14:textId="39F89204" w:rsidR="00CF7DD5" w:rsidRPr="00CF7DD5" w:rsidRDefault="00CF7DD5" w:rsidP="002D65C2"/>
    <w:p w14:paraId="10067F78" w14:textId="6454DFA1" w:rsidR="00CF7DD5" w:rsidRPr="00CF7DD5" w:rsidRDefault="00CF7DD5" w:rsidP="002D65C2"/>
    <w:p w14:paraId="3ECE39F7" w14:textId="08928B28" w:rsidR="00CF7DD5" w:rsidRPr="00CF7DD5" w:rsidRDefault="00CF7DD5" w:rsidP="002D65C2"/>
    <w:tbl>
      <w:tblPr>
        <w:tblpPr w:leftFromText="141" w:rightFromText="141" w:vertAnchor="text" w:horzAnchor="margin" w:tblpXSpec="center" w:tblpY="1114"/>
        <w:tblW w:w="7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1637"/>
        <w:gridCol w:w="2931"/>
      </w:tblGrid>
      <w:tr w:rsidR="00CF7DD5" w:rsidRPr="00CF7DD5" w14:paraId="14B95210" w14:textId="77777777" w:rsidTr="00CF7DD5">
        <w:trPr>
          <w:trHeight w:val="248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343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lastRenderedPageBreak/>
              <w:t>Patient demographics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F0B1" w14:textId="1B07C6F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EB6" w14:textId="1468A6DC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</w:tr>
      <w:tr w:rsidR="00CF7DD5" w:rsidRPr="00CF7DD5" w14:paraId="75AD4F87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F067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N=221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C68EB" w14:textId="1E2FDC09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06D8" w14:textId="6DED5EE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Average days after self reported start of symptoms</w:t>
            </w:r>
          </w:p>
        </w:tc>
      </w:tr>
      <w:tr w:rsidR="00CF7DD5" w:rsidRPr="00CF7DD5" w14:paraId="4DFBB1CD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DDB0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54A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753F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CF7DD5" w:rsidRPr="00CF7DD5" w14:paraId="68BA61E0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DCFD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Age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B5BF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52.71 (37.69 - 67.72)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2013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</w:tr>
      <w:tr w:rsidR="00CF7DD5" w:rsidRPr="00CF7DD5" w14:paraId="59663E5A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A92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Female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7F8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130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9246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</w:tr>
      <w:tr w:rsidR="00CF7DD5" w:rsidRPr="00CF7DD5" w14:paraId="00647115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201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Male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1C00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91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B75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</w:tr>
      <w:tr w:rsidR="00CF7DD5" w:rsidRPr="00CF7DD5" w14:paraId="61D71267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E38F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FE2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52D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CF7DD5" w:rsidRPr="00CF7DD5" w14:paraId="72DC9945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835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Outpatients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41D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168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27B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15.88 (4.25 - 27.51</w:t>
            </w:r>
          </w:p>
        </w:tc>
      </w:tr>
      <w:tr w:rsidR="00CF7DD5" w:rsidRPr="00CF7DD5" w14:paraId="0AA0DEA4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BF0" w14:textId="35670264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Inpatients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102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40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3C2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9.63 (4.86 - 14.40)</w:t>
            </w:r>
          </w:p>
        </w:tc>
      </w:tr>
      <w:tr w:rsidR="00CF7DD5" w:rsidRPr="00CF7DD5" w14:paraId="14D858FD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FCA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ICU patients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AA6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13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C39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12.69 (8.79 - 16.59)</w:t>
            </w:r>
          </w:p>
        </w:tc>
      </w:tr>
      <w:tr w:rsidR="00CF7DD5" w:rsidRPr="00CF7DD5" w14:paraId="0C91622B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90D1" w14:textId="4BD38B26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7087" w14:textId="2D190F26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B347" w14:textId="0DD5F115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</w:tr>
      <w:tr w:rsidR="00CF7DD5" w:rsidRPr="00CF7DD5" w14:paraId="1BBBC738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803" w14:textId="0D8DFBF6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Distribution of sampling time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045E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57E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CF7DD5" w:rsidRPr="00CF7DD5" w14:paraId="10DCF34F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7E06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Weeks from self reported start of symptoms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5503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5412" w14:textId="638E7E14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</w:tr>
      <w:tr w:rsidR="00CF7DD5" w:rsidRPr="00CF7DD5" w14:paraId="1F3F49B9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D18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875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C6D2" w14:textId="77777777" w:rsidR="00CF7DD5" w:rsidRPr="00CF7DD5" w:rsidRDefault="00CF7DD5" w:rsidP="00CF7DD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CF7DD5" w:rsidRPr="00CF7DD5" w14:paraId="161CF014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32E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Week 1 (day 0-7)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15A9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58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C817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5.53 (4.08 - 6.99)</w:t>
            </w:r>
          </w:p>
        </w:tc>
      </w:tr>
      <w:tr w:rsidR="00CF7DD5" w:rsidRPr="00CF7DD5" w14:paraId="36EF43F7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DAF2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Week 2 (day 8-14)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226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113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593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10.88 (8.79 - 12.96)</w:t>
            </w:r>
          </w:p>
        </w:tc>
      </w:tr>
      <w:tr w:rsidR="00CF7DD5" w:rsidRPr="00CF7DD5" w14:paraId="0C83AECE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3339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Week 3 (day 15-21)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D90A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45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B7A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17.22 (15.19 - 19.25)</w:t>
            </w:r>
          </w:p>
        </w:tc>
      </w:tr>
      <w:tr w:rsidR="00CF7DD5" w:rsidRPr="00CF7DD5" w14:paraId="144E62C5" w14:textId="77777777" w:rsidTr="00CF7DD5">
        <w:trPr>
          <w:trHeight w:val="24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341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Week  &gt;3 (day &gt;21)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3DA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35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7B8" w14:textId="77777777" w:rsidR="00CF7DD5" w:rsidRPr="00CF7DD5" w:rsidRDefault="00CF7DD5" w:rsidP="00CF7DD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</w:pPr>
            <w:r w:rsidRPr="00CF7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is-IS"/>
              </w:rPr>
              <w:t>33.20 (19.07 - 47.33)</w:t>
            </w:r>
          </w:p>
        </w:tc>
      </w:tr>
    </w:tbl>
    <w:p w14:paraId="73E47E6E" w14:textId="4974F325" w:rsidR="00CF7DD5" w:rsidRPr="00C93433" w:rsidRDefault="00CF7DD5" w:rsidP="00CF7DD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93433">
        <w:rPr>
          <w:rFonts w:ascii="Arial" w:hAnsi="Arial" w:cs="Arial"/>
          <w:b/>
          <w:bCs/>
          <w:sz w:val="20"/>
          <w:szCs w:val="20"/>
          <w:lang w:val="en-US"/>
        </w:rPr>
        <w:t xml:space="preserve">Supplementary table 1. </w:t>
      </w:r>
      <w:r w:rsidRPr="00C93433">
        <w:rPr>
          <w:rFonts w:ascii="Arial" w:hAnsi="Arial" w:cs="Arial"/>
          <w:sz w:val="20"/>
          <w:szCs w:val="20"/>
          <w:lang w:val="en-US"/>
        </w:rPr>
        <w:t>Patient demographics showing the mean age in years (±SD), number of females, males, outpatients, inpatients, intensive care (ICU) patients</w:t>
      </w:r>
      <w:r>
        <w:rPr>
          <w:rFonts w:ascii="Arial" w:hAnsi="Arial" w:cs="Arial"/>
          <w:sz w:val="20"/>
          <w:szCs w:val="20"/>
          <w:lang w:val="en-US"/>
        </w:rPr>
        <w:t xml:space="preserve"> and average days</w:t>
      </w:r>
      <w:r w:rsidR="004E2827">
        <w:rPr>
          <w:rFonts w:ascii="Arial" w:hAnsi="Arial" w:cs="Arial"/>
          <w:sz w:val="20"/>
          <w:szCs w:val="20"/>
          <w:lang w:val="en-US"/>
        </w:rPr>
        <w:t xml:space="preserve"> </w:t>
      </w:r>
      <w:r w:rsidR="004E2827" w:rsidRPr="00C93433">
        <w:rPr>
          <w:rFonts w:ascii="Arial" w:hAnsi="Arial" w:cs="Arial"/>
          <w:sz w:val="20"/>
          <w:szCs w:val="20"/>
          <w:lang w:val="en-US"/>
        </w:rPr>
        <w:t>(±SD)</w:t>
      </w:r>
      <w:r>
        <w:rPr>
          <w:rFonts w:ascii="Arial" w:hAnsi="Arial" w:cs="Arial"/>
          <w:sz w:val="20"/>
          <w:szCs w:val="20"/>
          <w:lang w:val="en-US"/>
        </w:rPr>
        <w:t xml:space="preserve"> after self reported start of symptoms</w:t>
      </w:r>
      <w:r w:rsidR="00D459B7">
        <w:rPr>
          <w:rFonts w:ascii="Arial" w:hAnsi="Arial" w:cs="Arial"/>
          <w:sz w:val="20"/>
          <w:szCs w:val="20"/>
          <w:lang w:val="en-US"/>
        </w:rPr>
        <w:t xml:space="preserve"> of each individual patient group</w:t>
      </w:r>
      <w:r w:rsidRPr="00C93433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C532019" w14:textId="6C0328BC" w:rsidR="00CF7DD5" w:rsidRDefault="00CF7DD5" w:rsidP="00CF7DD5">
      <w:pPr>
        <w:jc w:val="center"/>
      </w:pPr>
    </w:p>
    <w:p w14:paraId="503EA357" w14:textId="0E0D21F1" w:rsidR="00CF7DD5" w:rsidRDefault="00CF7DD5" w:rsidP="00CF7DD5">
      <w:pPr>
        <w:jc w:val="center"/>
      </w:pPr>
    </w:p>
    <w:p w14:paraId="28DBCC28" w14:textId="1333D773" w:rsidR="00CF7DD5" w:rsidRDefault="00CF7DD5" w:rsidP="00CF7DD5">
      <w:pPr>
        <w:jc w:val="center"/>
      </w:pPr>
    </w:p>
    <w:p w14:paraId="46DD241A" w14:textId="2CBEE4AB" w:rsidR="00CF7DD5" w:rsidRDefault="00CF7DD5" w:rsidP="00CF7DD5">
      <w:pPr>
        <w:jc w:val="center"/>
      </w:pPr>
    </w:p>
    <w:p w14:paraId="32574B30" w14:textId="59EC4CD3" w:rsidR="00CF7DD5" w:rsidRDefault="00CF7DD5" w:rsidP="00CF7DD5">
      <w:pPr>
        <w:jc w:val="center"/>
      </w:pPr>
    </w:p>
    <w:p w14:paraId="594C1311" w14:textId="568459E7" w:rsidR="00CF7DD5" w:rsidRDefault="00CF7DD5" w:rsidP="00CF7DD5">
      <w:pPr>
        <w:jc w:val="center"/>
      </w:pPr>
    </w:p>
    <w:p w14:paraId="2E79CDE2" w14:textId="11DC1E36" w:rsidR="00CF7DD5" w:rsidRDefault="00CF7DD5" w:rsidP="00CF7DD5">
      <w:pPr>
        <w:jc w:val="center"/>
      </w:pPr>
    </w:p>
    <w:p w14:paraId="447FBF8E" w14:textId="77777777" w:rsidR="00CF7DD5" w:rsidRDefault="00CF7DD5" w:rsidP="00CF7DD5">
      <w:pPr>
        <w:jc w:val="center"/>
      </w:pPr>
    </w:p>
    <w:p w14:paraId="276EA5FC" w14:textId="32BEB448" w:rsidR="00CF7DD5" w:rsidRPr="00CF7DD5" w:rsidRDefault="00CF7DD5" w:rsidP="00CF7DD5">
      <w:pPr>
        <w:jc w:val="center"/>
        <w:rPr>
          <w:sz w:val="22"/>
          <w:szCs w:val="22"/>
        </w:rPr>
      </w:pPr>
      <w:r w:rsidRPr="00CF7DD5">
        <w:fldChar w:fldCharType="begin"/>
      </w:r>
      <w:r w:rsidRPr="00CF7DD5">
        <w:instrText xml:space="preserve"> LINK </w:instrText>
      </w:r>
      <w:r w:rsidR="004E2827">
        <w:instrText xml:space="preserve">Excel.Sheet.12 C:\\Users\\siggeir.LSH.000\\Downloads\\Patient-characteristics.xlsx Blað1!R1C1:R18C3 </w:instrText>
      </w:r>
      <w:r w:rsidRPr="00CF7DD5">
        <w:instrText xml:space="preserve">\a \f 4 \h  \* MERGEFORMAT </w:instrText>
      </w:r>
      <w:r w:rsidRPr="00CF7DD5">
        <w:fldChar w:fldCharType="separate"/>
      </w:r>
    </w:p>
    <w:p w14:paraId="78F12983" w14:textId="7C0D8708" w:rsidR="00CF7DD5" w:rsidRPr="00CF7DD5" w:rsidRDefault="00CF7DD5" w:rsidP="00CF7DD5">
      <w:pPr>
        <w:jc w:val="center"/>
      </w:pPr>
      <w:r w:rsidRPr="00CF7DD5">
        <w:fldChar w:fldCharType="end"/>
      </w:r>
    </w:p>
    <w:sectPr w:rsidR="00CF7DD5" w:rsidRPr="00CF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MDc2NjQ1MzU2srBU0lEKTi0uzszPAykwqgUAgTWeHywAAAA="/>
  </w:docVars>
  <w:rsids>
    <w:rsidRoot w:val="002D65C2"/>
    <w:rsid w:val="002D65C2"/>
    <w:rsid w:val="002E6FA5"/>
    <w:rsid w:val="004E2827"/>
    <w:rsid w:val="00634AD5"/>
    <w:rsid w:val="00856C58"/>
    <w:rsid w:val="00951E7E"/>
    <w:rsid w:val="009D755E"/>
    <w:rsid w:val="009E2867"/>
    <w:rsid w:val="00B47CEC"/>
    <w:rsid w:val="00CF7DD5"/>
    <w:rsid w:val="00D459B7"/>
    <w:rsid w:val="00E51E8B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7B8"/>
  <w15:chartTrackingRefBased/>
  <w15:docId w15:val="{542E3E32-CBEB-4F5E-AA0F-8F1B853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C2"/>
    <w:pPr>
      <w:spacing w:after="0" w:line="240" w:lineRule="auto"/>
      <w:ind w:left="11" w:hanging="11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C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65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D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5C2"/>
    <w:rPr>
      <w:sz w:val="20"/>
      <w:szCs w:val="20"/>
    </w:rPr>
  </w:style>
  <w:style w:type="table" w:styleId="TableGrid">
    <w:name w:val="Table Grid"/>
    <w:basedOn w:val="TableNormal"/>
    <w:uiPriority w:val="59"/>
    <w:rsid w:val="00CF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Sigurgrímsdóttir</dc:creator>
  <cp:keywords/>
  <dc:description/>
  <cp:lastModifiedBy>Siggeir Fannar Brynjólfsson</cp:lastModifiedBy>
  <cp:revision>5</cp:revision>
  <dcterms:created xsi:type="dcterms:W3CDTF">2021-05-21T16:43:00Z</dcterms:created>
  <dcterms:modified xsi:type="dcterms:W3CDTF">2021-05-21T16:57:00Z</dcterms:modified>
</cp:coreProperties>
</file>