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29832636" w:rsidR="00994A3D" w:rsidRDefault="00654E8F" w:rsidP="0001436A">
      <w:pPr>
        <w:pStyle w:val="berschrift1"/>
      </w:pPr>
      <w:r w:rsidRPr="00994A3D">
        <w:t>Supplementary Figures and Tables</w:t>
      </w:r>
    </w:p>
    <w:p w14:paraId="275DA888" w14:textId="7019D553" w:rsidR="00723A66" w:rsidRPr="00723A66" w:rsidRDefault="00723A66" w:rsidP="00723A66">
      <w:r>
        <w:t xml:space="preserve">Supplementary tables can found as </w:t>
      </w:r>
      <w:r w:rsidR="00AC552B">
        <w:t>Word files</w:t>
      </w:r>
      <w:r>
        <w:t xml:space="preserve"> under the following names:</w:t>
      </w:r>
    </w:p>
    <w:p w14:paraId="03E5B017" w14:textId="77777777" w:rsidR="00AC552B" w:rsidRPr="00C8002A" w:rsidRDefault="00AC552B" w:rsidP="00AC552B">
      <w:pPr>
        <w:jc w:val="both"/>
        <w:rPr>
          <w:rFonts w:eastAsia="+mn-ea"/>
          <w:b/>
          <w:color w:val="000000"/>
          <w:kern w:val="24"/>
        </w:rPr>
      </w:pPr>
      <w:r w:rsidRPr="00C8002A">
        <w:rPr>
          <w:rFonts w:eastAsia="+mn-ea"/>
          <w:b/>
          <w:color w:val="000000"/>
          <w:kern w:val="24"/>
        </w:rPr>
        <w:t xml:space="preserve">Supplementary Table 1: </w:t>
      </w:r>
      <w:r w:rsidRPr="00C8002A">
        <w:rPr>
          <w:rFonts w:eastAsia="+mn-ea"/>
          <w:color w:val="000000"/>
          <w:kern w:val="24"/>
        </w:rPr>
        <w:t>Detailed serological data of all convalescent individuals seronegative for spike-IgG by EUROIMMUN screening</w:t>
      </w:r>
      <w:r w:rsidRPr="00C8002A">
        <w:rPr>
          <w:rFonts w:eastAsia="+mn-ea"/>
          <w:b/>
          <w:color w:val="000000"/>
          <w:kern w:val="24"/>
        </w:rPr>
        <w:t>.</w:t>
      </w:r>
    </w:p>
    <w:p w14:paraId="1DA11BE7" w14:textId="4C0BA6A2" w:rsidR="00AC552B" w:rsidRDefault="00AC552B" w:rsidP="00AC552B">
      <w:pPr>
        <w:jc w:val="both"/>
        <w:rPr>
          <w:rFonts w:eastAsia="+mn-ea"/>
          <w:color w:val="000000"/>
          <w:kern w:val="24"/>
        </w:rPr>
      </w:pPr>
      <w:r w:rsidRPr="00C8002A">
        <w:rPr>
          <w:rFonts w:eastAsia="+mn-ea"/>
          <w:b/>
          <w:color w:val="000000"/>
          <w:kern w:val="24"/>
        </w:rPr>
        <w:t>Supplementary Table 2:</w:t>
      </w:r>
      <w:r w:rsidRPr="00C8002A">
        <w:rPr>
          <w:rFonts w:eastAsia="+mn-ea"/>
          <w:color w:val="000000"/>
          <w:kern w:val="24"/>
        </w:rPr>
        <w:t xml:space="preserve"> Detailed serological data of all seropositive convalescent individuals and healthy controls.</w:t>
      </w:r>
    </w:p>
    <w:p w14:paraId="76047AAD" w14:textId="77777777" w:rsidR="00AC552B" w:rsidRDefault="00AC552B">
      <w:pPr>
        <w:spacing w:before="0" w:after="200" w:line="276" w:lineRule="auto"/>
        <w:rPr>
          <w:rFonts w:eastAsia="+mn-ea"/>
          <w:color w:val="000000"/>
          <w:kern w:val="24"/>
        </w:rPr>
      </w:pPr>
      <w:r>
        <w:rPr>
          <w:rFonts w:eastAsia="+mn-ea"/>
          <w:color w:val="000000"/>
          <w:kern w:val="24"/>
        </w:rPr>
        <w:br w:type="page"/>
      </w:r>
    </w:p>
    <w:p w14:paraId="63D7C2B0" w14:textId="7E09A43D" w:rsidR="00994A3D" w:rsidRDefault="00994A3D" w:rsidP="0001436A">
      <w:pPr>
        <w:pStyle w:val="berschrift2"/>
      </w:pPr>
      <w:r w:rsidRPr="0001436A">
        <w:lastRenderedPageBreak/>
        <w:t>Supplementary</w:t>
      </w:r>
      <w:r w:rsidRPr="001549D3">
        <w:t xml:space="preserve"> Figures</w:t>
      </w:r>
    </w:p>
    <w:p w14:paraId="06DEA8A1" w14:textId="7F580ED5" w:rsidR="00AC552B" w:rsidRDefault="00AC552B" w:rsidP="00AC552B">
      <w:pPr>
        <w:spacing w:after="0"/>
        <w:ind w:hanging="426"/>
        <w:rPr>
          <w:rFonts w:eastAsia="+mn-ea"/>
          <w:color w:val="000000"/>
          <w:kern w:val="24"/>
        </w:rPr>
      </w:pPr>
      <w:r>
        <w:rPr>
          <w:rFonts w:eastAsia="+mn-ea"/>
          <w:noProof/>
          <w:color w:val="000000"/>
          <w:kern w:val="24"/>
          <w:lang w:val="de-DE" w:eastAsia="de-DE"/>
        </w:rPr>
        <w:drawing>
          <wp:inline distT="0" distB="0" distL="0" distR="0" wp14:anchorId="21D46CAA" wp14:editId="7E2F8040">
            <wp:extent cx="6454140" cy="4848225"/>
            <wp:effectExtent l="0" t="0" r="3810" b="9525"/>
            <wp:docPr id="11" name="Grafik 11" descr="20210304_Figure_1_Ga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10304_Figure_1_Gat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7E110" w14:textId="77777777" w:rsidR="00AC552B" w:rsidRPr="005F54F4" w:rsidRDefault="00AC552B" w:rsidP="00AC552B">
      <w:pPr>
        <w:jc w:val="both"/>
        <w:rPr>
          <w:rFonts w:eastAsia="+mn-ea"/>
          <w:color w:val="000000"/>
          <w:kern w:val="24"/>
          <w:sz w:val="20"/>
        </w:rPr>
      </w:pPr>
      <w:r w:rsidRPr="005F54F4">
        <w:rPr>
          <w:rFonts w:eastAsia="+mn-ea"/>
          <w:b/>
          <w:color w:val="000000"/>
          <w:kern w:val="24"/>
          <w:sz w:val="20"/>
        </w:rPr>
        <w:t>Supplementary Figure 1: Gating Strategy</w:t>
      </w:r>
      <w:r>
        <w:rPr>
          <w:rFonts w:eastAsia="+mn-ea"/>
          <w:b/>
          <w:color w:val="000000"/>
          <w:kern w:val="24"/>
          <w:sz w:val="20"/>
        </w:rPr>
        <w:t xml:space="preserve"> for flow cytometry analysis of peptide reactive CD4+ and CD8+ T Cells and expression of cytokines in response to stimulation with SARS-CoV-2 S C-terminal peptide pool exemplarily shown in a seropositive convalescent COVID-19 patient. </w:t>
      </w:r>
      <w:r>
        <w:rPr>
          <w:rFonts w:eastAsia="+mn-ea"/>
          <w:color w:val="000000"/>
          <w:kern w:val="24"/>
          <w:sz w:val="20"/>
        </w:rPr>
        <w:t xml:space="preserve"> Depicted are lymphocytes </w:t>
      </w:r>
      <w:r w:rsidRPr="00537003">
        <w:rPr>
          <w:rFonts w:eastAsia="+mn-ea"/>
          <w:b/>
          <w:color w:val="000000"/>
          <w:kern w:val="24"/>
          <w:sz w:val="20"/>
        </w:rPr>
        <w:t>(A)</w:t>
      </w:r>
      <w:r>
        <w:rPr>
          <w:rFonts w:eastAsia="+mn-ea"/>
          <w:color w:val="000000"/>
          <w:kern w:val="24"/>
          <w:sz w:val="20"/>
        </w:rPr>
        <w:t xml:space="preserve">, single lymphocytes </w:t>
      </w:r>
      <w:r w:rsidRPr="00537003">
        <w:rPr>
          <w:rFonts w:eastAsia="+mn-ea"/>
          <w:b/>
          <w:color w:val="000000"/>
          <w:kern w:val="24"/>
          <w:sz w:val="20"/>
        </w:rPr>
        <w:t>(B)</w:t>
      </w:r>
      <w:r>
        <w:rPr>
          <w:rFonts w:eastAsia="+mn-ea"/>
          <w:color w:val="000000"/>
          <w:kern w:val="24"/>
          <w:sz w:val="20"/>
        </w:rPr>
        <w:t xml:space="preserve">, living CD3+ T cells </w:t>
      </w:r>
      <w:r w:rsidRPr="00537003">
        <w:rPr>
          <w:rFonts w:eastAsia="+mn-ea"/>
          <w:b/>
          <w:color w:val="000000"/>
          <w:kern w:val="24"/>
          <w:sz w:val="20"/>
        </w:rPr>
        <w:t>(C)</w:t>
      </w:r>
      <w:r>
        <w:rPr>
          <w:rFonts w:eastAsia="+mn-ea"/>
          <w:color w:val="000000"/>
          <w:kern w:val="24"/>
          <w:sz w:val="20"/>
        </w:rPr>
        <w:t xml:space="preserve">, CD4+ and CD8+ T cells </w:t>
      </w:r>
      <w:r w:rsidRPr="00537003">
        <w:rPr>
          <w:rFonts w:eastAsia="+mn-ea"/>
          <w:b/>
          <w:color w:val="000000"/>
          <w:kern w:val="24"/>
          <w:sz w:val="20"/>
        </w:rPr>
        <w:t>(D)</w:t>
      </w:r>
      <w:r>
        <w:rPr>
          <w:rFonts w:eastAsia="+mn-ea"/>
          <w:color w:val="000000"/>
          <w:kern w:val="24"/>
          <w:sz w:val="20"/>
        </w:rPr>
        <w:t xml:space="preserve">, activated CD4+CD154+CD137+ T cells </w:t>
      </w:r>
      <w:r w:rsidRPr="00537003">
        <w:rPr>
          <w:rFonts w:eastAsia="+mn-ea"/>
          <w:b/>
          <w:color w:val="000000"/>
          <w:kern w:val="24"/>
          <w:sz w:val="20"/>
        </w:rPr>
        <w:t>(E)</w:t>
      </w:r>
      <w:r>
        <w:rPr>
          <w:rFonts w:eastAsia="+mn-ea"/>
          <w:color w:val="000000"/>
          <w:kern w:val="24"/>
          <w:sz w:val="20"/>
        </w:rPr>
        <w:t xml:space="preserve"> and the corresponding expression of the cytokines IFNγ, TNFα </w:t>
      </w:r>
      <w:r w:rsidRPr="005F54F4">
        <w:rPr>
          <w:rFonts w:eastAsia="+mn-ea"/>
          <w:color w:val="000000"/>
          <w:kern w:val="24"/>
          <w:sz w:val="20"/>
        </w:rPr>
        <w:t>and IL-2</w:t>
      </w:r>
      <w:r>
        <w:rPr>
          <w:rFonts w:eastAsia="+mn-ea"/>
          <w:color w:val="000000"/>
          <w:kern w:val="24"/>
          <w:sz w:val="20"/>
        </w:rPr>
        <w:t xml:space="preserve"> </w:t>
      </w:r>
      <w:r w:rsidRPr="00537003">
        <w:rPr>
          <w:rFonts w:eastAsia="+mn-ea"/>
          <w:b/>
          <w:color w:val="000000"/>
          <w:kern w:val="24"/>
          <w:sz w:val="20"/>
        </w:rPr>
        <w:t>(F-H)</w:t>
      </w:r>
      <w:r>
        <w:rPr>
          <w:rFonts w:eastAsia="+mn-ea"/>
          <w:color w:val="000000"/>
          <w:kern w:val="24"/>
          <w:sz w:val="20"/>
        </w:rPr>
        <w:t xml:space="preserve">, as well as activated CD8+CD137+ T cells </w:t>
      </w:r>
      <w:r w:rsidRPr="00537003">
        <w:rPr>
          <w:rFonts w:eastAsia="+mn-ea"/>
          <w:b/>
          <w:color w:val="000000"/>
          <w:kern w:val="24"/>
          <w:sz w:val="20"/>
        </w:rPr>
        <w:t>(I)</w:t>
      </w:r>
      <w:r>
        <w:rPr>
          <w:rFonts w:eastAsia="+mn-ea"/>
          <w:color w:val="000000"/>
          <w:kern w:val="24"/>
          <w:sz w:val="20"/>
        </w:rPr>
        <w:t xml:space="preserve"> and the corresponding expression of the cytokines IFNγ, TNFα </w:t>
      </w:r>
      <w:r w:rsidRPr="005F54F4">
        <w:rPr>
          <w:rFonts w:eastAsia="+mn-ea"/>
          <w:color w:val="000000"/>
          <w:kern w:val="24"/>
          <w:sz w:val="20"/>
        </w:rPr>
        <w:t>and IL-2</w:t>
      </w:r>
      <w:r>
        <w:rPr>
          <w:rFonts w:eastAsia="+mn-ea"/>
          <w:color w:val="000000"/>
          <w:kern w:val="24"/>
          <w:sz w:val="20"/>
        </w:rPr>
        <w:t xml:space="preserve"> </w:t>
      </w:r>
      <w:r w:rsidRPr="00537003">
        <w:rPr>
          <w:rFonts w:eastAsia="+mn-ea"/>
          <w:b/>
          <w:color w:val="000000"/>
          <w:kern w:val="24"/>
          <w:sz w:val="20"/>
        </w:rPr>
        <w:t>(J-K)</w:t>
      </w:r>
      <w:r>
        <w:rPr>
          <w:rFonts w:eastAsia="+mn-ea"/>
          <w:color w:val="000000"/>
          <w:kern w:val="24"/>
          <w:sz w:val="20"/>
        </w:rPr>
        <w:t>. Single, double or triple cytokine producing activated T cell subsets were analyzed by Boolean combination gating using FlowJo software.</w:t>
      </w:r>
    </w:p>
    <w:p w14:paraId="0E81DB9D" w14:textId="77777777" w:rsidR="00AC552B" w:rsidRDefault="00AC552B" w:rsidP="00AC552B">
      <w:pPr>
        <w:jc w:val="both"/>
        <w:rPr>
          <w:rFonts w:eastAsia="+mn-ea"/>
          <w:color w:val="000000"/>
          <w:kern w:val="24"/>
          <w:sz w:val="20"/>
        </w:rPr>
      </w:pPr>
    </w:p>
    <w:p w14:paraId="26D2BD60" w14:textId="1F6FDE48" w:rsidR="00AC552B" w:rsidRPr="00001691" w:rsidRDefault="00AC552B" w:rsidP="00AC552B">
      <w:r>
        <w:rPr>
          <w:rFonts w:eastAsia="+mn-ea"/>
          <w:color w:val="000000"/>
          <w:kern w:val="24"/>
          <w:sz w:val="20"/>
        </w:rPr>
        <w:br w:type="page"/>
      </w:r>
      <w:r>
        <w:rPr>
          <w:noProof/>
          <w:lang w:val="de-DE" w:eastAsia="de-DE"/>
        </w:rPr>
        <w:drawing>
          <wp:inline distT="0" distB="0" distL="0" distR="0" wp14:anchorId="6D597A51" wp14:editId="10AEDD63">
            <wp:extent cx="5752465" cy="7708900"/>
            <wp:effectExtent l="0" t="0" r="635" b="6350"/>
            <wp:docPr id="10" name="Grafik 10" descr="Sup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pp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70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7CD36" w14:textId="77777777" w:rsidR="00AC552B" w:rsidRPr="00001691" w:rsidRDefault="00AC552B" w:rsidP="00AC552B">
      <w:pPr>
        <w:pStyle w:val="Default"/>
        <w:spacing w:after="24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001691">
        <w:rPr>
          <w:rFonts w:ascii="Times New Roman" w:hAnsi="Times New Roman" w:cs="Times New Roman"/>
          <w:b/>
          <w:sz w:val="20"/>
          <w:szCs w:val="20"/>
          <w:lang w:val="en-US"/>
        </w:rPr>
        <w:t xml:space="preserve">Supplementary Figure 2a: </w:t>
      </w:r>
      <w:r>
        <w:rPr>
          <w:rFonts w:ascii="Times New Roman" w:eastAsia="+mn-ea" w:hAnsi="Times New Roman"/>
          <w:b/>
          <w:bCs/>
          <w:kern w:val="24"/>
          <w:sz w:val="20"/>
          <w:lang w:val="en-US"/>
        </w:rPr>
        <w:t>Single c</w:t>
      </w:r>
      <w:r w:rsidRPr="00001691">
        <w:rPr>
          <w:rFonts w:ascii="Times New Roman" w:eastAsia="+mn-ea" w:hAnsi="Times New Roman"/>
          <w:b/>
          <w:bCs/>
          <w:kern w:val="24"/>
          <w:sz w:val="20"/>
          <w:lang w:val="en-US"/>
        </w:rPr>
        <w:t>ytokine producing activated CD4+ T cells in</w:t>
      </w:r>
      <w:r>
        <w:rPr>
          <w:rFonts w:ascii="Times New Roman" w:eastAsia="+mn-ea" w:hAnsi="Times New Roman"/>
          <w:b/>
          <w:bCs/>
          <w:kern w:val="24"/>
          <w:sz w:val="20"/>
          <w:lang w:val="en-US"/>
        </w:rPr>
        <w:t xml:space="preserve"> seropositive and -negative</w:t>
      </w:r>
      <w:r w:rsidRPr="00001691">
        <w:rPr>
          <w:rFonts w:ascii="Times New Roman" w:eastAsia="+mn-ea" w:hAnsi="Times New Roman"/>
          <w:b/>
          <w:bCs/>
          <w:kern w:val="24"/>
          <w:sz w:val="20"/>
          <w:lang w:val="en-US"/>
        </w:rPr>
        <w:t xml:space="preserve"> post COVID-19 </w:t>
      </w:r>
      <w:r>
        <w:rPr>
          <w:rFonts w:ascii="Times New Roman" w:eastAsia="+mn-ea" w:hAnsi="Times New Roman"/>
          <w:b/>
          <w:bCs/>
          <w:kern w:val="24"/>
          <w:sz w:val="20"/>
          <w:lang w:val="en-US"/>
        </w:rPr>
        <w:t>in response to SARS-CoV-2 and HCoV peptide pools compared to</w:t>
      </w:r>
      <w:r w:rsidRPr="00001691">
        <w:rPr>
          <w:rFonts w:ascii="Times New Roman" w:eastAsia="+mn-ea" w:hAnsi="Times New Roman"/>
          <w:b/>
          <w:bCs/>
          <w:kern w:val="24"/>
          <w:sz w:val="20"/>
          <w:lang w:val="en-US"/>
        </w:rPr>
        <w:t xml:space="preserve"> HCs</w:t>
      </w:r>
      <w:r w:rsidRPr="00001691">
        <w:rPr>
          <w:rFonts w:ascii="Times New Roman" w:hAnsi="Times New Roman" w:cs="Times New Roman"/>
          <w:sz w:val="20"/>
          <w:szCs w:val="20"/>
          <w:lang w:val="en-US"/>
        </w:rPr>
        <w:t xml:space="preserve">. IFNγ, TNFα, or IL2 single producing (sp) activated CD4+ T cells were analyzed by Boolean combination gating strategy. IFNγ (A), TNFα (B) and IL2 (C) sp activated </w:t>
      </w:r>
      <w:r>
        <w:rPr>
          <w:rFonts w:ascii="Times New Roman" w:hAnsi="Times New Roman" w:cs="Times New Roman"/>
          <w:sz w:val="20"/>
          <w:szCs w:val="20"/>
          <w:lang w:val="en-US"/>
        </w:rPr>
        <w:t>CD4+ T cells in response to peptide pools (1µg/ml)</w:t>
      </w:r>
      <w:r w:rsidRPr="00001691">
        <w:rPr>
          <w:rFonts w:ascii="Times New Roman" w:hAnsi="Times New Roman" w:cs="Times New Roman"/>
          <w:sz w:val="20"/>
          <w:szCs w:val="20"/>
          <w:lang w:val="en-US"/>
        </w:rPr>
        <w:t xml:space="preserve"> are shown. Median and interquartile range (IQR) are indicated. Statistical analysis was performed by non-parametric two-tailed Mann–Whitney-U test for comparison of control and patient groups. A p-value ≤ 0.05 was considered as statistically significant. p ≤ 0.05 =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*; p ≤ 0.001</w:t>
      </w:r>
      <w:r w:rsidRPr="00001691">
        <w:rPr>
          <w:rFonts w:ascii="Times New Roman" w:hAnsi="Times New Roman" w:cs="Times New Roman"/>
          <w:sz w:val="20"/>
          <w:szCs w:val="20"/>
          <w:lang w:val="en-US"/>
        </w:rPr>
        <w:t xml:space="preserve"> = **</w:t>
      </w:r>
    </w:p>
    <w:p w14:paraId="0F487972" w14:textId="63B56763" w:rsidR="00AC552B" w:rsidRPr="00001691" w:rsidRDefault="00AC552B" w:rsidP="00AC552B">
      <w:r>
        <w:rPr>
          <w:noProof/>
          <w:lang w:val="de-DE" w:eastAsia="de-DE"/>
        </w:rPr>
        <w:drawing>
          <wp:inline distT="0" distB="0" distL="0" distR="0" wp14:anchorId="1CB656FC" wp14:editId="47E97EE1">
            <wp:extent cx="5752465" cy="5305425"/>
            <wp:effectExtent l="0" t="0" r="635" b="9525"/>
            <wp:docPr id="9" name="Grafik 9" descr="20210319_Supplementary Figure 1a CD4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10319_Supplementary Figure 1a CD4+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7C262" w14:textId="430C9CE8" w:rsidR="00AC552B" w:rsidRPr="00001691" w:rsidRDefault="00AC552B" w:rsidP="00AC552B">
      <w:pPr>
        <w:pStyle w:val="Default"/>
        <w:spacing w:after="24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001691">
        <w:rPr>
          <w:rFonts w:ascii="Times New Roman" w:hAnsi="Times New Roman" w:cs="Times New Roman"/>
          <w:b/>
          <w:sz w:val="20"/>
          <w:szCs w:val="20"/>
          <w:lang w:val="en-US"/>
        </w:rPr>
        <w:t xml:space="preserve">Supplementary Figure 2b: </w:t>
      </w:r>
      <w:r>
        <w:rPr>
          <w:rFonts w:ascii="Times New Roman" w:eastAsia="+mn-ea" w:hAnsi="Times New Roman"/>
          <w:b/>
          <w:bCs/>
          <w:kern w:val="24"/>
          <w:sz w:val="20"/>
          <w:lang w:val="en-US"/>
        </w:rPr>
        <w:t>Double c</w:t>
      </w:r>
      <w:r w:rsidRPr="00001691">
        <w:rPr>
          <w:rFonts w:ascii="Times New Roman" w:eastAsia="+mn-ea" w:hAnsi="Times New Roman"/>
          <w:b/>
          <w:bCs/>
          <w:kern w:val="24"/>
          <w:sz w:val="20"/>
          <w:lang w:val="en-US"/>
        </w:rPr>
        <w:t>ytokine producing activated CD4+ T cells in</w:t>
      </w:r>
      <w:r>
        <w:rPr>
          <w:rFonts w:ascii="Times New Roman" w:eastAsia="+mn-ea" w:hAnsi="Times New Roman"/>
          <w:b/>
          <w:bCs/>
          <w:kern w:val="24"/>
          <w:sz w:val="20"/>
          <w:lang w:val="en-US"/>
        </w:rPr>
        <w:t xml:space="preserve"> seropositive and -negative</w:t>
      </w:r>
      <w:r w:rsidRPr="00001691">
        <w:rPr>
          <w:rFonts w:ascii="Times New Roman" w:eastAsia="+mn-ea" w:hAnsi="Times New Roman"/>
          <w:b/>
          <w:bCs/>
          <w:kern w:val="24"/>
          <w:sz w:val="20"/>
          <w:lang w:val="en-US"/>
        </w:rPr>
        <w:t xml:space="preserve"> post COVID-19 </w:t>
      </w:r>
      <w:r>
        <w:rPr>
          <w:rFonts w:ascii="Times New Roman" w:eastAsia="+mn-ea" w:hAnsi="Times New Roman"/>
          <w:b/>
          <w:bCs/>
          <w:kern w:val="24"/>
          <w:sz w:val="20"/>
          <w:lang w:val="en-US"/>
        </w:rPr>
        <w:t>in response to SARS-CoV-2 and HCoV peptide pools compared to</w:t>
      </w:r>
      <w:r w:rsidRPr="00001691">
        <w:rPr>
          <w:rFonts w:ascii="Times New Roman" w:eastAsia="+mn-ea" w:hAnsi="Times New Roman"/>
          <w:b/>
          <w:bCs/>
          <w:kern w:val="24"/>
          <w:sz w:val="20"/>
          <w:lang w:val="en-US"/>
        </w:rPr>
        <w:t xml:space="preserve"> HCs</w:t>
      </w:r>
      <w:r w:rsidRPr="00001691">
        <w:rPr>
          <w:rFonts w:ascii="Times New Roman" w:hAnsi="Times New Roman" w:cs="Times New Roman"/>
          <w:sz w:val="20"/>
          <w:szCs w:val="20"/>
          <w:lang w:val="en-US"/>
        </w:rPr>
        <w:t xml:space="preserve">. IFNγ, TNFα, or IL2 double producing (dp) activated CD4+ T cells were analyzed by Boolean combination </w:t>
      </w:r>
      <w:r w:rsidR="00AE38DC">
        <w:rPr>
          <w:rFonts w:ascii="Times New Roman" w:hAnsi="Times New Roman" w:cs="Times New Roman"/>
          <w:sz w:val="20"/>
          <w:szCs w:val="20"/>
          <w:lang w:val="en-US"/>
        </w:rPr>
        <w:t xml:space="preserve">gating strategy. </w:t>
      </w:r>
      <w:r w:rsidR="00102EE5">
        <w:rPr>
          <w:rFonts w:ascii="Times New Roman" w:hAnsi="Times New Roman" w:cs="Times New Roman"/>
          <w:sz w:val="20"/>
          <w:szCs w:val="20"/>
          <w:lang w:val="en-US"/>
        </w:rPr>
        <w:t>TNFα</w:t>
      </w:r>
      <w:r w:rsidR="00102EE5">
        <w:rPr>
          <w:rFonts w:ascii="Times New Roman" w:hAnsi="Times New Roman" w:cs="Times New Roman"/>
          <w:sz w:val="20"/>
          <w:szCs w:val="20"/>
          <w:lang w:val="en-US"/>
        </w:rPr>
        <w:t>/IFNγ</w:t>
      </w:r>
      <w:bookmarkStart w:id="0" w:name="_GoBack"/>
      <w:bookmarkEnd w:id="0"/>
      <w:r w:rsidR="00AE38DC">
        <w:rPr>
          <w:rFonts w:ascii="Times New Roman" w:hAnsi="Times New Roman" w:cs="Times New Roman"/>
          <w:sz w:val="20"/>
          <w:szCs w:val="20"/>
          <w:lang w:val="en-US"/>
        </w:rPr>
        <w:t xml:space="preserve"> (A)</w:t>
      </w:r>
      <w:r w:rsidRPr="0000169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E38DC">
        <w:rPr>
          <w:rFonts w:ascii="Times New Roman" w:hAnsi="Times New Roman" w:cs="Times New Roman"/>
          <w:sz w:val="20"/>
          <w:szCs w:val="20"/>
          <w:lang w:val="en-US"/>
        </w:rPr>
        <w:t>and IFNγ/IL2 (B</w:t>
      </w:r>
      <w:r w:rsidRPr="00001691">
        <w:rPr>
          <w:rFonts w:ascii="Times New Roman" w:hAnsi="Times New Roman" w:cs="Times New Roman"/>
          <w:sz w:val="20"/>
          <w:szCs w:val="20"/>
          <w:lang w:val="en-US"/>
        </w:rPr>
        <w:t xml:space="preserve">) dp activated CD4+ T cells in response to </w:t>
      </w:r>
      <w:r>
        <w:rPr>
          <w:rFonts w:ascii="Times New Roman" w:hAnsi="Times New Roman" w:cs="Times New Roman"/>
          <w:sz w:val="20"/>
          <w:szCs w:val="20"/>
          <w:lang w:val="en-US"/>
        </w:rPr>
        <w:t>peptide pools (1 µg/ml</w:t>
      </w:r>
      <w:r w:rsidRPr="00001691">
        <w:rPr>
          <w:rFonts w:ascii="Times New Roman" w:hAnsi="Times New Roman" w:cs="Times New Roman"/>
          <w:sz w:val="20"/>
          <w:szCs w:val="20"/>
          <w:lang w:val="en-US"/>
        </w:rPr>
        <w:t>) are shown. Median and interquartile range (IQR) are indicated. Statistical analysis was performed by non-parametric two-tailed Mann–Whitney-U test for comparison of control and patient groups. A p-value ≤ 0.05 was considered as statistically sign</w:t>
      </w:r>
      <w:r>
        <w:rPr>
          <w:rFonts w:ascii="Times New Roman" w:hAnsi="Times New Roman" w:cs="Times New Roman"/>
          <w:sz w:val="20"/>
          <w:szCs w:val="20"/>
          <w:lang w:val="en-US"/>
        </w:rPr>
        <w:t>ificant. p ≤ 0.05 = *; p ≤ 0.001</w:t>
      </w:r>
      <w:r w:rsidRPr="00001691">
        <w:rPr>
          <w:rFonts w:ascii="Times New Roman" w:hAnsi="Times New Roman" w:cs="Times New Roman"/>
          <w:sz w:val="20"/>
          <w:szCs w:val="20"/>
          <w:lang w:val="en-US"/>
        </w:rPr>
        <w:t xml:space="preserve"> = **</w:t>
      </w:r>
    </w:p>
    <w:p w14:paraId="29991DBE" w14:textId="77777777" w:rsidR="00AC552B" w:rsidRPr="00001691" w:rsidRDefault="00AC552B" w:rsidP="00AC552B"/>
    <w:p w14:paraId="7216CA54" w14:textId="5D1F5799" w:rsidR="00AC552B" w:rsidRPr="00001691" w:rsidRDefault="00AC552B" w:rsidP="00AC552B">
      <w:r>
        <w:rPr>
          <w:noProof/>
          <w:lang w:val="de-DE" w:eastAsia="de-DE"/>
        </w:rPr>
        <w:drawing>
          <wp:inline distT="0" distB="0" distL="0" distR="0" wp14:anchorId="1A33C835" wp14:editId="4F21C214">
            <wp:extent cx="5762625" cy="7772400"/>
            <wp:effectExtent l="0" t="0" r="9525" b="0"/>
            <wp:docPr id="8" name="Grafik 8" descr="Sup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upp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CDD37" w14:textId="77777777" w:rsidR="00AC552B" w:rsidRPr="00001691" w:rsidRDefault="00AC552B" w:rsidP="00AC552B">
      <w:pPr>
        <w:pStyle w:val="Default"/>
        <w:spacing w:after="24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001691">
        <w:rPr>
          <w:rFonts w:ascii="Times New Roman" w:hAnsi="Times New Roman" w:cs="Times New Roman"/>
          <w:b/>
          <w:sz w:val="20"/>
          <w:szCs w:val="20"/>
          <w:lang w:val="en-US"/>
        </w:rPr>
        <w:t xml:space="preserve">Supplementary Figure 3a: </w:t>
      </w:r>
      <w:r>
        <w:rPr>
          <w:rFonts w:ascii="Times New Roman" w:eastAsia="+mn-ea" w:hAnsi="Times New Roman"/>
          <w:b/>
          <w:bCs/>
          <w:kern w:val="24"/>
          <w:sz w:val="20"/>
          <w:lang w:val="en-US"/>
        </w:rPr>
        <w:t>Single c</w:t>
      </w:r>
      <w:r w:rsidRPr="00001691">
        <w:rPr>
          <w:rFonts w:ascii="Times New Roman" w:eastAsia="+mn-ea" w:hAnsi="Times New Roman"/>
          <w:b/>
          <w:bCs/>
          <w:kern w:val="24"/>
          <w:sz w:val="20"/>
          <w:lang w:val="en-US"/>
        </w:rPr>
        <w:t>ytokine producing activated CD8+ T cells in</w:t>
      </w:r>
      <w:r>
        <w:rPr>
          <w:rFonts w:ascii="Times New Roman" w:eastAsia="+mn-ea" w:hAnsi="Times New Roman"/>
          <w:b/>
          <w:bCs/>
          <w:kern w:val="24"/>
          <w:sz w:val="20"/>
          <w:lang w:val="en-US"/>
        </w:rPr>
        <w:t xml:space="preserve"> seropositive and -negative</w:t>
      </w:r>
      <w:r w:rsidRPr="00001691">
        <w:rPr>
          <w:rFonts w:ascii="Times New Roman" w:eastAsia="+mn-ea" w:hAnsi="Times New Roman"/>
          <w:b/>
          <w:bCs/>
          <w:kern w:val="24"/>
          <w:sz w:val="20"/>
          <w:lang w:val="en-US"/>
        </w:rPr>
        <w:t xml:space="preserve"> post COVID-19 </w:t>
      </w:r>
      <w:r>
        <w:rPr>
          <w:rFonts w:ascii="Times New Roman" w:eastAsia="+mn-ea" w:hAnsi="Times New Roman"/>
          <w:b/>
          <w:bCs/>
          <w:kern w:val="24"/>
          <w:sz w:val="20"/>
          <w:lang w:val="en-US"/>
        </w:rPr>
        <w:t>in response to SARS-CoV-2 and HCoV peptide pools compared to</w:t>
      </w:r>
      <w:r w:rsidRPr="00001691">
        <w:rPr>
          <w:rFonts w:ascii="Times New Roman" w:eastAsia="+mn-ea" w:hAnsi="Times New Roman"/>
          <w:b/>
          <w:bCs/>
          <w:kern w:val="24"/>
          <w:sz w:val="20"/>
          <w:lang w:val="en-US"/>
        </w:rPr>
        <w:t xml:space="preserve"> HCs</w:t>
      </w:r>
      <w:r w:rsidRPr="00001691">
        <w:rPr>
          <w:rFonts w:ascii="Times New Roman" w:hAnsi="Times New Roman" w:cs="Times New Roman"/>
          <w:sz w:val="20"/>
          <w:szCs w:val="20"/>
          <w:lang w:val="en-US"/>
        </w:rPr>
        <w:t>. IFNγ, TNFα, or IL2 single producing (sp) activated CD8+ T cells were analyzed by Boolean combination gating strategy. IFNγ (A), TNFα (B) and IL2 (C) sp activated CD8+ T cells in respon</w:t>
      </w:r>
      <w:r>
        <w:rPr>
          <w:rFonts w:ascii="Times New Roman" w:hAnsi="Times New Roman" w:cs="Times New Roman"/>
          <w:sz w:val="20"/>
          <w:szCs w:val="20"/>
          <w:lang w:val="en-US"/>
        </w:rPr>
        <w:t>se to peptide pools (1 µg/ml</w:t>
      </w:r>
      <w:r w:rsidRPr="00001691">
        <w:rPr>
          <w:rFonts w:ascii="Times New Roman" w:hAnsi="Times New Roman" w:cs="Times New Roman"/>
          <w:sz w:val="20"/>
          <w:szCs w:val="20"/>
          <w:lang w:val="en-US"/>
        </w:rPr>
        <w:t>) are shown. Median and interquartile range (IQR) are indicated. Statistical analysis was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performed by non-parametric one</w:t>
      </w:r>
      <w:r w:rsidRPr="00001691">
        <w:rPr>
          <w:rFonts w:ascii="Times New Roman" w:hAnsi="Times New Roman" w:cs="Times New Roman"/>
          <w:sz w:val="20"/>
          <w:szCs w:val="20"/>
          <w:lang w:val="en-US"/>
        </w:rPr>
        <w:t>-tailed Mann–Whitney-U test for comparison of control and patient groups. A p-value ≤ 0.05 was considered as statistically sign</w:t>
      </w:r>
      <w:r>
        <w:rPr>
          <w:rFonts w:ascii="Times New Roman" w:hAnsi="Times New Roman" w:cs="Times New Roman"/>
          <w:sz w:val="20"/>
          <w:szCs w:val="20"/>
          <w:lang w:val="en-US"/>
        </w:rPr>
        <w:t>ificant. p ≤ 0.05 = *; p ≤ 0.001</w:t>
      </w:r>
      <w:r w:rsidRPr="00001691">
        <w:rPr>
          <w:rFonts w:ascii="Times New Roman" w:hAnsi="Times New Roman" w:cs="Times New Roman"/>
          <w:sz w:val="20"/>
          <w:szCs w:val="20"/>
          <w:lang w:val="en-US"/>
        </w:rPr>
        <w:t xml:space="preserve"> = **</w:t>
      </w:r>
    </w:p>
    <w:p w14:paraId="589F8BFA" w14:textId="08F3DCEC" w:rsidR="00AC552B" w:rsidRPr="00001691" w:rsidRDefault="00AC552B" w:rsidP="00AC552B">
      <w:r>
        <w:rPr>
          <w:noProof/>
          <w:lang w:val="de-DE" w:eastAsia="de-DE"/>
        </w:rPr>
        <w:drawing>
          <wp:inline distT="0" distB="0" distL="0" distR="0" wp14:anchorId="4F9457BE" wp14:editId="16E5CCF0">
            <wp:extent cx="5762625" cy="7772400"/>
            <wp:effectExtent l="0" t="0" r="9525" b="0"/>
            <wp:docPr id="4" name="Grafik 4" descr="Sup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upp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9DF8A" w14:textId="77777777" w:rsidR="00AC552B" w:rsidRPr="00C03821" w:rsidRDefault="00AC552B" w:rsidP="00AC552B">
      <w:pPr>
        <w:pStyle w:val="Default"/>
        <w:spacing w:after="24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001691">
        <w:rPr>
          <w:rFonts w:ascii="Times New Roman" w:hAnsi="Times New Roman" w:cs="Times New Roman"/>
          <w:b/>
          <w:sz w:val="20"/>
          <w:szCs w:val="20"/>
          <w:lang w:val="en-US"/>
        </w:rPr>
        <w:t xml:space="preserve">Supplementary Figure 3b: </w:t>
      </w:r>
      <w:r>
        <w:rPr>
          <w:rFonts w:ascii="Times New Roman" w:eastAsia="+mn-ea" w:hAnsi="Times New Roman"/>
          <w:b/>
          <w:bCs/>
          <w:kern w:val="24"/>
          <w:sz w:val="20"/>
          <w:lang w:val="en-US"/>
        </w:rPr>
        <w:t>Single c</w:t>
      </w:r>
      <w:r w:rsidRPr="00001691">
        <w:rPr>
          <w:rFonts w:ascii="Times New Roman" w:eastAsia="+mn-ea" w:hAnsi="Times New Roman"/>
          <w:b/>
          <w:bCs/>
          <w:kern w:val="24"/>
          <w:sz w:val="20"/>
          <w:lang w:val="en-US"/>
        </w:rPr>
        <w:t>ytokine producing activated CD8+ T cells in</w:t>
      </w:r>
      <w:r>
        <w:rPr>
          <w:rFonts w:ascii="Times New Roman" w:eastAsia="+mn-ea" w:hAnsi="Times New Roman"/>
          <w:b/>
          <w:bCs/>
          <w:kern w:val="24"/>
          <w:sz w:val="20"/>
          <w:lang w:val="en-US"/>
        </w:rPr>
        <w:t xml:space="preserve"> seropositive and -negative</w:t>
      </w:r>
      <w:r w:rsidRPr="00001691">
        <w:rPr>
          <w:rFonts w:ascii="Times New Roman" w:eastAsia="+mn-ea" w:hAnsi="Times New Roman"/>
          <w:b/>
          <w:bCs/>
          <w:kern w:val="24"/>
          <w:sz w:val="20"/>
          <w:lang w:val="en-US"/>
        </w:rPr>
        <w:t xml:space="preserve"> post COVID-19 </w:t>
      </w:r>
      <w:r>
        <w:rPr>
          <w:rFonts w:ascii="Times New Roman" w:eastAsia="+mn-ea" w:hAnsi="Times New Roman"/>
          <w:b/>
          <w:bCs/>
          <w:kern w:val="24"/>
          <w:sz w:val="20"/>
          <w:lang w:val="en-US"/>
        </w:rPr>
        <w:t>in response to SARS-CoV-2 and HCoV peptide pools compared to</w:t>
      </w:r>
      <w:r w:rsidRPr="00001691">
        <w:rPr>
          <w:rFonts w:ascii="Times New Roman" w:eastAsia="+mn-ea" w:hAnsi="Times New Roman"/>
          <w:b/>
          <w:bCs/>
          <w:kern w:val="24"/>
          <w:sz w:val="20"/>
          <w:lang w:val="en-US"/>
        </w:rPr>
        <w:t xml:space="preserve"> HCs</w:t>
      </w:r>
      <w:r>
        <w:rPr>
          <w:rFonts w:ascii="Times New Roman" w:eastAsia="+mn-ea" w:hAnsi="Times New Roman"/>
          <w:b/>
          <w:bCs/>
          <w:kern w:val="24"/>
          <w:sz w:val="20"/>
          <w:lang w:val="en-US"/>
        </w:rPr>
        <w:t>.</w:t>
      </w:r>
      <w:r w:rsidRPr="00001691">
        <w:rPr>
          <w:rFonts w:ascii="Times New Roman" w:hAnsi="Times New Roman" w:cs="Times New Roman"/>
          <w:sz w:val="20"/>
          <w:szCs w:val="20"/>
          <w:lang w:val="en-US"/>
        </w:rPr>
        <w:t xml:space="preserve"> IFNγ, TNFα, or IL2 double producing (dp) activated CD8+ T cells were analyzed by Boolean combination gating strategy. IFNγ/TNFα (A), TNFα/IL-2 (B) and IFNγ/IL2 (C) dp activated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CD8+ T cells in response to peptide pools (1 µg/ml</w:t>
      </w:r>
      <w:r w:rsidRPr="00001691">
        <w:rPr>
          <w:rFonts w:ascii="Times New Roman" w:hAnsi="Times New Roman" w:cs="Times New Roman"/>
          <w:sz w:val="20"/>
          <w:szCs w:val="20"/>
          <w:lang w:val="en-US"/>
        </w:rPr>
        <w:t>) are shown. Median and interquartile range (IQR) are indicated. Statistical analysis w</w:t>
      </w:r>
      <w:r>
        <w:rPr>
          <w:rFonts w:ascii="Times New Roman" w:hAnsi="Times New Roman" w:cs="Times New Roman"/>
          <w:sz w:val="20"/>
          <w:szCs w:val="20"/>
          <w:lang w:val="en-US"/>
        </w:rPr>
        <w:t>as performed by non-parametric one</w:t>
      </w:r>
      <w:r w:rsidRPr="00001691">
        <w:rPr>
          <w:rFonts w:ascii="Times New Roman" w:hAnsi="Times New Roman" w:cs="Times New Roman"/>
          <w:sz w:val="20"/>
          <w:szCs w:val="20"/>
          <w:lang w:val="en-US"/>
        </w:rPr>
        <w:t>-tailed Mann–Whitney-U test for comparison of control and patient groups. A p-value ≤ 0.05 was considered as statistically sign</w:t>
      </w:r>
      <w:r>
        <w:rPr>
          <w:rFonts w:ascii="Times New Roman" w:hAnsi="Times New Roman" w:cs="Times New Roman"/>
          <w:sz w:val="20"/>
          <w:szCs w:val="20"/>
          <w:lang w:val="en-US"/>
        </w:rPr>
        <w:t>ificant. p ≤ 0.05 = *; p ≤ 0.001</w:t>
      </w:r>
      <w:r w:rsidRPr="00001691">
        <w:rPr>
          <w:rFonts w:ascii="Times New Roman" w:hAnsi="Times New Roman" w:cs="Times New Roman"/>
          <w:sz w:val="20"/>
          <w:szCs w:val="20"/>
          <w:lang w:val="en-US"/>
        </w:rPr>
        <w:t xml:space="preserve"> = **</w:t>
      </w:r>
    </w:p>
    <w:p w14:paraId="0A91BCA7" w14:textId="77777777" w:rsidR="00AC552B" w:rsidRPr="00001691" w:rsidRDefault="00AC552B" w:rsidP="00AC552B">
      <w:pPr>
        <w:jc w:val="both"/>
        <w:rPr>
          <w:rFonts w:eastAsia="+mn-ea"/>
          <w:color w:val="000000"/>
          <w:kern w:val="24"/>
          <w:sz w:val="20"/>
        </w:rPr>
        <w:sectPr w:rsidR="00AC552B" w:rsidRPr="00001691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13FF0E8A" w14:textId="751E630C" w:rsidR="00AC552B" w:rsidRPr="00001691" w:rsidRDefault="00AC552B" w:rsidP="00AC552B">
      <w:pPr>
        <w:ind w:left="-709"/>
      </w:pPr>
      <w:r w:rsidRPr="00001691">
        <w:rPr>
          <w:noProof/>
          <w:lang w:val="de-DE" w:eastAsia="de-DE"/>
        </w:rPr>
        <w:drawing>
          <wp:inline distT="0" distB="0" distL="0" distR="0" wp14:anchorId="08F70099" wp14:editId="071CC0D5">
            <wp:extent cx="9058910" cy="4370070"/>
            <wp:effectExtent l="0" t="0" r="8890" b="0"/>
            <wp:docPr id="2" name="Grafik 2" descr="Supplementary Figure_Pooled D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upplementary Figure_Pooled Dat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910" cy="437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D7CA1" w14:textId="51A5716F" w:rsidR="00AC552B" w:rsidRPr="00E70B57" w:rsidRDefault="00AC552B" w:rsidP="00AC552B">
      <w:pPr>
        <w:jc w:val="both"/>
        <w:rPr>
          <w:rFonts w:eastAsia="+mn-ea"/>
          <w:color w:val="000000"/>
          <w:kern w:val="24"/>
          <w:sz w:val="20"/>
        </w:rPr>
      </w:pPr>
      <w:r>
        <w:rPr>
          <w:rFonts w:eastAsia="+mn-ea"/>
          <w:b/>
          <w:bCs/>
          <w:color w:val="000000"/>
          <w:kern w:val="24"/>
          <w:sz w:val="20"/>
        </w:rPr>
        <w:t>Supplementary Figure 4: P</w:t>
      </w:r>
      <w:r w:rsidRPr="00001691">
        <w:rPr>
          <w:rFonts w:eastAsia="+mn-ea"/>
          <w:b/>
          <w:bCs/>
          <w:color w:val="000000"/>
          <w:kern w:val="24"/>
          <w:sz w:val="20"/>
        </w:rPr>
        <w:t xml:space="preserve">ooled data analysis of activated CD4+ and CD8+ T cell frequencies and triple cytokine producing </w:t>
      </w:r>
      <w:r>
        <w:rPr>
          <w:rFonts w:eastAsia="+mn-ea"/>
          <w:b/>
          <w:bCs/>
          <w:color w:val="000000"/>
          <w:kern w:val="24"/>
          <w:sz w:val="20"/>
        </w:rPr>
        <w:t>activated T cells</w:t>
      </w:r>
      <w:r w:rsidRPr="00001691">
        <w:rPr>
          <w:rFonts w:eastAsia="+mn-ea"/>
          <w:b/>
          <w:bCs/>
          <w:color w:val="000000"/>
          <w:kern w:val="24"/>
          <w:sz w:val="20"/>
        </w:rPr>
        <w:t xml:space="preserve"> in </w:t>
      </w:r>
      <w:r>
        <w:rPr>
          <w:rFonts w:eastAsia="+mn-ea"/>
          <w:b/>
          <w:bCs/>
          <w:color w:val="000000"/>
          <w:kern w:val="24"/>
          <w:sz w:val="20"/>
        </w:rPr>
        <w:t xml:space="preserve">seropositive and –negative </w:t>
      </w:r>
      <w:r w:rsidRPr="00001691">
        <w:rPr>
          <w:rFonts w:eastAsia="+mn-ea"/>
          <w:b/>
          <w:bCs/>
          <w:color w:val="000000"/>
          <w:kern w:val="24"/>
          <w:sz w:val="20"/>
        </w:rPr>
        <w:t xml:space="preserve">post COVID-19 </w:t>
      </w:r>
      <w:r>
        <w:rPr>
          <w:rFonts w:eastAsia="+mn-ea"/>
          <w:b/>
          <w:bCs/>
          <w:color w:val="000000"/>
          <w:kern w:val="24"/>
          <w:sz w:val="20"/>
        </w:rPr>
        <w:t>in response to the peptide pools compared to</w:t>
      </w:r>
      <w:r w:rsidRPr="00001691">
        <w:rPr>
          <w:rFonts w:eastAsia="+mn-ea"/>
          <w:b/>
          <w:bCs/>
          <w:color w:val="000000"/>
          <w:kern w:val="24"/>
          <w:sz w:val="20"/>
        </w:rPr>
        <w:t xml:space="preserve"> HCs. </w:t>
      </w:r>
      <w:r w:rsidRPr="00001691">
        <w:rPr>
          <w:rFonts w:eastAsia="+mn-ea"/>
          <w:color w:val="000000"/>
          <w:kern w:val="24"/>
          <w:sz w:val="20"/>
        </w:rPr>
        <w:t>PBMCs of post COVID-19 Ab- (n=</w:t>
      </w:r>
      <w:r>
        <w:rPr>
          <w:rFonts w:eastAsia="+mn-ea"/>
          <w:color w:val="000000"/>
          <w:kern w:val="24"/>
          <w:sz w:val="20"/>
        </w:rPr>
        <w:t>8</w:t>
      </w:r>
      <w:r w:rsidRPr="00001691">
        <w:rPr>
          <w:rFonts w:eastAsia="+mn-ea"/>
          <w:color w:val="000000"/>
          <w:kern w:val="24"/>
          <w:sz w:val="20"/>
        </w:rPr>
        <w:t>; filled bl</w:t>
      </w:r>
      <w:r>
        <w:rPr>
          <w:rFonts w:eastAsia="+mn-ea"/>
          <w:color w:val="000000"/>
          <w:kern w:val="24"/>
          <w:sz w:val="20"/>
        </w:rPr>
        <w:t>ack dot), post COVID-19 Ab+ (n=7</w:t>
      </w:r>
      <w:r w:rsidRPr="00001691">
        <w:rPr>
          <w:rFonts w:eastAsia="+mn-ea"/>
          <w:color w:val="000000"/>
          <w:kern w:val="24"/>
          <w:sz w:val="20"/>
        </w:rPr>
        <w:t xml:space="preserve">; filled black squares), HC (n=8; empty black dots) of this study and PBMCs of post COVID-19 Ab+ (n=12; filled red squares) and HC (n=12; filled red dots) </w:t>
      </w:r>
      <w:r w:rsidR="00D933AD">
        <w:rPr>
          <w:rFonts w:eastAsia="+mn-ea"/>
          <w:color w:val="000000"/>
          <w:kern w:val="24"/>
          <w:sz w:val="20"/>
        </w:rPr>
        <w:t>of the former study (14</w:t>
      </w:r>
      <w:r>
        <w:rPr>
          <w:rFonts w:eastAsia="+mn-ea"/>
          <w:color w:val="000000"/>
          <w:kern w:val="24"/>
          <w:sz w:val="20"/>
        </w:rPr>
        <w:t>) were pooled for analysis</w:t>
      </w:r>
      <w:r w:rsidRPr="00001691">
        <w:rPr>
          <w:rFonts w:eastAsia="+mn-ea"/>
          <w:color w:val="000000"/>
          <w:kern w:val="24"/>
          <w:sz w:val="20"/>
        </w:rPr>
        <w:t xml:space="preserve">. Frequencies of activated CD4+ </w:t>
      </w:r>
      <w:r w:rsidRPr="00001691">
        <w:rPr>
          <w:rFonts w:eastAsia="+mn-ea"/>
          <w:b/>
          <w:bCs/>
          <w:color w:val="000000"/>
          <w:kern w:val="24"/>
          <w:sz w:val="20"/>
        </w:rPr>
        <w:t>(A)</w:t>
      </w:r>
      <w:r w:rsidRPr="00001691">
        <w:rPr>
          <w:rFonts w:eastAsia="+mn-ea"/>
          <w:color w:val="000000"/>
          <w:kern w:val="24"/>
          <w:sz w:val="20"/>
        </w:rPr>
        <w:t xml:space="preserve"> and CD8+ </w:t>
      </w:r>
      <w:r w:rsidRPr="00001691">
        <w:rPr>
          <w:rFonts w:eastAsia="+mn-ea"/>
          <w:b/>
          <w:bCs/>
          <w:color w:val="000000"/>
          <w:kern w:val="24"/>
          <w:sz w:val="20"/>
        </w:rPr>
        <w:t>(B)</w:t>
      </w:r>
      <w:r w:rsidRPr="00001691">
        <w:rPr>
          <w:rFonts w:eastAsia="+mn-ea"/>
          <w:color w:val="000000"/>
          <w:kern w:val="24"/>
          <w:sz w:val="20"/>
        </w:rPr>
        <w:t xml:space="preserve"> T cells after peptide stimulation. Frequencies of activated IFNγ, TNFα and IL-2 triple cytokine producing CD4+</w:t>
      </w:r>
      <w:r w:rsidRPr="00001691">
        <w:rPr>
          <w:rFonts w:eastAsia="+mn-ea"/>
          <w:b/>
          <w:bCs/>
          <w:color w:val="000000"/>
          <w:kern w:val="24"/>
          <w:sz w:val="20"/>
        </w:rPr>
        <w:t xml:space="preserve"> (C)</w:t>
      </w:r>
      <w:r w:rsidRPr="00001691">
        <w:rPr>
          <w:rFonts w:eastAsia="+mn-ea"/>
          <w:color w:val="000000"/>
          <w:kern w:val="24"/>
          <w:sz w:val="20"/>
        </w:rPr>
        <w:t xml:space="preserve"> and CD8+ </w:t>
      </w:r>
      <w:r w:rsidRPr="00001691">
        <w:rPr>
          <w:rFonts w:eastAsia="+mn-ea"/>
          <w:b/>
          <w:bCs/>
          <w:color w:val="000000"/>
          <w:kern w:val="24"/>
          <w:sz w:val="20"/>
        </w:rPr>
        <w:t>(D)</w:t>
      </w:r>
      <w:r w:rsidRPr="00001691">
        <w:rPr>
          <w:rFonts w:eastAsia="+mn-ea"/>
          <w:color w:val="000000"/>
          <w:kern w:val="24"/>
          <w:sz w:val="20"/>
        </w:rPr>
        <w:t xml:space="preserve"> T cells. Triple producing activated CD4+ and CD8+ T cells were analyzed by Boolean combination gating strategy. Median and interquartile range (IQR) are indicated. Statistical analysis was performed by non-parametric two-tailed Mann–Whitney-U test for comparison of control and patient groups. A p-value ≤ 0.05 was considered as statistically sign</w:t>
      </w:r>
      <w:r>
        <w:rPr>
          <w:rFonts w:eastAsia="+mn-ea"/>
          <w:color w:val="000000"/>
          <w:kern w:val="24"/>
          <w:sz w:val="20"/>
        </w:rPr>
        <w:t>ificant. p ≤ 0.05 = *; p ≤ 0.001</w:t>
      </w:r>
      <w:r w:rsidRPr="00001691">
        <w:rPr>
          <w:rFonts w:eastAsia="+mn-ea"/>
          <w:color w:val="000000"/>
          <w:kern w:val="24"/>
          <w:sz w:val="20"/>
        </w:rPr>
        <w:t xml:space="preserve"> = **; p ≤ 0.0</w:t>
      </w:r>
      <w:r>
        <w:rPr>
          <w:rFonts w:eastAsia="+mn-ea"/>
          <w:color w:val="000000"/>
          <w:kern w:val="24"/>
          <w:sz w:val="20"/>
        </w:rPr>
        <w:t>001</w:t>
      </w:r>
      <w:r w:rsidRPr="00001691">
        <w:rPr>
          <w:rFonts w:eastAsia="+mn-ea"/>
          <w:color w:val="000000"/>
          <w:kern w:val="24"/>
          <w:sz w:val="20"/>
        </w:rPr>
        <w:t xml:space="preserve"> = **</w:t>
      </w:r>
      <w:r>
        <w:rPr>
          <w:rFonts w:eastAsia="+mn-ea"/>
          <w:color w:val="000000"/>
          <w:kern w:val="24"/>
          <w:sz w:val="20"/>
        </w:rPr>
        <w:t>*,</w:t>
      </w:r>
      <w:r w:rsidRPr="00C75C85">
        <w:rPr>
          <w:rFonts w:eastAsia="+mn-ea"/>
          <w:color w:val="000000"/>
          <w:kern w:val="24"/>
          <w:sz w:val="20"/>
        </w:rPr>
        <w:t xml:space="preserve"> </w:t>
      </w:r>
      <w:r w:rsidRPr="00001691">
        <w:rPr>
          <w:rFonts w:eastAsia="+mn-ea"/>
          <w:color w:val="000000"/>
          <w:kern w:val="24"/>
          <w:sz w:val="20"/>
        </w:rPr>
        <w:t>p ≤ 0.0</w:t>
      </w:r>
      <w:r>
        <w:rPr>
          <w:rFonts w:eastAsia="+mn-ea"/>
          <w:color w:val="000000"/>
          <w:kern w:val="24"/>
          <w:sz w:val="20"/>
        </w:rPr>
        <w:t>0</w:t>
      </w:r>
      <w:r w:rsidRPr="00001691">
        <w:rPr>
          <w:rFonts w:eastAsia="+mn-ea"/>
          <w:color w:val="000000"/>
          <w:kern w:val="24"/>
          <w:sz w:val="20"/>
        </w:rPr>
        <w:t>0</w:t>
      </w:r>
      <w:r>
        <w:rPr>
          <w:rFonts w:eastAsia="+mn-ea"/>
          <w:color w:val="000000"/>
          <w:kern w:val="24"/>
          <w:sz w:val="20"/>
        </w:rPr>
        <w:t>01</w:t>
      </w:r>
      <w:r w:rsidRPr="00001691">
        <w:rPr>
          <w:rFonts w:eastAsia="+mn-ea"/>
          <w:color w:val="000000"/>
          <w:kern w:val="24"/>
          <w:sz w:val="20"/>
        </w:rPr>
        <w:t xml:space="preserve"> = **</w:t>
      </w:r>
      <w:r>
        <w:rPr>
          <w:rFonts w:eastAsia="+mn-ea"/>
          <w:color w:val="000000"/>
          <w:kern w:val="24"/>
          <w:sz w:val="20"/>
        </w:rPr>
        <w:t>**</w:t>
      </w:r>
    </w:p>
    <w:sectPr w:rsidR="00AC552B" w:rsidRPr="00E70B57" w:rsidSect="00AC552B">
      <w:headerReference w:type="even" r:id="rId14"/>
      <w:footerReference w:type="even" r:id="rId15"/>
      <w:footerReference w:type="default" r:id="rId16"/>
      <w:headerReference w:type="first" r:id="rId17"/>
      <w:pgSz w:w="15840" w:h="12240" w:orient="landscape"/>
      <w:pgMar w:top="1181" w:right="1138" w:bottom="1282" w:left="113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FA5010" w14:textId="77777777" w:rsidR="00E74FA4" w:rsidRDefault="00E74FA4" w:rsidP="00117666">
      <w:pPr>
        <w:spacing w:after="0"/>
      </w:pPr>
      <w:r>
        <w:separator/>
      </w:r>
    </w:p>
  </w:endnote>
  <w:endnote w:type="continuationSeparator" w:id="0">
    <w:p w14:paraId="25B6D5F2" w14:textId="77777777" w:rsidR="00E74FA4" w:rsidRDefault="00E74FA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4EB3E976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C552B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8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" filled="f" stroked="f" strokeweight=".5pt">
              <v:textbox style="mso-fit-shape-to-text:t">
                <w:txbxContent>
                  <w:p w14:paraId="50BC4D33" w14:textId="4EB3E976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C552B">
                      <w:rPr>
                        <w:noProof/>
                        <w:color w:val="000000" w:themeColor="text1"/>
                        <w:szCs w:val="40"/>
                      </w:rPr>
                      <w:t>8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0B33B00C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C552B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" filled="f" stroked="f" strokeweight=".5pt">
              <v:textbox style="mso-fit-shape-to-text:t">
                <w:txbxContent>
                  <w:p w14:paraId="570F0D09" w14:textId="0B33B00C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C552B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FFDAA3" w14:textId="77777777" w:rsidR="00E74FA4" w:rsidRDefault="00E74FA4" w:rsidP="00117666">
      <w:pPr>
        <w:spacing w:after="0"/>
      </w:pPr>
      <w:r>
        <w:separator/>
      </w:r>
    </w:p>
  </w:footnote>
  <w:footnote w:type="continuationSeparator" w:id="0">
    <w:p w14:paraId="5E0CD867" w14:textId="77777777" w:rsidR="00E74FA4" w:rsidRDefault="00E74FA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de-DE" w:eastAsia="de-DE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attachedTemplate r:id="rId1"/>
  <w:defaultTabStop w:val="720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0A57F2"/>
    <w:rsid w:val="000F4C40"/>
    <w:rsid w:val="00102EE5"/>
    <w:rsid w:val="00105FD9"/>
    <w:rsid w:val="00117666"/>
    <w:rsid w:val="001549D3"/>
    <w:rsid w:val="00160065"/>
    <w:rsid w:val="00177D84"/>
    <w:rsid w:val="001C6832"/>
    <w:rsid w:val="00267D18"/>
    <w:rsid w:val="00274347"/>
    <w:rsid w:val="002868E2"/>
    <w:rsid w:val="002869C3"/>
    <w:rsid w:val="002936E4"/>
    <w:rsid w:val="002B4A57"/>
    <w:rsid w:val="002C74CA"/>
    <w:rsid w:val="003123F4"/>
    <w:rsid w:val="00314164"/>
    <w:rsid w:val="003544FB"/>
    <w:rsid w:val="003862E9"/>
    <w:rsid w:val="003D2F2D"/>
    <w:rsid w:val="00401590"/>
    <w:rsid w:val="00412408"/>
    <w:rsid w:val="004369A2"/>
    <w:rsid w:val="00447801"/>
    <w:rsid w:val="00452E9C"/>
    <w:rsid w:val="004735C8"/>
    <w:rsid w:val="004811B2"/>
    <w:rsid w:val="004947A6"/>
    <w:rsid w:val="004961FF"/>
    <w:rsid w:val="00517A89"/>
    <w:rsid w:val="005250F2"/>
    <w:rsid w:val="005553AA"/>
    <w:rsid w:val="00593EEA"/>
    <w:rsid w:val="005A5EEE"/>
    <w:rsid w:val="006375C7"/>
    <w:rsid w:val="00654E8F"/>
    <w:rsid w:val="00660D05"/>
    <w:rsid w:val="006820B1"/>
    <w:rsid w:val="00697EBC"/>
    <w:rsid w:val="006B7D14"/>
    <w:rsid w:val="006D5D4D"/>
    <w:rsid w:val="00701727"/>
    <w:rsid w:val="0070566C"/>
    <w:rsid w:val="00714C50"/>
    <w:rsid w:val="00723A66"/>
    <w:rsid w:val="00725A7D"/>
    <w:rsid w:val="007501BE"/>
    <w:rsid w:val="00790BB3"/>
    <w:rsid w:val="007C206C"/>
    <w:rsid w:val="007E226D"/>
    <w:rsid w:val="00817DD6"/>
    <w:rsid w:val="0083759F"/>
    <w:rsid w:val="00851229"/>
    <w:rsid w:val="0087696C"/>
    <w:rsid w:val="008834C8"/>
    <w:rsid w:val="00885156"/>
    <w:rsid w:val="008D4234"/>
    <w:rsid w:val="009151AA"/>
    <w:rsid w:val="00922161"/>
    <w:rsid w:val="0093429D"/>
    <w:rsid w:val="00943573"/>
    <w:rsid w:val="00954417"/>
    <w:rsid w:val="00964134"/>
    <w:rsid w:val="00970F7D"/>
    <w:rsid w:val="00994A3D"/>
    <w:rsid w:val="009C2B12"/>
    <w:rsid w:val="00A174D9"/>
    <w:rsid w:val="00A852F7"/>
    <w:rsid w:val="00AA4D24"/>
    <w:rsid w:val="00AB6715"/>
    <w:rsid w:val="00AC552B"/>
    <w:rsid w:val="00AD60D7"/>
    <w:rsid w:val="00AE38DC"/>
    <w:rsid w:val="00B102C8"/>
    <w:rsid w:val="00B1671E"/>
    <w:rsid w:val="00B25EB8"/>
    <w:rsid w:val="00B37F4D"/>
    <w:rsid w:val="00C52A7B"/>
    <w:rsid w:val="00C56BAF"/>
    <w:rsid w:val="00C679AA"/>
    <w:rsid w:val="00C75972"/>
    <w:rsid w:val="00C843D9"/>
    <w:rsid w:val="00CA2C14"/>
    <w:rsid w:val="00CD066B"/>
    <w:rsid w:val="00CE4FEE"/>
    <w:rsid w:val="00CE7747"/>
    <w:rsid w:val="00D05ADF"/>
    <w:rsid w:val="00D060CF"/>
    <w:rsid w:val="00D42F6C"/>
    <w:rsid w:val="00D933AD"/>
    <w:rsid w:val="00DB59C3"/>
    <w:rsid w:val="00DC259A"/>
    <w:rsid w:val="00DE23E8"/>
    <w:rsid w:val="00E52377"/>
    <w:rsid w:val="00E537AD"/>
    <w:rsid w:val="00E64E17"/>
    <w:rsid w:val="00E74FA4"/>
    <w:rsid w:val="00E866C9"/>
    <w:rsid w:val="00E97860"/>
    <w:rsid w:val="00EA3D3C"/>
    <w:rsid w:val="00EC090A"/>
    <w:rsid w:val="00ED20B5"/>
    <w:rsid w:val="00F46900"/>
    <w:rsid w:val="00F61D89"/>
    <w:rsid w:val="00FE7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paragraph" w:customStyle="1" w:styleId="Default">
    <w:name w:val="Default"/>
    <w:rsid w:val="003862E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8978DB9-9525-441C-A9C9-60C821ED5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7</Pages>
  <Words>688</Words>
  <Characters>4335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Steiner, Sophie</cp:lastModifiedBy>
  <cp:revision>2</cp:revision>
  <cp:lastPrinted>2013-10-03T12:51:00Z</cp:lastPrinted>
  <dcterms:created xsi:type="dcterms:W3CDTF">2021-06-23T14:35:00Z</dcterms:created>
  <dcterms:modified xsi:type="dcterms:W3CDTF">2021-06-23T14:35:00Z</dcterms:modified>
</cp:coreProperties>
</file>