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55D51" w14:textId="0516348E" w:rsidR="00D43050" w:rsidRPr="00D43050" w:rsidRDefault="00654E8F" w:rsidP="00F64B7A">
      <w:pPr>
        <w:pStyle w:val="SupplementaryMaterial"/>
        <w:spacing w:before="0"/>
      </w:pPr>
      <w:r w:rsidRPr="001549D3">
        <w:t>Supplementary Material</w:t>
      </w:r>
    </w:p>
    <w:p w14:paraId="4D059444" w14:textId="77777777" w:rsidR="00994A3D" w:rsidRPr="00994A3D" w:rsidRDefault="00654E8F" w:rsidP="0001436A">
      <w:pPr>
        <w:pStyle w:val="Ttulo1"/>
      </w:pPr>
      <w:r w:rsidRPr="00994A3D">
        <w:t>Supplementary Figures and Tables</w:t>
      </w:r>
    </w:p>
    <w:p w14:paraId="0164A997" w14:textId="41B98453" w:rsidR="004D46BA" w:rsidRPr="007F3650" w:rsidRDefault="00994A3D" w:rsidP="0012645A">
      <w:pPr>
        <w:pStyle w:val="Ttulo2"/>
      </w:pPr>
      <w:r w:rsidRPr="0001436A">
        <w:t>Supplementary</w:t>
      </w:r>
      <w:r w:rsidRPr="001549D3">
        <w:t xml:space="preserve"> Figures</w:t>
      </w:r>
    </w:p>
    <w:p w14:paraId="68224258" w14:textId="50A9DA55" w:rsidR="00E05215" w:rsidRDefault="00E05215" w:rsidP="00C90045">
      <w:r>
        <w:rPr>
          <w:noProof/>
        </w:rPr>
        <w:drawing>
          <wp:inline distT="0" distB="0" distL="0" distR="0" wp14:anchorId="57431325" wp14:editId="00DC069A">
            <wp:extent cx="5016500" cy="2492048"/>
            <wp:effectExtent l="0" t="0" r="0" b="0"/>
            <wp:docPr id="2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" t="7004" r="17117" b="21304"/>
                    <a:stretch/>
                  </pic:blipFill>
                  <pic:spPr bwMode="auto">
                    <a:xfrm>
                      <a:off x="0" y="0"/>
                      <a:ext cx="5130462" cy="2548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A2B327" w14:textId="77777777" w:rsidR="00426736" w:rsidRDefault="00E05215" w:rsidP="00E05215">
      <w:pPr>
        <w:rPr>
          <w:rFonts w:eastAsia="Arial" w:cs="Times New Roman"/>
          <w:szCs w:val="24"/>
        </w:rPr>
      </w:pPr>
      <w:r w:rsidRPr="00E05215">
        <w:rPr>
          <w:b/>
          <w:bCs/>
        </w:rPr>
        <w:t xml:space="preserve">Supplementary Figure 1. </w:t>
      </w:r>
      <w:r w:rsidRPr="00E05215">
        <w:rPr>
          <w:rFonts w:eastAsia="Arial" w:cs="Times New Roman"/>
          <w:szCs w:val="24"/>
        </w:rPr>
        <w:t>Patient flow-chart.</w:t>
      </w:r>
    </w:p>
    <w:p w14:paraId="353FE6D6" w14:textId="08D0DC5E" w:rsidR="00E05215" w:rsidRPr="00E05215" w:rsidRDefault="00426736" w:rsidP="00C9004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8135DEA" wp14:editId="2AC5264D">
            <wp:extent cx="4637657" cy="3472069"/>
            <wp:effectExtent l="0" t="0" r="0" b="0"/>
            <wp:docPr id="3" name="Imagen 3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Interfaz de usuario gráfica&#10;&#10;Descripción generada automá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" t="7271" r="40982" b="16365"/>
                    <a:stretch/>
                  </pic:blipFill>
                  <pic:spPr bwMode="auto">
                    <a:xfrm>
                      <a:off x="0" y="0"/>
                      <a:ext cx="4643186" cy="3476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E81B20" w14:textId="76A94877" w:rsidR="00C10A3D" w:rsidRPr="005723B5" w:rsidRDefault="00426736" w:rsidP="00371A9C">
      <w:pPr>
        <w:spacing w:after="40"/>
        <w:jc w:val="both"/>
        <w:rPr>
          <w:rFonts w:eastAsia="Arial" w:cs="Times New Roman"/>
          <w:szCs w:val="24"/>
        </w:rPr>
      </w:pPr>
      <w:r>
        <w:rPr>
          <w:rFonts w:eastAsia="Arial" w:cs="Times New Roman"/>
          <w:b/>
          <w:bCs/>
          <w:szCs w:val="24"/>
        </w:rPr>
        <w:t xml:space="preserve">Supplementary </w:t>
      </w:r>
      <w:r w:rsidRPr="009A019D">
        <w:rPr>
          <w:rFonts w:eastAsia="Arial" w:cs="Times New Roman"/>
          <w:b/>
          <w:bCs/>
          <w:szCs w:val="24"/>
        </w:rPr>
        <w:t>Figure 2</w:t>
      </w:r>
      <w:r w:rsidRPr="006B3AEC">
        <w:rPr>
          <w:rFonts w:eastAsia="Arial" w:cs="Times New Roman"/>
          <w:szCs w:val="24"/>
        </w:rPr>
        <w:t>. Death censored graft survival in patients with normal, ABMR</w:t>
      </w:r>
      <w:r w:rsidRPr="006B3AEC">
        <w:rPr>
          <w:rFonts w:eastAsia="Arial" w:cs="Times New Roman"/>
          <w:szCs w:val="24"/>
          <w:vertAlign w:val="subscript"/>
        </w:rPr>
        <w:t>h</w:t>
      </w:r>
      <w:r w:rsidRPr="006B3AEC">
        <w:rPr>
          <w:rFonts w:eastAsia="Arial" w:cs="Times New Roman"/>
          <w:szCs w:val="24"/>
        </w:rPr>
        <w:t xml:space="preserve"> and IFTA biopsies. Kaplan-Meier survival curves representing death censored graft survival. ABMR</w:t>
      </w:r>
      <w:r w:rsidRPr="00426736">
        <w:rPr>
          <w:rFonts w:eastAsia="Arial" w:cs="Times New Roman"/>
          <w:szCs w:val="24"/>
          <w:vertAlign w:val="subscript"/>
        </w:rPr>
        <w:t>h</w:t>
      </w:r>
      <w:r w:rsidRPr="006B3AEC">
        <w:rPr>
          <w:rFonts w:eastAsia="Arial" w:cs="Times New Roman"/>
          <w:szCs w:val="24"/>
        </w:rPr>
        <w:t>: antibody-mediated rejection histology; IFTA: interstitial fibrosis and tubular atrophy.</w:t>
      </w:r>
    </w:p>
    <w:p w14:paraId="52A271E8" w14:textId="5C93037D" w:rsidR="00932DDC" w:rsidRPr="00932DDC" w:rsidRDefault="00932DDC" w:rsidP="00932DDC">
      <w:pPr>
        <w:pStyle w:val="Ttulo2"/>
      </w:pPr>
      <w:r w:rsidRPr="0001436A">
        <w:lastRenderedPageBreak/>
        <w:t>Supplementary</w:t>
      </w:r>
      <w:r w:rsidRPr="001549D3">
        <w:t xml:space="preserve"> </w:t>
      </w:r>
      <w:r>
        <w:t>Tables</w:t>
      </w:r>
    </w:p>
    <w:p w14:paraId="042D4017" w14:textId="77777777" w:rsidR="00376122" w:rsidRDefault="00376122" w:rsidP="00AC2F83">
      <w:pPr>
        <w:jc w:val="both"/>
        <w:rPr>
          <w:rFonts w:eastAsia="Arial" w:cs="Times New Roman"/>
          <w:b/>
          <w:bCs/>
        </w:rPr>
      </w:pPr>
    </w:p>
    <w:p w14:paraId="19BDA412" w14:textId="77777777" w:rsidR="001970C6" w:rsidRDefault="00AD1386" w:rsidP="00AC2F83">
      <w:pPr>
        <w:jc w:val="both"/>
        <w:rPr>
          <w:rFonts w:eastAsia="Arial" w:cs="Times New Roman"/>
        </w:rPr>
      </w:pPr>
      <w:r w:rsidRPr="003D5A64">
        <w:rPr>
          <w:rFonts w:eastAsia="Arial" w:cs="Times New Roman"/>
          <w:b/>
          <w:bCs/>
        </w:rPr>
        <w:t>Supplementary Table 1</w:t>
      </w:r>
      <w:r w:rsidR="003D5A64">
        <w:rPr>
          <w:rFonts w:eastAsia="Arial" w:cs="Times New Roman"/>
        </w:rPr>
        <w:t>.</w:t>
      </w:r>
      <w:r>
        <w:rPr>
          <w:rFonts w:eastAsia="Arial" w:cs="Times New Roman"/>
        </w:rPr>
        <w:t xml:space="preserve"> </w:t>
      </w:r>
    </w:p>
    <w:p w14:paraId="3409CF10" w14:textId="2D726C9E" w:rsidR="00AC2F83" w:rsidRPr="00AC2F83" w:rsidRDefault="00AC2F83" w:rsidP="00AC2F83">
      <w:pPr>
        <w:jc w:val="both"/>
        <w:rPr>
          <w:rFonts w:eastAsia="Arial" w:cs="Times New Roman"/>
        </w:rPr>
      </w:pPr>
      <w:r w:rsidRPr="00AC2F83">
        <w:rPr>
          <w:rFonts w:eastAsia="Arial" w:cs="Times New Roman"/>
        </w:rPr>
        <w:t>(</w:t>
      </w:r>
      <w:r w:rsidR="00AD1386">
        <w:rPr>
          <w:rFonts w:eastAsia="Arial" w:cs="Times New Roman"/>
          <w:b/>
          <w:bCs/>
        </w:rPr>
        <w:t>A</w:t>
      </w:r>
      <w:r w:rsidRPr="00AC2F83">
        <w:rPr>
          <w:rFonts w:eastAsia="Arial" w:cs="Times New Roman"/>
        </w:rPr>
        <w:t>) Comparison of post-transplant non-HLA antibodies between ABMR</w:t>
      </w:r>
      <w:r w:rsidRPr="00AC2F83">
        <w:rPr>
          <w:rFonts w:eastAsia="Arial" w:cs="Times New Roman"/>
          <w:vertAlign w:val="subscript"/>
        </w:rPr>
        <w:t>h</w:t>
      </w:r>
      <w:r w:rsidRPr="00AC2F83">
        <w:rPr>
          <w:rFonts w:eastAsia="Arial" w:cs="Times New Roman"/>
        </w:rPr>
        <w:t>DSA</w:t>
      </w:r>
      <w:r w:rsidRPr="00AC2F83">
        <w:rPr>
          <w:rFonts w:eastAsia="Arial" w:cs="Times New Roman"/>
          <w:vertAlign w:val="subscript"/>
        </w:rPr>
        <w:t>pos</w:t>
      </w:r>
      <w:r w:rsidRPr="00AC2F83">
        <w:rPr>
          <w:rFonts w:eastAsia="Arial" w:cs="Times New Roman"/>
        </w:rPr>
        <w:t xml:space="preserve"> and ABMR</w:t>
      </w:r>
      <w:r w:rsidRPr="00AC2F83">
        <w:rPr>
          <w:rFonts w:eastAsia="Arial" w:cs="Times New Roman"/>
          <w:vertAlign w:val="subscript"/>
        </w:rPr>
        <w:t>h</w:t>
      </w:r>
      <w:r w:rsidRPr="00AC2F83">
        <w:rPr>
          <w:rFonts w:eastAsia="Arial" w:cs="Times New Roman"/>
        </w:rPr>
        <w:t>DSA</w:t>
      </w:r>
      <w:r w:rsidRPr="00AC2F83">
        <w:rPr>
          <w:rFonts w:eastAsia="Arial" w:cs="Times New Roman"/>
          <w:vertAlign w:val="subscript"/>
        </w:rPr>
        <w:t>neg</w:t>
      </w:r>
      <w:r w:rsidRPr="00AC2F83">
        <w:rPr>
          <w:rFonts w:eastAsia="Arial" w:cs="Times New Roman"/>
        </w:rPr>
        <w:t xml:space="preserve"> cases.</w:t>
      </w:r>
    </w:p>
    <w:tbl>
      <w:tblPr>
        <w:tblW w:w="893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842"/>
        <w:gridCol w:w="1831"/>
        <w:gridCol w:w="1288"/>
      </w:tblGrid>
      <w:tr w:rsidR="00AC2F83" w:rsidRPr="00AC2F83" w14:paraId="5DD11106" w14:textId="77777777" w:rsidTr="00B97BBC">
        <w:tc>
          <w:tcPr>
            <w:tcW w:w="3969" w:type="dxa"/>
          </w:tcPr>
          <w:p w14:paraId="77595D25" w14:textId="77777777" w:rsidR="00AC2F83" w:rsidRPr="00AC2F83" w:rsidRDefault="00AC2F83" w:rsidP="001976F9">
            <w:pPr>
              <w:spacing w:before="0" w:after="0" w:line="276" w:lineRule="auto"/>
              <w:jc w:val="both"/>
              <w:rPr>
                <w:rFonts w:eastAsia="Arial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A574775" w14:textId="77777777" w:rsidR="00AC2F83" w:rsidRPr="005D2897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b/>
                <w:bCs/>
                <w:szCs w:val="24"/>
              </w:rPr>
            </w:pPr>
            <w:r w:rsidRPr="005D2897">
              <w:rPr>
                <w:rFonts w:eastAsia="Arial" w:cs="Times New Roman"/>
                <w:b/>
                <w:bCs/>
                <w:szCs w:val="24"/>
              </w:rPr>
              <w:t>ABMR</w:t>
            </w:r>
            <w:r w:rsidRPr="005D2897">
              <w:rPr>
                <w:rFonts w:eastAsia="Arial" w:cs="Times New Roman"/>
                <w:b/>
                <w:bCs/>
                <w:szCs w:val="24"/>
                <w:vertAlign w:val="subscript"/>
              </w:rPr>
              <w:t>h</w:t>
            </w:r>
            <w:r w:rsidRPr="005D2897">
              <w:rPr>
                <w:rFonts w:eastAsia="Arial" w:cs="Times New Roman"/>
                <w:b/>
                <w:bCs/>
                <w:szCs w:val="24"/>
              </w:rPr>
              <w:t>DSA</w:t>
            </w:r>
            <w:r w:rsidRPr="005D2897">
              <w:rPr>
                <w:rFonts w:eastAsia="Arial" w:cs="Times New Roman"/>
                <w:b/>
                <w:bCs/>
                <w:szCs w:val="24"/>
                <w:vertAlign w:val="subscript"/>
              </w:rPr>
              <w:t>pos</w:t>
            </w:r>
            <w:r w:rsidRPr="005D2897">
              <w:rPr>
                <w:rFonts w:eastAsia="Arial" w:cs="Times New Roman"/>
                <w:b/>
                <w:bCs/>
                <w:szCs w:val="24"/>
              </w:rPr>
              <w:t xml:space="preserve"> (n=38)</w:t>
            </w:r>
          </w:p>
        </w:tc>
        <w:tc>
          <w:tcPr>
            <w:tcW w:w="1831" w:type="dxa"/>
            <w:vAlign w:val="center"/>
          </w:tcPr>
          <w:p w14:paraId="415D2673" w14:textId="77777777" w:rsidR="00AC2F83" w:rsidRPr="005D2897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b/>
                <w:bCs/>
                <w:szCs w:val="24"/>
              </w:rPr>
            </w:pPr>
            <w:r w:rsidRPr="005D2897">
              <w:rPr>
                <w:rFonts w:eastAsia="Arial" w:cs="Times New Roman"/>
                <w:b/>
                <w:bCs/>
                <w:szCs w:val="24"/>
              </w:rPr>
              <w:t>ABMR</w:t>
            </w:r>
            <w:r w:rsidRPr="005D2897">
              <w:rPr>
                <w:rFonts w:eastAsia="Arial" w:cs="Times New Roman"/>
                <w:b/>
                <w:bCs/>
                <w:szCs w:val="24"/>
                <w:vertAlign w:val="subscript"/>
              </w:rPr>
              <w:t>h</w:t>
            </w:r>
            <w:r w:rsidRPr="005D2897">
              <w:rPr>
                <w:rFonts w:eastAsia="Arial" w:cs="Times New Roman"/>
                <w:b/>
                <w:bCs/>
                <w:szCs w:val="24"/>
              </w:rPr>
              <w:t>DSA</w:t>
            </w:r>
            <w:r w:rsidRPr="005D2897">
              <w:rPr>
                <w:rFonts w:eastAsia="Arial" w:cs="Times New Roman"/>
                <w:b/>
                <w:bCs/>
                <w:szCs w:val="24"/>
                <w:vertAlign w:val="subscript"/>
              </w:rPr>
              <w:t>neg</w:t>
            </w:r>
            <w:r w:rsidRPr="005D2897">
              <w:rPr>
                <w:rFonts w:eastAsia="Arial" w:cs="Times New Roman"/>
                <w:b/>
                <w:bCs/>
                <w:szCs w:val="24"/>
              </w:rPr>
              <w:t xml:space="preserve"> (n=14)</w:t>
            </w:r>
          </w:p>
        </w:tc>
        <w:tc>
          <w:tcPr>
            <w:tcW w:w="1288" w:type="dxa"/>
            <w:vAlign w:val="center"/>
          </w:tcPr>
          <w:p w14:paraId="2D98E68A" w14:textId="77777777" w:rsidR="00AC2F83" w:rsidRPr="005D2897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b/>
                <w:bCs/>
                <w:szCs w:val="24"/>
              </w:rPr>
            </w:pPr>
            <w:r w:rsidRPr="005D2897">
              <w:rPr>
                <w:rFonts w:eastAsia="Arial" w:cs="Times New Roman"/>
                <w:b/>
                <w:bCs/>
                <w:szCs w:val="24"/>
              </w:rPr>
              <w:t>p-value</w:t>
            </w:r>
          </w:p>
        </w:tc>
      </w:tr>
      <w:tr w:rsidR="00AC2F83" w:rsidRPr="00AC2F83" w14:paraId="41F0E8C6" w14:textId="77777777" w:rsidTr="00B97BBC">
        <w:tc>
          <w:tcPr>
            <w:tcW w:w="3969" w:type="dxa"/>
          </w:tcPr>
          <w:p w14:paraId="38870BAA" w14:textId="77777777" w:rsidR="00AC2F83" w:rsidRPr="00AC2F83" w:rsidRDefault="00AC2F83" w:rsidP="001976F9">
            <w:pPr>
              <w:spacing w:before="0" w:after="0" w:line="276" w:lineRule="auto"/>
              <w:jc w:val="both"/>
              <w:rPr>
                <w:rFonts w:eastAsia="Arial" w:cs="Times New Roman"/>
                <w:szCs w:val="24"/>
              </w:rPr>
            </w:pPr>
            <w:r w:rsidRPr="00AC2F83">
              <w:rPr>
                <w:rFonts w:eastAsia="Arial" w:cs="Times New Roman"/>
                <w:szCs w:val="24"/>
              </w:rPr>
              <w:t>Post-transplant AT</w:t>
            </w:r>
            <w:r w:rsidRPr="00AC2F83">
              <w:rPr>
                <w:rFonts w:eastAsia="Arial" w:cs="Times New Roman"/>
                <w:szCs w:val="24"/>
                <w:vertAlign w:val="subscript"/>
              </w:rPr>
              <w:t>1</w:t>
            </w:r>
            <w:r w:rsidRPr="00AC2F83">
              <w:rPr>
                <w:rFonts w:eastAsia="Arial" w:cs="Times New Roman"/>
                <w:szCs w:val="24"/>
              </w:rPr>
              <w:t>R-Ab (yes, %)</w:t>
            </w:r>
          </w:p>
        </w:tc>
        <w:tc>
          <w:tcPr>
            <w:tcW w:w="1842" w:type="dxa"/>
          </w:tcPr>
          <w:p w14:paraId="2FD75598" w14:textId="77777777" w:rsidR="00AC2F83" w:rsidRPr="00AC2F83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AC2F83">
              <w:rPr>
                <w:rFonts w:eastAsia="Arial" w:cs="Times New Roman"/>
                <w:szCs w:val="24"/>
              </w:rPr>
              <w:t>10 (26.3%)</w:t>
            </w:r>
          </w:p>
        </w:tc>
        <w:tc>
          <w:tcPr>
            <w:tcW w:w="1831" w:type="dxa"/>
          </w:tcPr>
          <w:p w14:paraId="72FB8414" w14:textId="77777777" w:rsidR="00AC2F83" w:rsidRPr="00AC2F83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AC2F83">
              <w:rPr>
                <w:rFonts w:eastAsia="Arial" w:cs="Times New Roman"/>
                <w:szCs w:val="24"/>
              </w:rPr>
              <w:t>2 (14.3%)</w:t>
            </w:r>
          </w:p>
        </w:tc>
        <w:tc>
          <w:tcPr>
            <w:tcW w:w="1288" w:type="dxa"/>
          </w:tcPr>
          <w:p w14:paraId="3606E7A1" w14:textId="77777777" w:rsidR="00AC2F83" w:rsidRPr="00AC2F83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AC2F83">
              <w:rPr>
                <w:rFonts w:eastAsia="Arial" w:cs="Times New Roman"/>
                <w:szCs w:val="24"/>
              </w:rPr>
              <w:t>0.48</w:t>
            </w:r>
          </w:p>
        </w:tc>
      </w:tr>
      <w:tr w:rsidR="00AC2F83" w:rsidRPr="00AC2F83" w14:paraId="0741F978" w14:textId="77777777" w:rsidTr="00B97BBC">
        <w:tc>
          <w:tcPr>
            <w:tcW w:w="3969" w:type="dxa"/>
          </w:tcPr>
          <w:p w14:paraId="521ED33D" w14:textId="77777777" w:rsidR="00AC2F83" w:rsidRPr="00AC2F83" w:rsidRDefault="00AC2F83" w:rsidP="001976F9">
            <w:pPr>
              <w:spacing w:before="0" w:after="0" w:line="276" w:lineRule="auto"/>
              <w:jc w:val="both"/>
              <w:rPr>
                <w:rFonts w:eastAsia="Arial" w:cs="Times New Roman"/>
                <w:szCs w:val="24"/>
              </w:rPr>
            </w:pPr>
            <w:r w:rsidRPr="00AC2F83">
              <w:rPr>
                <w:rFonts w:eastAsia="Arial" w:cs="Times New Roman"/>
                <w:szCs w:val="24"/>
              </w:rPr>
              <w:t>Post-transplant ETAR-Ab (yes, %)</w:t>
            </w:r>
          </w:p>
        </w:tc>
        <w:tc>
          <w:tcPr>
            <w:tcW w:w="1842" w:type="dxa"/>
          </w:tcPr>
          <w:p w14:paraId="039AA6CD" w14:textId="77777777" w:rsidR="00AC2F83" w:rsidRPr="00AC2F83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AC2F83">
              <w:rPr>
                <w:rFonts w:eastAsia="Arial" w:cs="Times New Roman"/>
                <w:szCs w:val="24"/>
              </w:rPr>
              <w:t>6 (15.8%)</w:t>
            </w:r>
          </w:p>
        </w:tc>
        <w:tc>
          <w:tcPr>
            <w:tcW w:w="1831" w:type="dxa"/>
          </w:tcPr>
          <w:p w14:paraId="5EFDBF91" w14:textId="77777777" w:rsidR="00AC2F83" w:rsidRPr="00AC2F83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AC2F83">
              <w:rPr>
                <w:rFonts w:eastAsia="Arial" w:cs="Times New Roman"/>
                <w:szCs w:val="24"/>
              </w:rPr>
              <w:t>1 (7.1%)</w:t>
            </w:r>
          </w:p>
        </w:tc>
        <w:tc>
          <w:tcPr>
            <w:tcW w:w="1288" w:type="dxa"/>
          </w:tcPr>
          <w:p w14:paraId="47AB0740" w14:textId="77777777" w:rsidR="00AC2F83" w:rsidRPr="00AC2F83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AC2F83">
              <w:rPr>
                <w:rFonts w:eastAsia="Arial" w:cs="Times New Roman"/>
                <w:szCs w:val="24"/>
              </w:rPr>
              <w:t>0.66</w:t>
            </w:r>
          </w:p>
        </w:tc>
      </w:tr>
      <w:tr w:rsidR="00AC2F83" w:rsidRPr="00AC2F83" w14:paraId="533A1492" w14:textId="77777777" w:rsidTr="00B97BBC">
        <w:tc>
          <w:tcPr>
            <w:tcW w:w="3969" w:type="dxa"/>
          </w:tcPr>
          <w:p w14:paraId="090C348F" w14:textId="77777777" w:rsidR="00AC2F83" w:rsidRPr="00AC2F83" w:rsidRDefault="00AC2F83" w:rsidP="001976F9">
            <w:pPr>
              <w:spacing w:before="0" w:after="0" w:line="276" w:lineRule="auto"/>
              <w:jc w:val="both"/>
              <w:rPr>
                <w:rFonts w:eastAsia="Arial" w:cs="Times New Roman"/>
                <w:szCs w:val="24"/>
              </w:rPr>
            </w:pPr>
            <w:r w:rsidRPr="00AC2F83">
              <w:rPr>
                <w:rFonts w:eastAsia="Arial" w:cs="Times New Roman"/>
                <w:szCs w:val="24"/>
              </w:rPr>
              <w:t>Post-transplant MICA-Ab (yes, %)</w:t>
            </w:r>
          </w:p>
        </w:tc>
        <w:tc>
          <w:tcPr>
            <w:tcW w:w="1842" w:type="dxa"/>
          </w:tcPr>
          <w:p w14:paraId="3448FBC3" w14:textId="77777777" w:rsidR="00AC2F83" w:rsidRPr="00AC2F83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AC2F83">
              <w:rPr>
                <w:rFonts w:eastAsia="Arial" w:cs="Times New Roman"/>
                <w:szCs w:val="24"/>
              </w:rPr>
              <w:t>6 (15.8%)</w:t>
            </w:r>
          </w:p>
        </w:tc>
        <w:tc>
          <w:tcPr>
            <w:tcW w:w="1831" w:type="dxa"/>
          </w:tcPr>
          <w:p w14:paraId="6EEF28F3" w14:textId="77777777" w:rsidR="00AC2F83" w:rsidRPr="00AC2F83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AC2F83">
              <w:rPr>
                <w:rFonts w:eastAsia="Arial" w:cs="Times New Roman"/>
                <w:szCs w:val="24"/>
              </w:rPr>
              <w:t>2 (14.3%)</w:t>
            </w:r>
          </w:p>
        </w:tc>
        <w:tc>
          <w:tcPr>
            <w:tcW w:w="1288" w:type="dxa"/>
          </w:tcPr>
          <w:p w14:paraId="6802EC8F" w14:textId="77777777" w:rsidR="00AC2F83" w:rsidRPr="00AC2F83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AC2F83">
              <w:rPr>
                <w:rFonts w:eastAsia="Arial" w:cs="Times New Roman"/>
                <w:szCs w:val="24"/>
              </w:rPr>
              <w:t>1.00</w:t>
            </w:r>
          </w:p>
        </w:tc>
      </w:tr>
      <w:tr w:rsidR="00AC2F83" w:rsidRPr="00AC2F83" w14:paraId="29E6C3F3" w14:textId="77777777" w:rsidTr="00B97BBC">
        <w:tc>
          <w:tcPr>
            <w:tcW w:w="3969" w:type="dxa"/>
          </w:tcPr>
          <w:p w14:paraId="76341115" w14:textId="77777777" w:rsidR="00AC2F83" w:rsidRPr="00AC2F83" w:rsidRDefault="00AC2F83" w:rsidP="001976F9">
            <w:pPr>
              <w:spacing w:before="0" w:after="0" w:line="276" w:lineRule="auto"/>
              <w:jc w:val="both"/>
              <w:rPr>
                <w:rFonts w:eastAsia="Arial" w:cs="Times New Roman"/>
                <w:szCs w:val="24"/>
              </w:rPr>
            </w:pPr>
            <w:r w:rsidRPr="00AC2F83">
              <w:rPr>
                <w:rFonts w:eastAsia="Arial" w:cs="Times New Roman"/>
                <w:szCs w:val="24"/>
              </w:rPr>
              <w:t xml:space="preserve">Post-transplant EC-XM (positive, %) </w:t>
            </w:r>
            <w:r w:rsidRPr="00AC2F83">
              <w:rPr>
                <w:rFonts w:eastAsia="Arial" w:cs="Times New Roman"/>
                <w:szCs w:val="24"/>
                <w:vertAlign w:val="superscript"/>
              </w:rPr>
              <w:t>$</w:t>
            </w:r>
          </w:p>
        </w:tc>
        <w:tc>
          <w:tcPr>
            <w:tcW w:w="1842" w:type="dxa"/>
          </w:tcPr>
          <w:p w14:paraId="46804FFC" w14:textId="77777777" w:rsidR="00AC2F83" w:rsidRPr="00AC2F83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AC2F83">
              <w:rPr>
                <w:rFonts w:eastAsia="Arial" w:cs="Times New Roman"/>
                <w:szCs w:val="24"/>
              </w:rPr>
              <w:t>4 (13.3%)</w:t>
            </w:r>
          </w:p>
        </w:tc>
        <w:tc>
          <w:tcPr>
            <w:tcW w:w="1831" w:type="dxa"/>
          </w:tcPr>
          <w:p w14:paraId="43894C0A" w14:textId="77777777" w:rsidR="00AC2F83" w:rsidRPr="00AC2F83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AC2F83">
              <w:rPr>
                <w:rFonts w:eastAsia="Arial" w:cs="Times New Roman"/>
                <w:szCs w:val="24"/>
              </w:rPr>
              <w:t>0 (0%)</w:t>
            </w:r>
          </w:p>
        </w:tc>
        <w:tc>
          <w:tcPr>
            <w:tcW w:w="1288" w:type="dxa"/>
          </w:tcPr>
          <w:p w14:paraId="0536FF24" w14:textId="77777777" w:rsidR="00AC2F83" w:rsidRPr="00AC2F83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AC2F83">
              <w:rPr>
                <w:rFonts w:eastAsia="Arial" w:cs="Times New Roman"/>
                <w:szCs w:val="24"/>
              </w:rPr>
              <w:t>0.30</w:t>
            </w:r>
          </w:p>
        </w:tc>
      </w:tr>
    </w:tbl>
    <w:p w14:paraId="14F7F9C7" w14:textId="77777777" w:rsidR="00AC2F83" w:rsidRPr="00AC2F83" w:rsidRDefault="00AC2F83" w:rsidP="00DD765D">
      <w:pPr>
        <w:spacing w:before="240" w:after="160"/>
        <w:jc w:val="both"/>
        <w:rPr>
          <w:rFonts w:eastAsia="Arial" w:cs="Times New Roman"/>
          <w:szCs w:val="24"/>
        </w:rPr>
      </w:pPr>
      <w:r w:rsidRPr="00AC2F83">
        <w:rPr>
          <w:rFonts w:eastAsia="Arial" w:cs="Times New Roman"/>
          <w:szCs w:val="24"/>
          <w:vertAlign w:val="superscript"/>
        </w:rPr>
        <w:t>$</w:t>
      </w:r>
      <w:r w:rsidRPr="00AC2F83">
        <w:rPr>
          <w:rFonts w:eastAsia="Arial" w:cs="Times New Roman"/>
          <w:szCs w:val="24"/>
        </w:rPr>
        <w:t xml:space="preserve"> From 30 ABMR</w:t>
      </w:r>
      <w:r w:rsidRPr="00AC2F83">
        <w:rPr>
          <w:rFonts w:eastAsia="Arial" w:cs="Times New Roman"/>
          <w:szCs w:val="24"/>
          <w:vertAlign w:val="subscript"/>
        </w:rPr>
        <w:t>h</w:t>
      </w:r>
      <w:r w:rsidRPr="00AC2F83">
        <w:rPr>
          <w:rFonts w:eastAsia="Arial" w:cs="Times New Roman"/>
          <w:szCs w:val="24"/>
        </w:rPr>
        <w:t>DSA</w:t>
      </w:r>
      <w:r w:rsidRPr="00AC2F83">
        <w:rPr>
          <w:rFonts w:eastAsia="Arial" w:cs="Times New Roman"/>
          <w:szCs w:val="24"/>
          <w:vertAlign w:val="subscript"/>
        </w:rPr>
        <w:t>pos</w:t>
      </w:r>
      <w:r w:rsidRPr="00AC2F83">
        <w:rPr>
          <w:rFonts w:eastAsia="Arial" w:cs="Times New Roman"/>
          <w:szCs w:val="24"/>
        </w:rPr>
        <w:t xml:space="preserve"> and 13 ABMR</w:t>
      </w:r>
      <w:r w:rsidRPr="00AC2F83">
        <w:rPr>
          <w:rFonts w:eastAsia="Arial" w:cs="Times New Roman"/>
          <w:szCs w:val="24"/>
          <w:vertAlign w:val="subscript"/>
        </w:rPr>
        <w:t>h</w:t>
      </w:r>
      <w:r w:rsidRPr="00AC2F83">
        <w:rPr>
          <w:rFonts w:eastAsia="Arial" w:cs="Times New Roman"/>
          <w:szCs w:val="24"/>
        </w:rPr>
        <w:t>DSA</w:t>
      </w:r>
      <w:r w:rsidRPr="00AC2F83">
        <w:rPr>
          <w:rFonts w:eastAsia="Arial" w:cs="Times New Roman"/>
          <w:szCs w:val="24"/>
          <w:vertAlign w:val="subscript"/>
        </w:rPr>
        <w:t>neg</w:t>
      </w:r>
      <w:r w:rsidRPr="00AC2F83">
        <w:rPr>
          <w:rFonts w:eastAsia="Arial" w:cs="Times New Roman"/>
          <w:szCs w:val="24"/>
        </w:rPr>
        <w:t xml:space="preserve"> cases.</w:t>
      </w:r>
    </w:p>
    <w:p w14:paraId="7990D3CA" w14:textId="4A47C007" w:rsidR="00304C73" w:rsidRDefault="00AC2F83" w:rsidP="00376122">
      <w:pPr>
        <w:spacing w:before="240" w:after="360"/>
        <w:jc w:val="both"/>
        <w:rPr>
          <w:rFonts w:eastAsia="Arial" w:cs="Times New Roman"/>
          <w:szCs w:val="24"/>
        </w:rPr>
      </w:pPr>
      <w:r w:rsidRPr="00AC2F83">
        <w:rPr>
          <w:rFonts w:eastAsia="Arial" w:cs="Times New Roman"/>
          <w:szCs w:val="24"/>
        </w:rPr>
        <w:t>ABMR</w:t>
      </w:r>
      <w:r w:rsidRPr="00AC2F83">
        <w:rPr>
          <w:rFonts w:eastAsia="Arial" w:cs="Times New Roman"/>
          <w:szCs w:val="24"/>
          <w:vertAlign w:val="subscript"/>
        </w:rPr>
        <w:t>h</w:t>
      </w:r>
      <w:r w:rsidRPr="00AC2F83">
        <w:rPr>
          <w:rFonts w:eastAsia="Arial" w:cs="Times New Roman"/>
          <w:szCs w:val="24"/>
        </w:rPr>
        <w:t>: antibody-mediated rejection histology; AT</w:t>
      </w:r>
      <w:r w:rsidRPr="00AC2F83">
        <w:rPr>
          <w:rFonts w:eastAsia="Arial" w:cs="Times New Roman"/>
          <w:szCs w:val="24"/>
          <w:vertAlign w:val="subscript"/>
        </w:rPr>
        <w:t>1</w:t>
      </w:r>
      <w:r w:rsidRPr="00AC2F83">
        <w:rPr>
          <w:rFonts w:eastAsia="Arial" w:cs="Times New Roman"/>
          <w:szCs w:val="24"/>
        </w:rPr>
        <w:t xml:space="preserve">R-Ab: antibodies against angiotensin II type 1 receptor; EC-XM: crossmatch with primary aortic endothelial cells; ETAR-Ab: antibodies against endothelin-1 type A receptor; MICA-Ab: antibodies against major histocompatibility complex class I </w:t>
      </w:r>
      <w:r w:rsidRPr="003A0B10">
        <w:rPr>
          <w:rFonts w:eastAsia="Arial" w:cs="Times New Roman"/>
          <w:szCs w:val="24"/>
        </w:rPr>
        <w:t>related chain A.</w:t>
      </w:r>
    </w:p>
    <w:p w14:paraId="3D9EADBA" w14:textId="77777777" w:rsidR="00A75B2E" w:rsidRPr="003A0B10" w:rsidRDefault="00A75B2E" w:rsidP="00376122">
      <w:pPr>
        <w:spacing w:before="240" w:after="360"/>
        <w:jc w:val="both"/>
        <w:rPr>
          <w:rFonts w:eastAsia="Arial" w:cs="Times New Roman"/>
          <w:szCs w:val="24"/>
        </w:rPr>
      </w:pPr>
    </w:p>
    <w:p w14:paraId="7BD8FBF4" w14:textId="6E405004" w:rsidR="00AC2F83" w:rsidRPr="003A0B10" w:rsidRDefault="00AC2F83" w:rsidP="005A6198">
      <w:pPr>
        <w:spacing w:after="245"/>
        <w:jc w:val="both"/>
        <w:rPr>
          <w:rFonts w:eastAsia="Arial" w:cs="Times New Roman"/>
          <w:szCs w:val="24"/>
        </w:rPr>
      </w:pPr>
      <w:r w:rsidRPr="003A0B10">
        <w:rPr>
          <w:rFonts w:eastAsia="Arial" w:cs="Times New Roman"/>
          <w:szCs w:val="24"/>
        </w:rPr>
        <w:t>(</w:t>
      </w:r>
      <w:r w:rsidRPr="003A0B10">
        <w:rPr>
          <w:rFonts w:eastAsia="Arial" w:cs="Times New Roman"/>
          <w:b/>
          <w:bCs/>
          <w:szCs w:val="24"/>
        </w:rPr>
        <w:t>B</w:t>
      </w:r>
      <w:r w:rsidRPr="003A0B10">
        <w:rPr>
          <w:rFonts w:eastAsia="Arial" w:cs="Times New Roman"/>
          <w:szCs w:val="24"/>
        </w:rPr>
        <w:t xml:space="preserve">) </w:t>
      </w:r>
      <w:r w:rsidR="00D837D7">
        <w:rPr>
          <w:rFonts w:eastAsia="Arial" w:cs="Times New Roman"/>
          <w:szCs w:val="24"/>
        </w:rPr>
        <w:t>C</w:t>
      </w:r>
      <w:r w:rsidRPr="003A0B10">
        <w:rPr>
          <w:rFonts w:eastAsia="Arial" w:cs="Times New Roman"/>
          <w:szCs w:val="24"/>
        </w:rPr>
        <w:t xml:space="preserve">omparison </w:t>
      </w:r>
      <w:r w:rsidR="00D837D7">
        <w:rPr>
          <w:rFonts w:eastAsia="Arial" w:cs="Times New Roman"/>
          <w:szCs w:val="24"/>
        </w:rPr>
        <w:t xml:space="preserve">of post-transplant HLA and non-HLA antibodies </w:t>
      </w:r>
      <w:r w:rsidRPr="003A0B10">
        <w:rPr>
          <w:rFonts w:eastAsia="Arial" w:cs="Times New Roman"/>
          <w:szCs w:val="24"/>
        </w:rPr>
        <w:t>between ABMR</w:t>
      </w:r>
      <w:r w:rsidRPr="003A0B10">
        <w:rPr>
          <w:rFonts w:eastAsia="Arial" w:cs="Times New Roman"/>
          <w:szCs w:val="24"/>
          <w:vertAlign w:val="subscript"/>
        </w:rPr>
        <w:t>h</w:t>
      </w:r>
      <w:r w:rsidRPr="003A0B10">
        <w:rPr>
          <w:rFonts w:eastAsia="Arial" w:cs="Times New Roman"/>
          <w:szCs w:val="24"/>
        </w:rPr>
        <w:t>DSA</w:t>
      </w:r>
      <w:r w:rsidRPr="003A0B10">
        <w:rPr>
          <w:rFonts w:eastAsia="Arial" w:cs="Times New Roman"/>
          <w:szCs w:val="24"/>
          <w:vertAlign w:val="subscript"/>
        </w:rPr>
        <w:t>pos</w:t>
      </w:r>
      <w:r w:rsidRPr="003A0B10">
        <w:rPr>
          <w:rFonts w:eastAsia="Arial" w:cs="Times New Roman"/>
          <w:szCs w:val="24"/>
        </w:rPr>
        <w:t xml:space="preserve"> and non-ABMR</w:t>
      </w:r>
      <w:r w:rsidRPr="003A0B10">
        <w:rPr>
          <w:rFonts w:eastAsia="Arial" w:cs="Times New Roman"/>
          <w:szCs w:val="24"/>
          <w:vertAlign w:val="subscript"/>
        </w:rPr>
        <w:t>h</w:t>
      </w:r>
      <w:r w:rsidRPr="003A0B10">
        <w:rPr>
          <w:rFonts w:eastAsia="Arial" w:cs="Times New Roman"/>
          <w:szCs w:val="24"/>
        </w:rPr>
        <w:t>DSA</w:t>
      </w:r>
      <w:r w:rsidRPr="003A0B10">
        <w:rPr>
          <w:rFonts w:eastAsia="Arial" w:cs="Times New Roman"/>
          <w:szCs w:val="24"/>
          <w:vertAlign w:val="subscript"/>
        </w:rPr>
        <w:t>pos</w:t>
      </w:r>
      <w:r w:rsidRPr="003A0B10">
        <w:rPr>
          <w:rFonts w:eastAsia="Arial" w:cs="Times New Roman"/>
          <w:szCs w:val="24"/>
        </w:rPr>
        <w:t xml:space="preserve"> cases (normal histology, IFTA and ABMR</w:t>
      </w:r>
      <w:r w:rsidRPr="003A0B10">
        <w:rPr>
          <w:rFonts w:eastAsia="Arial" w:cs="Times New Roman"/>
          <w:szCs w:val="24"/>
          <w:vertAlign w:val="subscript"/>
        </w:rPr>
        <w:t>h</w:t>
      </w:r>
      <w:r w:rsidRPr="003A0B10">
        <w:rPr>
          <w:rFonts w:eastAsia="Arial" w:cs="Times New Roman"/>
          <w:szCs w:val="24"/>
        </w:rPr>
        <w:t>DSA</w:t>
      </w:r>
      <w:r w:rsidRPr="003A0B10">
        <w:rPr>
          <w:rFonts w:eastAsia="Arial" w:cs="Times New Roman"/>
          <w:szCs w:val="24"/>
          <w:vertAlign w:val="subscript"/>
        </w:rPr>
        <w:t>neg</w:t>
      </w:r>
      <w:r w:rsidRPr="003A0B10">
        <w:rPr>
          <w:rFonts w:eastAsia="Arial" w:cs="Times New Roman"/>
          <w:szCs w:val="24"/>
        </w:rPr>
        <w:t xml:space="preserve"> cases).</w:t>
      </w:r>
    </w:p>
    <w:tbl>
      <w:tblPr>
        <w:tblW w:w="8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1843"/>
        <w:gridCol w:w="2150"/>
        <w:gridCol w:w="998"/>
      </w:tblGrid>
      <w:tr w:rsidR="00AC2F83" w:rsidRPr="003A0B10" w14:paraId="38D6F9F2" w14:textId="77777777" w:rsidTr="00B97BBC">
        <w:trPr>
          <w:jc w:val="center"/>
        </w:trPr>
        <w:tc>
          <w:tcPr>
            <w:tcW w:w="3964" w:type="dxa"/>
          </w:tcPr>
          <w:p w14:paraId="4E46B308" w14:textId="77777777" w:rsidR="00AC2F83" w:rsidRPr="003A0B10" w:rsidRDefault="00AC2F83" w:rsidP="001976F9">
            <w:pPr>
              <w:spacing w:before="0" w:after="0" w:line="276" w:lineRule="auto"/>
              <w:jc w:val="both"/>
              <w:rPr>
                <w:rFonts w:eastAsia="Arial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4F0942" w14:textId="77777777" w:rsidR="00AC2F83" w:rsidRPr="005D2897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b/>
                <w:bCs/>
                <w:szCs w:val="24"/>
              </w:rPr>
            </w:pPr>
            <w:r w:rsidRPr="005D2897">
              <w:rPr>
                <w:rFonts w:eastAsia="Arial" w:cs="Times New Roman"/>
                <w:b/>
                <w:bCs/>
                <w:szCs w:val="24"/>
              </w:rPr>
              <w:t>ABMR</w:t>
            </w:r>
            <w:r w:rsidRPr="005D2897">
              <w:rPr>
                <w:rFonts w:eastAsia="Arial" w:cs="Times New Roman"/>
                <w:b/>
                <w:bCs/>
                <w:szCs w:val="24"/>
                <w:vertAlign w:val="subscript"/>
              </w:rPr>
              <w:t>h</w:t>
            </w:r>
            <w:r w:rsidRPr="005D2897">
              <w:rPr>
                <w:rFonts w:eastAsia="Arial" w:cs="Times New Roman"/>
                <w:b/>
                <w:bCs/>
                <w:szCs w:val="24"/>
              </w:rPr>
              <w:t>DSA</w:t>
            </w:r>
            <w:r w:rsidRPr="005D2897">
              <w:rPr>
                <w:rFonts w:eastAsia="Arial" w:cs="Times New Roman"/>
                <w:b/>
                <w:bCs/>
                <w:szCs w:val="24"/>
                <w:vertAlign w:val="subscript"/>
              </w:rPr>
              <w:t>pos</w:t>
            </w:r>
            <w:r w:rsidRPr="005D2897">
              <w:rPr>
                <w:rFonts w:eastAsia="Arial" w:cs="Times New Roman"/>
                <w:b/>
                <w:bCs/>
                <w:szCs w:val="24"/>
              </w:rPr>
              <w:t xml:space="preserve"> (n=38)</w:t>
            </w:r>
          </w:p>
        </w:tc>
        <w:tc>
          <w:tcPr>
            <w:tcW w:w="2150" w:type="dxa"/>
            <w:vAlign w:val="center"/>
          </w:tcPr>
          <w:p w14:paraId="3822EA2A" w14:textId="77777777" w:rsidR="00AC2F83" w:rsidRPr="005D2897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b/>
                <w:bCs/>
                <w:szCs w:val="24"/>
              </w:rPr>
            </w:pPr>
            <w:r w:rsidRPr="005D2897">
              <w:rPr>
                <w:rFonts w:eastAsia="Arial" w:cs="Times New Roman"/>
                <w:b/>
                <w:bCs/>
                <w:szCs w:val="24"/>
              </w:rPr>
              <w:t>No ABMR</w:t>
            </w:r>
            <w:r w:rsidRPr="005D2897">
              <w:rPr>
                <w:rFonts w:eastAsia="Arial" w:cs="Times New Roman"/>
                <w:b/>
                <w:bCs/>
                <w:szCs w:val="24"/>
                <w:vertAlign w:val="subscript"/>
              </w:rPr>
              <w:t>h</w:t>
            </w:r>
            <w:r w:rsidRPr="005D2897">
              <w:rPr>
                <w:rFonts w:eastAsia="Arial" w:cs="Times New Roman"/>
                <w:b/>
                <w:bCs/>
                <w:szCs w:val="24"/>
              </w:rPr>
              <w:t>DSA</w:t>
            </w:r>
            <w:r w:rsidRPr="005D2897">
              <w:rPr>
                <w:rFonts w:eastAsia="Arial" w:cs="Times New Roman"/>
                <w:b/>
                <w:bCs/>
                <w:szCs w:val="24"/>
                <w:vertAlign w:val="subscript"/>
              </w:rPr>
              <w:t xml:space="preserve">pos </w:t>
            </w:r>
            <w:r w:rsidRPr="005D2897">
              <w:rPr>
                <w:rFonts w:eastAsia="Arial" w:cs="Times New Roman"/>
                <w:b/>
                <w:bCs/>
                <w:szCs w:val="24"/>
              </w:rPr>
              <w:t>(n=80)</w:t>
            </w:r>
          </w:p>
        </w:tc>
        <w:tc>
          <w:tcPr>
            <w:tcW w:w="998" w:type="dxa"/>
            <w:vAlign w:val="center"/>
          </w:tcPr>
          <w:p w14:paraId="2E7E2826" w14:textId="77777777" w:rsidR="00AC2F83" w:rsidRPr="005D2897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b/>
                <w:bCs/>
                <w:szCs w:val="24"/>
              </w:rPr>
            </w:pPr>
            <w:r w:rsidRPr="005D2897">
              <w:rPr>
                <w:rFonts w:eastAsia="Arial" w:cs="Times New Roman"/>
                <w:b/>
                <w:bCs/>
                <w:szCs w:val="24"/>
              </w:rPr>
              <w:t>p-value</w:t>
            </w:r>
          </w:p>
        </w:tc>
      </w:tr>
      <w:tr w:rsidR="00AC2F83" w:rsidRPr="003A0B10" w14:paraId="2D08ABDA" w14:textId="77777777" w:rsidTr="00B97BBC">
        <w:trPr>
          <w:jc w:val="center"/>
        </w:trPr>
        <w:tc>
          <w:tcPr>
            <w:tcW w:w="3964" w:type="dxa"/>
          </w:tcPr>
          <w:p w14:paraId="2A3F7EF9" w14:textId="77777777" w:rsidR="00AC2F83" w:rsidRPr="003A0B10" w:rsidRDefault="00AC2F83" w:rsidP="001976F9">
            <w:pPr>
              <w:spacing w:before="0" w:after="0" w:line="276" w:lineRule="auto"/>
              <w:jc w:val="both"/>
              <w:rPr>
                <w:rFonts w:eastAsia="Arial" w:cs="Times New Roman"/>
                <w:szCs w:val="24"/>
              </w:rPr>
            </w:pPr>
            <w:r w:rsidRPr="003A0B10">
              <w:rPr>
                <w:rFonts w:eastAsia="Arial" w:cs="Times New Roman"/>
                <w:szCs w:val="24"/>
              </w:rPr>
              <w:t>Post-transplant HLA-DSA (yes, %)</w:t>
            </w:r>
          </w:p>
        </w:tc>
        <w:tc>
          <w:tcPr>
            <w:tcW w:w="1843" w:type="dxa"/>
          </w:tcPr>
          <w:p w14:paraId="60F6E9ED" w14:textId="77777777" w:rsidR="00AC2F83" w:rsidRPr="003A0B10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3A0B10">
              <w:rPr>
                <w:rFonts w:eastAsia="Arial" w:cs="Times New Roman"/>
                <w:szCs w:val="24"/>
              </w:rPr>
              <w:t>38 (100%)</w:t>
            </w:r>
          </w:p>
        </w:tc>
        <w:tc>
          <w:tcPr>
            <w:tcW w:w="2150" w:type="dxa"/>
          </w:tcPr>
          <w:p w14:paraId="7B791045" w14:textId="77777777" w:rsidR="00AC2F83" w:rsidRPr="003A0B10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3A0B10">
              <w:rPr>
                <w:rFonts w:eastAsia="Arial" w:cs="Times New Roman"/>
                <w:szCs w:val="24"/>
              </w:rPr>
              <w:t>11 (13.8%)</w:t>
            </w:r>
          </w:p>
        </w:tc>
        <w:tc>
          <w:tcPr>
            <w:tcW w:w="998" w:type="dxa"/>
          </w:tcPr>
          <w:p w14:paraId="6E722BD6" w14:textId="77777777" w:rsidR="00AC2F83" w:rsidRPr="004257C5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b/>
                <w:bCs/>
                <w:szCs w:val="24"/>
              </w:rPr>
            </w:pPr>
            <w:r w:rsidRPr="004257C5">
              <w:rPr>
                <w:rFonts w:eastAsia="Arial" w:cs="Times New Roman"/>
                <w:b/>
                <w:bCs/>
                <w:szCs w:val="24"/>
              </w:rPr>
              <w:t>&lt;0.001</w:t>
            </w:r>
          </w:p>
        </w:tc>
      </w:tr>
      <w:tr w:rsidR="00AC2F83" w:rsidRPr="003A0B10" w14:paraId="724C8EC6" w14:textId="77777777" w:rsidTr="00B97BBC">
        <w:trPr>
          <w:jc w:val="center"/>
        </w:trPr>
        <w:tc>
          <w:tcPr>
            <w:tcW w:w="3964" w:type="dxa"/>
          </w:tcPr>
          <w:p w14:paraId="40B58E75" w14:textId="77777777" w:rsidR="00AC2F83" w:rsidRPr="003A0B10" w:rsidRDefault="00AC2F83" w:rsidP="001976F9">
            <w:pPr>
              <w:spacing w:before="0" w:after="0" w:line="276" w:lineRule="auto"/>
              <w:jc w:val="both"/>
              <w:rPr>
                <w:rFonts w:eastAsia="Arial" w:cs="Times New Roman"/>
                <w:szCs w:val="24"/>
              </w:rPr>
            </w:pPr>
            <w:r w:rsidRPr="003A0B10">
              <w:rPr>
                <w:rFonts w:eastAsia="Arial" w:cs="Times New Roman"/>
                <w:szCs w:val="24"/>
              </w:rPr>
              <w:t>Post-transplant AT</w:t>
            </w:r>
            <w:r w:rsidRPr="003A0B10">
              <w:rPr>
                <w:rFonts w:eastAsia="Arial" w:cs="Times New Roman"/>
                <w:szCs w:val="24"/>
                <w:vertAlign w:val="subscript"/>
              </w:rPr>
              <w:t>1</w:t>
            </w:r>
            <w:r w:rsidRPr="003A0B10">
              <w:rPr>
                <w:rFonts w:eastAsia="Arial" w:cs="Times New Roman"/>
                <w:szCs w:val="24"/>
              </w:rPr>
              <w:t>R-Ab (yes, %)</w:t>
            </w:r>
          </w:p>
        </w:tc>
        <w:tc>
          <w:tcPr>
            <w:tcW w:w="1843" w:type="dxa"/>
          </w:tcPr>
          <w:p w14:paraId="1026E431" w14:textId="77777777" w:rsidR="00AC2F83" w:rsidRPr="003A0B10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3A0B10">
              <w:rPr>
                <w:rFonts w:eastAsia="Arial" w:cs="Times New Roman"/>
                <w:szCs w:val="24"/>
              </w:rPr>
              <w:t>10 (26.3%)</w:t>
            </w:r>
          </w:p>
        </w:tc>
        <w:tc>
          <w:tcPr>
            <w:tcW w:w="2150" w:type="dxa"/>
          </w:tcPr>
          <w:p w14:paraId="3F0CDC6E" w14:textId="77777777" w:rsidR="00AC2F83" w:rsidRPr="003A0B10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3A0B10">
              <w:rPr>
                <w:rFonts w:eastAsia="Arial" w:cs="Times New Roman"/>
                <w:szCs w:val="24"/>
              </w:rPr>
              <w:t>20 (25%)</w:t>
            </w:r>
          </w:p>
        </w:tc>
        <w:tc>
          <w:tcPr>
            <w:tcW w:w="998" w:type="dxa"/>
          </w:tcPr>
          <w:p w14:paraId="6B713D60" w14:textId="77777777" w:rsidR="00AC2F83" w:rsidRPr="003A0B10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3A0B10">
              <w:rPr>
                <w:rFonts w:eastAsia="Arial" w:cs="Times New Roman"/>
                <w:szCs w:val="24"/>
              </w:rPr>
              <w:t>0.88</w:t>
            </w:r>
          </w:p>
        </w:tc>
      </w:tr>
      <w:tr w:rsidR="00AC2F83" w:rsidRPr="003A0B10" w14:paraId="55455C00" w14:textId="77777777" w:rsidTr="00B97BBC">
        <w:trPr>
          <w:jc w:val="center"/>
        </w:trPr>
        <w:tc>
          <w:tcPr>
            <w:tcW w:w="3964" w:type="dxa"/>
          </w:tcPr>
          <w:p w14:paraId="7E0E285A" w14:textId="77777777" w:rsidR="00AC2F83" w:rsidRPr="003A0B10" w:rsidRDefault="00AC2F83" w:rsidP="001976F9">
            <w:pPr>
              <w:spacing w:before="0" w:after="0" w:line="276" w:lineRule="auto"/>
              <w:jc w:val="both"/>
              <w:rPr>
                <w:rFonts w:eastAsia="Arial" w:cs="Times New Roman"/>
                <w:szCs w:val="24"/>
              </w:rPr>
            </w:pPr>
            <w:r w:rsidRPr="003A0B10">
              <w:rPr>
                <w:rFonts w:eastAsia="Arial" w:cs="Times New Roman"/>
                <w:szCs w:val="24"/>
              </w:rPr>
              <w:t>Post-transplant ETAR-Ab (yes, %)</w:t>
            </w:r>
          </w:p>
        </w:tc>
        <w:tc>
          <w:tcPr>
            <w:tcW w:w="1843" w:type="dxa"/>
          </w:tcPr>
          <w:p w14:paraId="002F1097" w14:textId="77777777" w:rsidR="00AC2F83" w:rsidRPr="003A0B10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3A0B10">
              <w:rPr>
                <w:rFonts w:eastAsia="Arial" w:cs="Times New Roman"/>
                <w:szCs w:val="24"/>
              </w:rPr>
              <w:t>6 (15.8%)</w:t>
            </w:r>
          </w:p>
        </w:tc>
        <w:tc>
          <w:tcPr>
            <w:tcW w:w="2150" w:type="dxa"/>
          </w:tcPr>
          <w:p w14:paraId="289C2921" w14:textId="77777777" w:rsidR="00AC2F83" w:rsidRPr="003A0B10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3A0B10">
              <w:rPr>
                <w:rFonts w:eastAsia="Arial" w:cs="Times New Roman"/>
                <w:szCs w:val="24"/>
              </w:rPr>
              <w:t>13 (16.3%)</w:t>
            </w:r>
          </w:p>
        </w:tc>
        <w:tc>
          <w:tcPr>
            <w:tcW w:w="998" w:type="dxa"/>
          </w:tcPr>
          <w:p w14:paraId="09E29A47" w14:textId="77777777" w:rsidR="00AC2F83" w:rsidRPr="003A0B10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3A0B10">
              <w:rPr>
                <w:rFonts w:eastAsia="Arial" w:cs="Times New Roman"/>
                <w:szCs w:val="24"/>
              </w:rPr>
              <w:t>0.95</w:t>
            </w:r>
          </w:p>
        </w:tc>
      </w:tr>
      <w:tr w:rsidR="00AC2F83" w:rsidRPr="003A0B10" w14:paraId="3612CC92" w14:textId="77777777" w:rsidTr="00B97BBC">
        <w:trPr>
          <w:jc w:val="center"/>
        </w:trPr>
        <w:tc>
          <w:tcPr>
            <w:tcW w:w="3964" w:type="dxa"/>
          </w:tcPr>
          <w:p w14:paraId="60E74D68" w14:textId="77777777" w:rsidR="00AC2F83" w:rsidRPr="003A0B10" w:rsidRDefault="00AC2F83" w:rsidP="001976F9">
            <w:pPr>
              <w:spacing w:before="0" w:after="0" w:line="276" w:lineRule="auto"/>
              <w:jc w:val="both"/>
              <w:rPr>
                <w:rFonts w:eastAsia="Arial" w:cs="Times New Roman"/>
                <w:szCs w:val="24"/>
              </w:rPr>
            </w:pPr>
            <w:r w:rsidRPr="003A0B10">
              <w:rPr>
                <w:rFonts w:eastAsia="Arial" w:cs="Times New Roman"/>
                <w:szCs w:val="24"/>
              </w:rPr>
              <w:t>Post-transplant MICA-Ab (yes, %)</w:t>
            </w:r>
          </w:p>
        </w:tc>
        <w:tc>
          <w:tcPr>
            <w:tcW w:w="1843" w:type="dxa"/>
          </w:tcPr>
          <w:p w14:paraId="24916DB8" w14:textId="77777777" w:rsidR="00AC2F83" w:rsidRPr="003A0B10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3A0B10">
              <w:rPr>
                <w:rFonts w:eastAsia="Arial" w:cs="Times New Roman"/>
                <w:szCs w:val="24"/>
              </w:rPr>
              <w:t>6 (15.8%)</w:t>
            </w:r>
          </w:p>
        </w:tc>
        <w:tc>
          <w:tcPr>
            <w:tcW w:w="2150" w:type="dxa"/>
          </w:tcPr>
          <w:p w14:paraId="7A2AE4A3" w14:textId="77777777" w:rsidR="00AC2F83" w:rsidRPr="003A0B10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3A0B10">
              <w:rPr>
                <w:rFonts w:eastAsia="Arial" w:cs="Times New Roman"/>
                <w:szCs w:val="24"/>
              </w:rPr>
              <w:t>9 (11.3%)</w:t>
            </w:r>
          </w:p>
        </w:tc>
        <w:tc>
          <w:tcPr>
            <w:tcW w:w="998" w:type="dxa"/>
          </w:tcPr>
          <w:p w14:paraId="5A923547" w14:textId="77777777" w:rsidR="00AC2F83" w:rsidRPr="003A0B10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3A0B10">
              <w:rPr>
                <w:rFonts w:eastAsia="Arial" w:cs="Times New Roman"/>
                <w:szCs w:val="24"/>
              </w:rPr>
              <w:t>0.56</w:t>
            </w:r>
          </w:p>
        </w:tc>
      </w:tr>
      <w:tr w:rsidR="00AC2F83" w:rsidRPr="003A0B10" w14:paraId="7F1E0593" w14:textId="77777777" w:rsidTr="00B97BBC">
        <w:trPr>
          <w:jc w:val="center"/>
        </w:trPr>
        <w:tc>
          <w:tcPr>
            <w:tcW w:w="3964" w:type="dxa"/>
          </w:tcPr>
          <w:p w14:paraId="0A3EC679" w14:textId="77777777" w:rsidR="00AC2F83" w:rsidRPr="003A0B10" w:rsidRDefault="00AC2F83" w:rsidP="001976F9">
            <w:pPr>
              <w:spacing w:before="0" w:after="0" w:line="276" w:lineRule="auto"/>
              <w:jc w:val="both"/>
              <w:rPr>
                <w:rFonts w:eastAsia="Arial" w:cs="Times New Roman"/>
                <w:szCs w:val="24"/>
              </w:rPr>
            </w:pPr>
            <w:r w:rsidRPr="003A0B10">
              <w:rPr>
                <w:rFonts w:eastAsia="Arial" w:cs="Times New Roman"/>
                <w:szCs w:val="24"/>
              </w:rPr>
              <w:t xml:space="preserve">Post-transplant EC-XM (positive, %) </w:t>
            </w:r>
            <w:r w:rsidRPr="003A0B10">
              <w:rPr>
                <w:rFonts w:eastAsia="Arial" w:cs="Times New Roman"/>
                <w:szCs w:val="24"/>
                <w:vertAlign w:val="superscript"/>
              </w:rPr>
              <w:t>#</w:t>
            </w:r>
          </w:p>
        </w:tc>
        <w:tc>
          <w:tcPr>
            <w:tcW w:w="1843" w:type="dxa"/>
          </w:tcPr>
          <w:p w14:paraId="2550C3BC" w14:textId="77777777" w:rsidR="00AC2F83" w:rsidRPr="003A0B10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3A0B10">
              <w:rPr>
                <w:rFonts w:eastAsia="Arial" w:cs="Times New Roman"/>
                <w:szCs w:val="24"/>
              </w:rPr>
              <w:t>4 (13.3%)</w:t>
            </w:r>
          </w:p>
        </w:tc>
        <w:tc>
          <w:tcPr>
            <w:tcW w:w="2150" w:type="dxa"/>
          </w:tcPr>
          <w:p w14:paraId="2671CA7B" w14:textId="77777777" w:rsidR="00AC2F83" w:rsidRPr="003A0B10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3A0B10">
              <w:rPr>
                <w:rFonts w:eastAsia="Arial" w:cs="Times New Roman"/>
                <w:szCs w:val="24"/>
              </w:rPr>
              <w:t>4 (5.5%)</w:t>
            </w:r>
          </w:p>
        </w:tc>
        <w:tc>
          <w:tcPr>
            <w:tcW w:w="998" w:type="dxa"/>
          </w:tcPr>
          <w:p w14:paraId="76719996" w14:textId="77777777" w:rsidR="00AC2F83" w:rsidRPr="003A0B10" w:rsidRDefault="00AC2F83" w:rsidP="001976F9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3A0B10">
              <w:rPr>
                <w:rFonts w:eastAsia="Arial" w:cs="Times New Roman"/>
                <w:szCs w:val="24"/>
              </w:rPr>
              <w:t>0.23</w:t>
            </w:r>
          </w:p>
        </w:tc>
      </w:tr>
    </w:tbl>
    <w:p w14:paraId="3DC8E2CC" w14:textId="77777777" w:rsidR="00AC2F83" w:rsidRPr="003A0B10" w:rsidRDefault="00AC2F83" w:rsidP="00DD765D">
      <w:pPr>
        <w:spacing w:before="240" w:after="160"/>
        <w:jc w:val="both"/>
        <w:rPr>
          <w:rFonts w:eastAsia="Arial" w:cs="Times New Roman"/>
          <w:szCs w:val="24"/>
        </w:rPr>
      </w:pPr>
      <w:r w:rsidRPr="003A0B10">
        <w:rPr>
          <w:rFonts w:eastAsia="Arial" w:cs="Times New Roman"/>
          <w:szCs w:val="24"/>
          <w:vertAlign w:val="superscript"/>
        </w:rPr>
        <w:t>#</w:t>
      </w:r>
      <w:r w:rsidRPr="003A0B10">
        <w:rPr>
          <w:rFonts w:eastAsia="Arial" w:cs="Times New Roman"/>
          <w:szCs w:val="24"/>
        </w:rPr>
        <w:t>30 ABMR</w:t>
      </w:r>
      <w:r w:rsidRPr="003A0B10">
        <w:rPr>
          <w:rFonts w:eastAsia="Arial" w:cs="Times New Roman"/>
          <w:szCs w:val="24"/>
          <w:vertAlign w:val="subscript"/>
        </w:rPr>
        <w:t>h</w:t>
      </w:r>
      <w:r w:rsidRPr="003A0B10">
        <w:rPr>
          <w:rFonts w:eastAsia="Arial" w:cs="Times New Roman"/>
          <w:szCs w:val="24"/>
        </w:rPr>
        <w:t>DSA</w:t>
      </w:r>
      <w:r w:rsidRPr="003A0B10">
        <w:rPr>
          <w:rFonts w:eastAsia="Arial" w:cs="Times New Roman"/>
          <w:szCs w:val="24"/>
          <w:vertAlign w:val="subscript"/>
        </w:rPr>
        <w:t>pos</w:t>
      </w:r>
      <w:r w:rsidRPr="003A0B10">
        <w:rPr>
          <w:rFonts w:eastAsia="Arial" w:cs="Times New Roman"/>
          <w:szCs w:val="24"/>
        </w:rPr>
        <w:t xml:space="preserve"> and 73 non-ABMR</w:t>
      </w:r>
      <w:r w:rsidRPr="003A0B10">
        <w:rPr>
          <w:rFonts w:eastAsia="Arial" w:cs="Times New Roman"/>
          <w:szCs w:val="24"/>
          <w:vertAlign w:val="subscript"/>
        </w:rPr>
        <w:t>h</w:t>
      </w:r>
      <w:r w:rsidRPr="003A0B10">
        <w:rPr>
          <w:rFonts w:eastAsia="Arial" w:cs="Times New Roman"/>
          <w:szCs w:val="24"/>
        </w:rPr>
        <w:t>DSA</w:t>
      </w:r>
      <w:r w:rsidRPr="003A0B10">
        <w:rPr>
          <w:rFonts w:eastAsia="Arial" w:cs="Times New Roman"/>
          <w:szCs w:val="24"/>
          <w:vertAlign w:val="subscript"/>
        </w:rPr>
        <w:t>pos</w:t>
      </w:r>
      <w:r w:rsidRPr="003A0B10">
        <w:rPr>
          <w:rFonts w:eastAsia="Arial" w:cs="Times New Roman"/>
          <w:szCs w:val="24"/>
        </w:rPr>
        <w:t xml:space="preserve"> cases.</w:t>
      </w:r>
    </w:p>
    <w:p w14:paraId="3AE196DF" w14:textId="3787E5F7" w:rsidR="00994A3D" w:rsidRPr="00816C0E" w:rsidRDefault="00AC2F83" w:rsidP="005A6198">
      <w:pPr>
        <w:spacing w:before="240" w:after="0"/>
        <w:jc w:val="both"/>
        <w:rPr>
          <w:rFonts w:eastAsia="Arial" w:cs="Times New Roman"/>
          <w:szCs w:val="24"/>
        </w:rPr>
      </w:pPr>
      <w:r w:rsidRPr="003A0B10">
        <w:rPr>
          <w:rFonts w:eastAsia="Arial" w:cs="Times New Roman"/>
          <w:szCs w:val="24"/>
        </w:rPr>
        <w:t>AT</w:t>
      </w:r>
      <w:r w:rsidRPr="003A0B10">
        <w:rPr>
          <w:rFonts w:eastAsia="Arial" w:cs="Times New Roman"/>
          <w:szCs w:val="24"/>
          <w:vertAlign w:val="subscript"/>
        </w:rPr>
        <w:t>1</w:t>
      </w:r>
      <w:r w:rsidRPr="003A0B10">
        <w:rPr>
          <w:rFonts w:eastAsia="Arial" w:cs="Times New Roman"/>
          <w:szCs w:val="24"/>
        </w:rPr>
        <w:t>R-Ab: antibodies against angiotensin II type 1 receptor; EC-XM: crossmatch with primary aortic endothelial cells; ETAR-Ab: antibodies against endothelin-1 type A receptor; HLA-DSA: HLA donor-specific antibodies; MICA-Ab: antibodies against major histocompatibility complex class I related chain A.</w:t>
      </w:r>
      <w:r w:rsidR="00994A3D" w:rsidRPr="001549D3">
        <w:rPr>
          <w:rFonts w:cs="Times New Roman"/>
          <w:szCs w:val="24"/>
        </w:rPr>
        <w:t xml:space="preserve"> 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6532D" w14:textId="77777777" w:rsidR="006D1F59" w:rsidRDefault="006D1F59" w:rsidP="00117666">
      <w:pPr>
        <w:spacing w:after="0"/>
      </w:pPr>
      <w:r>
        <w:separator/>
      </w:r>
    </w:p>
  </w:endnote>
  <w:endnote w:type="continuationSeparator" w:id="0">
    <w:p w14:paraId="57D31C5E" w14:textId="77777777" w:rsidR="006D1F59" w:rsidRDefault="006D1F5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755EA" w14:textId="77777777" w:rsidR="006D1F59" w:rsidRDefault="006D1F59" w:rsidP="00117666">
      <w:pPr>
        <w:spacing w:after="0"/>
      </w:pPr>
      <w:r>
        <w:separator/>
      </w:r>
    </w:p>
  </w:footnote>
  <w:footnote w:type="continuationSeparator" w:id="0">
    <w:p w14:paraId="535CC9EC" w14:textId="77777777" w:rsidR="006D1F59" w:rsidRDefault="006D1F5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B7A92"/>
    <w:rsid w:val="00105FD9"/>
    <w:rsid w:val="00117666"/>
    <w:rsid w:val="0012645A"/>
    <w:rsid w:val="001549D3"/>
    <w:rsid w:val="00160065"/>
    <w:rsid w:val="00160A7A"/>
    <w:rsid w:val="00177D84"/>
    <w:rsid w:val="001970C6"/>
    <w:rsid w:val="001976F9"/>
    <w:rsid w:val="00204CB2"/>
    <w:rsid w:val="00267D18"/>
    <w:rsid w:val="00274347"/>
    <w:rsid w:val="002868E2"/>
    <w:rsid w:val="002869C3"/>
    <w:rsid w:val="00291BAA"/>
    <w:rsid w:val="002936E4"/>
    <w:rsid w:val="002B4A57"/>
    <w:rsid w:val="002C74CA"/>
    <w:rsid w:val="002F69CD"/>
    <w:rsid w:val="00304C73"/>
    <w:rsid w:val="003123F4"/>
    <w:rsid w:val="003544FB"/>
    <w:rsid w:val="00371A9C"/>
    <w:rsid w:val="00376122"/>
    <w:rsid w:val="003A0B10"/>
    <w:rsid w:val="003D2F2D"/>
    <w:rsid w:val="003D5A64"/>
    <w:rsid w:val="003F0DBA"/>
    <w:rsid w:val="00401590"/>
    <w:rsid w:val="00414765"/>
    <w:rsid w:val="004257C5"/>
    <w:rsid w:val="00426736"/>
    <w:rsid w:val="00447801"/>
    <w:rsid w:val="00452E9C"/>
    <w:rsid w:val="004735C8"/>
    <w:rsid w:val="004947A6"/>
    <w:rsid w:val="004961FF"/>
    <w:rsid w:val="004D46BA"/>
    <w:rsid w:val="00517A89"/>
    <w:rsid w:val="005250F2"/>
    <w:rsid w:val="005723B5"/>
    <w:rsid w:val="00585BCA"/>
    <w:rsid w:val="00593EEA"/>
    <w:rsid w:val="005A5EEE"/>
    <w:rsid w:val="005A6198"/>
    <w:rsid w:val="005D2897"/>
    <w:rsid w:val="006375C7"/>
    <w:rsid w:val="00654E8F"/>
    <w:rsid w:val="00660D05"/>
    <w:rsid w:val="006820B1"/>
    <w:rsid w:val="006B7D14"/>
    <w:rsid w:val="006D1F59"/>
    <w:rsid w:val="00701727"/>
    <w:rsid w:val="0070566C"/>
    <w:rsid w:val="00714C50"/>
    <w:rsid w:val="00725A7D"/>
    <w:rsid w:val="007501BE"/>
    <w:rsid w:val="00790BB3"/>
    <w:rsid w:val="007A2240"/>
    <w:rsid w:val="007C206C"/>
    <w:rsid w:val="007F3650"/>
    <w:rsid w:val="00816C0E"/>
    <w:rsid w:val="00817DD6"/>
    <w:rsid w:val="0083759F"/>
    <w:rsid w:val="00885156"/>
    <w:rsid w:val="009151AA"/>
    <w:rsid w:val="00932DDC"/>
    <w:rsid w:val="0093429D"/>
    <w:rsid w:val="00943573"/>
    <w:rsid w:val="00964134"/>
    <w:rsid w:val="00970F7D"/>
    <w:rsid w:val="00994A3D"/>
    <w:rsid w:val="009C2B12"/>
    <w:rsid w:val="009D20AB"/>
    <w:rsid w:val="00A174D9"/>
    <w:rsid w:val="00A2298C"/>
    <w:rsid w:val="00A75B2E"/>
    <w:rsid w:val="00AA4D24"/>
    <w:rsid w:val="00AB6715"/>
    <w:rsid w:val="00AC2F83"/>
    <w:rsid w:val="00AD1386"/>
    <w:rsid w:val="00B1671E"/>
    <w:rsid w:val="00B25EB8"/>
    <w:rsid w:val="00B37F4D"/>
    <w:rsid w:val="00B46D9E"/>
    <w:rsid w:val="00B4761E"/>
    <w:rsid w:val="00B60753"/>
    <w:rsid w:val="00B97BBC"/>
    <w:rsid w:val="00C10A3D"/>
    <w:rsid w:val="00C52A7B"/>
    <w:rsid w:val="00C56BAF"/>
    <w:rsid w:val="00C679AA"/>
    <w:rsid w:val="00C75972"/>
    <w:rsid w:val="00C90045"/>
    <w:rsid w:val="00CD066B"/>
    <w:rsid w:val="00CE4FEE"/>
    <w:rsid w:val="00D060CF"/>
    <w:rsid w:val="00D43050"/>
    <w:rsid w:val="00D66847"/>
    <w:rsid w:val="00D837D7"/>
    <w:rsid w:val="00DB59C3"/>
    <w:rsid w:val="00DC259A"/>
    <w:rsid w:val="00DC4317"/>
    <w:rsid w:val="00DD765D"/>
    <w:rsid w:val="00DE23E8"/>
    <w:rsid w:val="00E05215"/>
    <w:rsid w:val="00E37D89"/>
    <w:rsid w:val="00E52377"/>
    <w:rsid w:val="00E537AD"/>
    <w:rsid w:val="00E64E17"/>
    <w:rsid w:val="00E866C9"/>
    <w:rsid w:val="00EA3D3C"/>
    <w:rsid w:val="00EC090A"/>
    <w:rsid w:val="00EC6B29"/>
    <w:rsid w:val="00ED20B5"/>
    <w:rsid w:val="00F46900"/>
    <w:rsid w:val="00F61D89"/>
    <w:rsid w:val="00F6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17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Laura Llinàs Mallol</cp:lastModifiedBy>
  <cp:revision>46</cp:revision>
  <cp:lastPrinted>2013-10-03T12:51:00Z</cp:lastPrinted>
  <dcterms:created xsi:type="dcterms:W3CDTF">2018-11-23T08:58:00Z</dcterms:created>
  <dcterms:modified xsi:type="dcterms:W3CDTF">2021-06-27T17:12:00Z</dcterms:modified>
</cp:coreProperties>
</file>