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84B55" w14:textId="73A9D491" w:rsidR="00F575EB" w:rsidRPr="00904611" w:rsidRDefault="00F575EB" w:rsidP="0090461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bookmarkStart w:id="0" w:name="_Hlk57102065"/>
      <w:bookmarkStart w:id="1" w:name="_Hlk33454765"/>
      <w:bookmarkEnd w:id="0"/>
      <w:r w:rsidRPr="00904611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Afatinib in EGFR TKI-Naïve Patients with Locally Advanced or Metastatic </w:t>
      </w:r>
      <w:r w:rsidRPr="00904611">
        <w:rPr>
          <w:rFonts w:ascii="Times New Roman" w:hAnsi="Times New Roman"/>
          <w:b/>
          <w:i/>
          <w:color w:val="000000"/>
          <w:sz w:val="24"/>
          <w:szCs w:val="24"/>
          <w:lang w:val="en-US"/>
        </w:rPr>
        <w:t xml:space="preserve">EGFR </w:t>
      </w:r>
      <w:r w:rsidRPr="00904611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Mutation-Positive Non-Small Cell Lung Cancer: A Pooled Analysis of Three Phase </w:t>
      </w:r>
      <w:r w:rsidR="00187895">
        <w:rPr>
          <w:rFonts w:ascii="Times New Roman" w:hAnsi="Times New Roman"/>
          <w:b/>
          <w:color w:val="000000"/>
          <w:sz w:val="24"/>
          <w:szCs w:val="24"/>
          <w:lang w:val="en-US"/>
        </w:rPr>
        <w:t>III</w:t>
      </w:r>
      <w:r w:rsidRPr="00904611">
        <w:rPr>
          <w:rFonts w:ascii="Times New Roman" w:hAnsi="Times New Roman"/>
          <w:b/>
          <w:color w:val="000000"/>
          <w:sz w:val="24"/>
          <w:szCs w:val="24"/>
          <w:lang w:val="en-US"/>
        </w:rPr>
        <w:t>b Studies</w:t>
      </w:r>
    </w:p>
    <w:p w14:paraId="3440250E" w14:textId="77777777" w:rsidR="00AB333C" w:rsidRPr="00904611" w:rsidRDefault="00AB333C" w:rsidP="0090461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en-US"/>
        </w:rPr>
      </w:pPr>
    </w:p>
    <w:p w14:paraId="79FBDD2C" w14:textId="1C41C340" w:rsidR="000120E2" w:rsidRPr="00904611" w:rsidRDefault="00F575EB" w:rsidP="0090461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bookmarkStart w:id="2" w:name="_Hlk57037400"/>
      <w:bookmarkStart w:id="3" w:name="_Hlk57108984"/>
      <w:r w:rsidRPr="00904611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Antonio Passaro, </w:t>
      </w:r>
      <w:r w:rsidR="003473BE" w:rsidRPr="00904611">
        <w:rPr>
          <w:rFonts w:ascii="Times New Roman" w:hAnsi="Times New Roman"/>
          <w:bCs/>
          <w:color w:val="000000"/>
          <w:sz w:val="24"/>
          <w:szCs w:val="24"/>
          <w:lang w:val="en-US"/>
        </w:rPr>
        <w:t>et al.</w:t>
      </w:r>
      <w:bookmarkEnd w:id="1"/>
      <w:bookmarkEnd w:id="2"/>
      <w:bookmarkEnd w:id="3"/>
      <w:r w:rsidR="000120E2" w:rsidRPr="00904611">
        <w:rPr>
          <w:rFonts w:ascii="Times New Roman" w:hAnsi="Times New Roman"/>
          <w:bCs/>
          <w:color w:val="000000"/>
          <w:sz w:val="24"/>
          <w:szCs w:val="24"/>
          <w:lang w:val="en-US"/>
        </w:rPr>
        <w:br w:type="page"/>
      </w:r>
    </w:p>
    <w:tbl>
      <w:tblPr>
        <w:tblStyle w:val="TableGrid"/>
        <w:tblpPr w:leftFromText="180" w:rightFromText="180" w:vertAnchor="page" w:horzAnchor="margin" w:tblpY="2001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843"/>
        <w:gridCol w:w="567"/>
        <w:gridCol w:w="1276"/>
        <w:gridCol w:w="1701"/>
      </w:tblGrid>
      <w:tr w:rsidR="00BB6DDF" w:rsidRPr="00904611" w14:paraId="26AD6FD1" w14:textId="77777777" w:rsidTr="006D36FC">
        <w:tc>
          <w:tcPr>
            <w:tcW w:w="45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3508D88" w14:textId="77777777" w:rsidR="00BB6DDF" w:rsidRPr="006F67D5" w:rsidRDefault="00BB6DDF" w:rsidP="009046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Hlk33535343"/>
            <w:r w:rsidRPr="006F67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Category </w:t>
            </w:r>
          </w:p>
        </w:tc>
        <w:tc>
          <w:tcPr>
            <w:tcW w:w="5387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4525C58" w14:textId="20059B27" w:rsidR="00BB6DDF" w:rsidRPr="006F67D5" w:rsidRDefault="00BB6DDF" w:rsidP="00904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67D5">
              <w:rPr>
                <w:rFonts w:ascii="Times New Roman" w:hAnsi="Times New Roman"/>
                <w:b/>
                <w:sz w:val="24"/>
                <w:szCs w:val="24"/>
              </w:rPr>
              <w:t xml:space="preserve">Patient </w:t>
            </w:r>
            <w:r w:rsidR="006F67D5" w:rsidRPr="006F67D5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6F67D5">
              <w:rPr>
                <w:rFonts w:ascii="Times New Roman" w:hAnsi="Times New Roman"/>
                <w:b/>
                <w:sz w:val="24"/>
                <w:szCs w:val="24"/>
              </w:rPr>
              <w:t>ubgroup</w:t>
            </w:r>
          </w:p>
        </w:tc>
      </w:tr>
      <w:tr w:rsidR="00BB6DDF" w:rsidRPr="00904611" w14:paraId="1FCF2CDC" w14:textId="77777777" w:rsidTr="006D36FC"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66A77938" w14:textId="77777777" w:rsidR="00BB6DDF" w:rsidRPr="00904611" w:rsidRDefault="00BB6DDF" w:rsidP="009046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All patients</w:t>
            </w:r>
          </w:p>
        </w:tc>
        <w:tc>
          <w:tcPr>
            <w:tcW w:w="5387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41E24072" w14:textId="77777777" w:rsidR="00BB6DDF" w:rsidRPr="00904611" w:rsidRDefault="00BB6DDF" w:rsidP="009046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B6DDF" w:rsidRPr="00904611" w14:paraId="672CE961" w14:textId="77777777" w:rsidTr="006D36FC">
        <w:tc>
          <w:tcPr>
            <w:tcW w:w="4536" w:type="dxa"/>
            <w:shd w:val="clear" w:color="auto" w:fill="auto"/>
          </w:tcPr>
          <w:p w14:paraId="69F8A66C" w14:textId="5E728478" w:rsidR="00BB6DDF" w:rsidRPr="00904611" w:rsidRDefault="00BB6DDF" w:rsidP="00904611">
            <w:pPr>
              <w:spacing w:after="0" w:line="240" w:lineRule="auto"/>
              <w:ind w:firstLine="179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  <w:r w:rsidR="00FD2698" w:rsidRPr="0090461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gridSpan w:val="4"/>
            <w:shd w:val="clear" w:color="auto" w:fill="auto"/>
          </w:tcPr>
          <w:p w14:paraId="03156769" w14:textId="77777777" w:rsidR="00BB6DDF" w:rsidRPr="00904611" w:rsidRDefault="00BB6DDF" w:rsidP="009046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1108</w:t>
            </w:r>
          </w:p>
        </w:tc>
      </w:tr>
      <w:tr w:rsidR="00BB6DDF" w:rsidRPr="00904611" w14:paraId="1712E8F3" w14:textId="77777777" w:rsidTr="006D36FC">
        <w:tc>
          <w:tcPr>
            <w:tcW w:w="4536" w:type="dxa"/>
            <w:shd w:val="clear" w:color="auto" w:fill="auto"/>
          </w:tcPr>
          <w:p w14:paraId="41021DF5" w14:textId="76A0146F" w:rsidR="00BB6DDF" w:rsidRPr="00904611" w:rsidRDefault="00BB6DDF" w:rsidP="00904611">
            <w:pPr>
              <w:spacing w:after="0" w:line="240" w:lineRule="auto"/>
              <w:ind w:firstLine="179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Median DOR, months (95</w:t>
            </w:r>
            <w:r w:rsidR="0016733D" w:rsidRPr="00904611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 xml:space="preserve"> CI)</w:t>
            </w:r>
          </w:p>
        </w:tc>
        <w:tc>
          <w:tcPr>
            <w:tcW w:w="5387" w:type="dxa"/>
            <w:gridSpan w:val="4"/>
            <w:shd w:val="clear" w:color="auto" w:fill="auto"/>
          </w:tcPr>
          <w:p w14:paraId="09442A2E" w14:textId="76C90EBB" w:rsidR="00BB6DDF" w:rsidRPr="00904611" w:rsidRDefault="00BB6DDF" w:rsidP="009046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  <w:r w:rsidR="008E05A9" w:rsidRPr="0090461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 xml:space="preserve"> (12.2</w:t>
            </w:r>
            <w:r w:rsidR="00B019C2" w:rsidRPr="0090461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  <w:r w:rsidR="008E05A9" w:rsidRPr="0090461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BB6DDF" w:rsidRPr="00904611" w14:paraId="234AB67C" w14:textId="77777777" w:rsidTr="006D36FC">
        <w:tc>
          <w:tcPr>
            <w:tcW w:w="4536" w:type="dxa"/>
            <w:shd w:val="clear" w:color="auto" w:fill="auto"/>
          </w:tcPr>
          <w:p w14:paraId="4B7F7BA2" w14:textId="16315FBA" w:rsidR="00BB6DDF" w:rsidRPr="00904611" w:rsidRDefault="00BB6DDF" w:rsidP="00904611">
            <w:pPr>
              <w:spacing w:after="0" w:line="240" w:lineRule="auto"/>
              <w:ind w:firstLine="179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Median DDC, months (95</w:t>
            </w:r>
            <w:r w:rsidR="0016733D" w:rsidRPr="00904611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 xml:space="preserve"> CI)</w:t>
            </w:r>
          </w:p>
        </w:tc>
        <w:tc>
          <w:tcPr>
            <w:tcW w:w="5387" w:type="dxa"/>
            <w:gridSpan w:val="4"/>
            <w:shd w:val="clear" w:color="auto" w:fill="auto"/>
          </w:tcPr>
          <w:p w14:paraId="74B6C905" w14:textId="3289BA42" w:rsidR="00BB6DDF" w:rsidRPr="00904611" w:rsidRDefault="00BB6DDF" w:rsidP="009046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  <w:r w:rsidR="008E05A9" w:rsidRPr="0090461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 xml:space="preserve"> (13.6</w:t>
            </w:r>
            <w:r w:rsidR="00B019C2" w:rsidRPr="0090461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14.8)</w:t>
            </w:r>
          </w:p>
        </w:tc>
      </w:tr>
      <w:tr w:rsidR="00BB6DDF" w:rsidRPr="00904611" w14:paraId="1E2D4566" w14:textId="77777777" w:rsidTr="006D36FC">
        <w:tc>
          <w:tcPr>
            <w:tcW w:w="4536" w:type="dxa"/>
            <w:shd w:val="clear" w:color="auto" w:fill="auto"/>
          </w:tcPr>
          <w:p w14:paraId="04477BA8" w14:textId="1E2BA229" w:rsidR="00BB6DDF" w:rsidRPr="00904611" w:rsidRDefault="00BB6DDF" w:rsidP="009046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i/>
                <w:sz w:val="24"/>
                <w:szCs w:val="24"/>
              </w:rPr>
              <w:t>EGFR</w:t>
            </w: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 xml:space="preserve"> mutation type</w:t>
            </w:r>
            <w:r w:rsidR="008C25BB" w:rsidRPr="00904611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en-US"/>
              </w:rPr>
              <w:t>†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55F8FE2" w14:textId="2051E5E7" w:rsidR="00BB6DDF" w:rsidRPr="00904611" w:rsidRDefault="00BB6DDF" w:rsidP="009046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Common</w:t>
            </w:r>
            <w:r w:rsidR="00A3299E" w:rsidRPr="00904611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en-US"/>
              </w:rPr>
              <w:t>†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E1F9F40" w14:textId="7E43C9DB" w:rsidR="00BB6DDF" w:rsidRPr="00904611" w:rsidRDefault="00BB6DDF" w:rsidP="009046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Uncommon</w:t>
            </w:r>
            <w:r w:rsidR="00A3299E" w:rsidRPr="00904611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en-US"/>
              </w:rPr>
              <w:t>‡</w:t>
            </w:r>
          </w:p>
        </w:tc>
      </w:tr>
      <w:tr w:rsidR="00BB6DDF" w:rsidRPr="00904611" w14:paraId="2B4C0D1F" w14:textId="77777777" w:rsidTr="006D36FC">
        <w:tc>
          <w:tcPr>
            <w:tcW w:w="4536" w:type="dxa"/>
            <w:shd w:val="clear" w:color="auto" w:fill="auto"/>
          </w:tcPr>
          <w:p w14:paraId="49CC2A4D" w14:textId="77777777" w:rsidR="00BB6DDF" w:rsidRPr="00904611" w:rsidRDefault="00BB6DDF" w:rsidP="00904611">
            <w:pPr>
              <w:spacing w:after="0" w:line="240" w:lineRule="auto"/>
              <w:ind w:firstLine="179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87FBA6B" w14:textId="77777777" w:rsidR="00BB6DDF" w:rsidRPr="00904611" w:rsidRDefault="00BB6DDF" w:rsidP="009046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909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71F6AAC" w14:textId="77777777" w:rsidR="00BB6DDF" w:rsidRPr="00904611" w:rsidRDefault="00BB6DDF" w:rsidP="009046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198</w:t>
            </w:r>
          </w:p>
        </w:tc>
      </w:tr>
      <w:tr w:rsidR="00BB6DDF" w:rsidRPr="00904611" w14:paraId="035DA40A" w14:textId="77777777" w:rsidTr="006D36FC">
        <w:tc>
          <w:tcPr>
            <w:tcW w:w="4536" w:type="dxa"/>
            <w:shd w:val="clear" w:color="auto" w:fill="auto"/>
          </w:tcPr>
          <w:p w14:paraId="1FA0206D" w14:textId="3F569E1A" w:rsidR="00BB6DDF" w:rsidRPr="00904611" w:rsidRDefault="00BB6DDF" w:rsidP="00904611">
            <w:pPr>
              <w:spacing w:after="0" w:line="240" w:lineRule="auto"/>
              <w:ind w:firstLine="179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Median DOR, months (95</w:t>
            </w:r>
            <w:r w:rsidR="0016733D" w:rsidRPr="00904611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 xml:space="preserve"> CI)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D08B7FC" w14:textId="7853E3EA" w:rsidR="00BB6DDF" w:rsidRPr="00904611" w:rsidRDefault="00BB6DDF" w:rsidP="009046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13.6 (12.5</w:t>
            </w:r>
            <w:r w:rsidR="00B019C2" w:rsidRPr="0090461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14.8)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28715D7" w14:textId="2243F39A" w:rsidR="00BB6DDF" w:rsidRPr="00904611" w:rsidRDefault="00BB6DDF" w:rsidP="009046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  <w:r w:rsidR="008E05A9" w:rsidRPr="0090461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 xml:space="preserve"> (8.</w:t>
            </w:r>
            <w:r w:rsidR="008E05A9" w:rsidRPr="0090461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B019C2" w:rsidRPr="0090461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12.9)</w:t>
            </w:r>
          </w:p>
        </w:tc>
      </w:tr>
      <w:tr w:rsidR="00BB6DDF" w:rsidRPr="00904611" w14:paraId="730B59D6" w14:textId="77777777" w:rsidTr="006D36FC">
        <w:tc>
          <w:tcPr>
            <w:tcW w:w="4536" w:type="dxa"/>
            <w:shd w:val="clear" w:color="auto" w:fill="auto"/>
          </w:tcPr>
          <w:p w14:paraId="3A6AB953" w14:textId="7A85C654" w:rsidR="00BB6DDF" w:rsidRPr="00904611" w:rsidRDefault="00BB6DDF" w:rsidP="00904611">
            <w:pPr>
              <w:spacing w:after="0" w:line="240" w:lineRule="auto"/>
              <w:ind w:firstLine="179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Median DDC, months (95</w:t>
            </w:r>
            <w:r w:rsidR="0016733D" w:rsidRPr="00904611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 xml:space="preserve"> CI)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B5466A4" w14:textId="23D4C784" w:rsidR="00BB6DDF" w:rsidRPr="00904611" w:rsidRDefault="00BB6DDF" w:rsidP="009046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  <w:r w:rsidR="008E05A9" w:rsidRPr="0090461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 xml:space="preserve"> (13.</w:t>
            </w:r>
            <w:r w:rsidR="008E05A9" w:rsidRPr="0090461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BA4B9B" w:rsidRPr="0090461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B669B3" w:rsidRPr="0090461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5.9)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FF271F9" w14:textId="55FCAEE0" w:rsidR="00BB6DDF" w:rsidRPr="00904611" w:rsidRDefault="00BB6DDF" w:rsidP="009046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  <w:r w:rsidR="008E05A9" w:rsidRPr="0090461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 xml:space="preserve"> (8.</w:t>
            </w:r>
            <w:r w:rsidR="008E05A9" w:rsidRPr="0090461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019C2" w:rsidRPr="0090461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  <w:r w:rsidR="008E05A9" w:rsidRPr="0090461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BB6DDF" w:rsidRPr="00904611" w14:paraId="1D2646BF" w14:textId="77777777" w:rsidTr="006D36FC">
        <w:tc>
          <w:tcPr>
            <w:tcW w:w="4536" w:type="dxa"/>
            <w:shd w:val="clear" w:color="auto" w:fill="auto"/>
          </w:tcPr>
          <w:p w14:paraId="158254AA" w14:textId="77777777" w:rsidR="00BB6DDF" w:rsidRPr="00904611" w:rsidRDefault="00BB6DDF" w:rsidP="009046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ECOG PS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3F6C337" w14:textId="77777777" w:rsidR="00BB6DDF" w:rsidRPr="00904611" w:rsidRDefault="00BB6DDF" w:rsidP="009046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0/1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CABFD6E" w14:textId="77777777" w:rsidR="00BB6DDF" w:rsidRPr="00904611" w:rsidRDefault="00BB6DDF" w:rsidP="009046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B6DDF" w:rsidRPr="00904611" w14:paraId="09D78C75" w14:textId="77777777" w:rsidTr="006D36FC">
        <w:tc>
          <w:tcPr>
            <w:tcW w:w="4536" w:type="dxa"/>
            <w:shd w:val="clear" w:color="auto" w:fill="auto"/>
          </w:tcPr>
          <w:p w14:paraId="6074C282" w14:textId="77777777" w:rsidR="00BB6DDF" w:rsidRPr="00904611" w:rsidRDefault="00BB6DDF" w:rsidP="00904611">
            <w:pPr>
              <w:spacing w:after="0" w:line="240" w:lineRule="auto"/>
              <w:ind w:left="176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A56ED1C" w14:textId="77CFB86C" w:rsidR="00BB6DDF" w:rsidRPr="00904611" w:rsidRDefault="00BB6DDF" w:rsidP="009046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1058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3D33CFC" w14:textId="7CB2BBAD" w:rsidR="00BB6DDF" w:rsidRPr="00904611" w:rsidRDefault="00BB6DDF" w:rsidP="009046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</w:tr>
      <w:tr w:rsidR="00BB6DDF" w:rsidRPr="00904611" w14:paraId="1BCE366B" w14:textId="77777777" w:rsidTr="006D36FC">
        <w:tc>
          <w:tcPr>
            <w:tcW w:w="4536" w:type="dxa"/>
            <w:shd w:val="clear" w:color="auto" w:fill="auto"/>
          </w:tcPr>
          <w:p w14:paraId="2D341030" w14:textId="6F4D5FD5" w:rsidR="00BB6DDF" w:rsidRPr="00904611" w:rsidRDefault="00BB6DDF" w:rsidP="00904611">
            <w:pPr>
              <w:spacing w:after="0" w:line="240" w:lineRule="auto"/>
              <w:ind w:left="176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Median DOR, months (95</w:t>
            </w:r>
            <w:r w:rsidR="0016733D" w:rsidRPr="00904611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 xml:space="preserve"> CI)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15DD74E" w14:textId="0CE95125" w:rsidR="00BB6DDF" w:rsidRPr="00904611" w:rsidRDefault="00BB6DDF" w:rsidP="009046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13.2 (12.2</w:t>
            </w:r>
            <w:r w:rsidR="00B019C2" w:rsidRPr="0090461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  <w:r w:rsidR="008E05A9" w:rsidRPr="0090461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819AB52" w14:textId="1E880EA3" w:rsidR="00BB6DDF" w:rsidRPr="00904611" w:rsidRDefault="00B669B3" w:rsidP="009046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8.3</w:t>
            </w:r>
            <w:r w:rsidR="00BB6DDF" w:rsidRPr="00904611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8E05A9" w:rsidRPr="00904611">
              <w:rPr>
                <w:rFonts w:ascii="Times New Roman" w:hAnsi="Times New Roman"/>
                <w:bCs/>
                <w:sz w:val="24"/>
                <w:szCs w:val="24"/>
              </w:rPr>
              <w:t>5.0</w:t>
            </w:r>
            <w:r w:rsidR="00B019C2" w:rsidRPr="0090461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BB6DDF" w:rsidRPr="00904611">
              <w:rPr>
                <w:rFonts w:ascii="Times New Roman" w:hAnsi="Times New Roman"/>
                <w:bCs/>
                <w:sz w:val="24"/>
                <w:szCs w:val="24"/>
              </w:rPr>
              <w:t>13.0)</w:t>
            </w:r>
          </w:p>
        </w:tc>
      </w:tr>
      <w:tr w:rsidR="00BB6DDF" w:rsidRPr="00904611" w14:paraId="54BE59FE" w14:textId="77777777" w:rsidTr="006D36FC">
        <w:tc>
          <w:tcPr>
            <w:tcW w:w="4536" w:type="dxa"/>
            <w:shd w:val="clear" w:color="auto" w:fill="auto"/>
          </w:tcPr>
          <w:p w14:paraId="510A613D" w14:textId="048D51AE" w:rsidR="00BB6DDF" w:rsidRPr="00904611" w:rsidRDefault="00BB6DDF" w:rsidP="00904611">
            <w:pPr>
              <w:spacing w:after="0" w:line="240" w:lineRule="auto"/>
              <w:ind w:left="176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Median DDC, months (95</w:t>
            </w:r>
            <w:r w:rsidR="0016733D" w:rsidRPr="00904611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 xml:space="preserve"> CI)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6414E1C" w14:textId="7A782DB2" w:rsidR="00BB6DDF" w:rsidRPr="00904611" w:rsidRDefault="00BB6DDF" w:rsidP="009046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14.3 (13.</w:t>
            </w:r>
            <w:r w:rsidR="008E05A9" w:rsidRPr="0090461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B019C2" w:rsidRPr="0090461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15.2)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25E3FB1" w14:textId="44DADD8F" w:rsidR="00BB6DDF" w:rsidRPr="00904611" w:rsidRDefault="00B669B3" w:rsidP="009046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9.9</w:t>
            </w:r>
            <w:r w:rsidR="00BB6DDF" w:rsidRPr="00904611">
              <w:rPr>
                <w:rFonts w:ascii="Times New Roman" w:hAnsi="Times New Roman"/>
                <w:bCs/>
                <w:sz w:val="24"/>
                <w:szCs w:val="24"/>
              </w:rPr>
              <w:t xml:space="preserve"> (7.</w:t>
            </w:r>
            <w:r w:rsidR="008E05A9" w:rsidRPr="0090461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B019C2" w:rsidRPr="0090461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BB6DDF" w:rsidRPr="00904611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  <w:r w:rsidR="008E05A9" w:rsidRPr="0090461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BB6DDF" w:rsidRPr="00904611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BB6DDF" w:rsidRPr="00904611" w14:paraId="18CD32A3" w14:textId="77777777" w:rsidTr="006D36FC">
        <w:tc>
          <w:tcPr>
            <w:tcW w:w="4536" w:type="dxa"/>
            <w:shd w:val="clear" w:color="auto" w:fill="auto"/>
          </w:tcPr>
          <w:p w14:paraId="258F464F" w14:textId="504A1EE6" w:rsidR="00BB6DDF" w:rsidRPr="00904611" w:rsidRDefault="00BB6DDF" w:rsidP="009046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ECOG PS (patients with common mutations)</w:t>
            </w:r>
            <w:r w:rsidR="00773095" w:rsidRPr="00904611">
              <w:rPr>
                <w:rFonts w:ascii="Times New Roman" w:hAnsi="Times New Roman"/>
                <w:bCs/>
                <w:sz w:val="24"/>
                <w:szCs w:val="24"/>
                <w:vertAlign w:val="superscript"/>
                <w:lang w:val="en-US"/>
              </w:rPr>
              <w:t>†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48900CC" w14:textId="77777777" w:rsidR="00BB6DDF" w:rsidRPr="00904611" w:rsidRDefault="00BB6DDF" w:rsidP="009046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0/1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6F03926" w14:textId="77777777" w:rsidR="00BB6DDF" w:rsidRPr="00904611" w:rsidRDefault="00BB6DDF" w:rsidP="009046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B6DDF" w:rsidRPr="00904611" w14:paraId="7C8B2666" w14:textId="77777777" w:rsidTr="006D36FC">
        <w:tc>
          <w:tcPr>
            <w:tcW w:w="4536" w:type="dxa"/>
            <w:shd w:val="clear" w:color="auto" w:fill="auto"/>
          </w:tcPr>
          <w:p w14:paraId="131C43CD" w14:textId="77777777" w:rsidR="00BB6DDF" w:rsidRPr="00904611" w:rsidRDefault="00BB6DDF" w:rsidP="00904611">
            <w:pPr>
              <w:spacing w:after="0" w:line="240" w:lineRule="auto"/>
              <w:ind w:left="176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E61C5DF" w14:textId="43F39978" w:rsidR="00BB6DDF" w:rsidRPr="00904611" w:rsidRDefault="00BB6DDF" w:rsidP="009046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869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7F0D0E8" w14:textId="61F61831" w:rsidR="00BB6DDF" w:rsidRPr="00904611" w:rsidRDefault="00BB6DDF" w:rsidP="009046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BB6DDF" w:rsidRPr="00904611" w14:paraId="4C733D63" w14:textId="77777777" w:rsidTr="006D36FC">
        <w:tc>
          <w:tcPr>
            <w:tcW w:w="4536" w:type="dxa"/>
            <w:shd w:val="clear" w:color="auto" w:fill="auto"/>
          </w:tcPr>
          <w:p w14:paraId="014D1A42" w14:textId="0F90E20E" w:rsidR="00BB6DDF" w:rsidRPr="00904611" w:rsidRDefault="00BB6DDF" w:rsidP="00904611">
            <w:pPr>
              <w:spacing w:after="0" w:line="240" w:lineRule="auto"/>
              <w:ind w:left="176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Median DOR, months (95</w:t>
            </w:r>
            <w:r w:rsidR="0016733D" w:rsidRPr="00904611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 xml:space="preserve"> CI)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5F50B8E" w14:textId="03932693" w:rsidR="00BB6DDF" w:rsidRPr="00904611" w:rsidRDefault="00BB6DDF" w:rsidP="009046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  <w:r w:rsidR="008E05A9" w:rsidRPr="0090461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 xml:space="preserve"> (12.</w:t>
            </w:r>
            <w:r w:rsidR="008E05A9" w:rsidRPr="0090461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B019C2" w:rsidRPr="0090461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14.9)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4C8F532" w14:textId="03C83484" w:rsidR="00BB6DDF" w:rsidRPr="00904611" w:rsidRDefault="00BB6DDF" w:rsidP="009046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12.4 (</w:t>
            </w:r>
            <w:r w:rsidR="008E05A9" w:rsidRPr="00904611">
              <w:rPr>
                <w:rFonts w:ascii="Times New Roman" w:hAnsi="Times New Roman"/>
                <w:bCs/>
                <w:sz w:val="24"/>
                <w:szCs w:val="24"/>
              </w:rPr>
              <w:t>5.0</w:t>
            </w:r>
            <w:r w:rsidR="00B019C2" w:rsidRPr="0090461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  <w:r w:rsidR="008E05A9" w:rsidRPr="0090461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BB6DDF" w:rsidRPr="00904611" w14:paraId="01438A57" w14:textId="77777777" w:rsidTr="006D36FC">
        <w:tc>
          <w:tcPr>
            <w:tcW w:w="4536" w:type="dxa"/>
            <w:shd w:val="clear" w:color="auto" w:fill="auto"/>
          </w:tcPr>
          <w:p w14:paraId="7C06DEAF" w14:textId="6E6BDF3C" w:rsidR="00BB6DDF" w:rsidRPr="00904611" w:rsidRDefault="00BB6DDF" w:rsidP="00904611">
            <w:pPr>
              <w:spacing w:after="0" w:line="240" w:lineRule="auto"/>
              <w:ind w:left="176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Median DDC, months (95</w:t>
            </w:r>
            <w:r w:rsidR="0016733D" w:rsidRPr="00904611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 xml:space="preserve"> CI)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E99CE52" w14:textId="414F344B" w:rsidR="00BB6DDF" w:rsidRPr="00904611" w:rsidRDefault="00BB6DDF" w:rsidP="009046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14.8 (14.</w:t>
            </w:r>
            <w:r w:rsidR="008E05A9" w:rsidRPr="0090461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B019C2" w:rsidRPr="0090461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  <w:r w:rsidR="008E05A9" w:rsidRPr="0090461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D8CE53F" w14:textId="6EFC317A" w:rsidR="00BB6DDF" w:rsidRPr="00904611" w:rsidRDefault="00BB6DDF" w:rsidP="009046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9.9 (6.2</w:t>
            </w:r>
            <w:r w:rsidR="00B019C2" w:rsidRPr="0090461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B669B3" w:rsidRPr="00904611">
              <w:rPr>
                <w:rFonts w:ascii="Times New Roman" w:hAnsi="Times New Roman"/>
                <w:bCs/>
                <w:sz w:val="24"/>
                <w:szCs w:val="24"/>
              </w:rPr>
              <w:t>13.9</w:t>
            </w: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BB6DDF" w:rsidRPr="00904611" w14:paraId="2F3B8D23" w14:textId="77777777" w:rsidTr="006D36FC">
        <w:tc>
          <w:tcPr>
            <w:tcW w:w="4536" w:type="dxa"/>
            <w:shd w:val="clear" w:color="auto" w:fill="auto"/>
          </w:tcPr>
          <w:p w14:paraId="171EE707" w14:textId="77777777" w:rsidR="00BB6DDF" w:rsidRPr="00904611" w:rsidRDefault="00BB6DDF" w:rsidP="009046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 xml:space="preserve">Afatinib line of therapy </w:t>
            </w:r>
          </w:p>
        </w:tc>
        <w:tc>
          <w:tcPr>
            <w:tcW w:w="1843" w:type="dxa"/>
            <w:shd w:val="clear" w:color="auto" w:fill="auto"/>
          </w:tcPr>
          <w:p w14:paraId="1791AC99" w14:textId="0A446494" w:rsidR="00BB6DDF" w:rsidRPr="00904611" w:rsidRDefault="00B019C2" w:rsidP="009046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First</w:t>
            </w:r>
            <w:r w:rsidR="00BB6DDF" w:rsidRPr="00904611">
              <w:rPr>
                <w:rFonts w:ascii="Times New Roman" w:hAnsi="Times New Roman"/>
                <w:bCs/>
                <w:sz w:val="24"/>
                <w:szCs w:val="24"/>
              </w:rPr>
              <w:t>-line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4A971946" w14:textId="62CC6D55" w:rsidR="00BB6DDF" w:rsidRPr="00904611" w:rsidRDefault="00B019C2" w:rsidP="009046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Second</w:t>
            </w:r>
            <w:r w:rsidR="00BB6DDF" w:rsidRPr="00904611">
              <w:rPr>
                <w:rFonts w:ascii="Times New Roman" w:hAnsi="Times New Roman"/>
                <w:bCs/>
                <w:sz w:val="24"/>
                <w:szCs w:val="24"/>
              </w:rPr>
              <w:t>-line</w:t>
            </w:r>
          </w:p>
        </w:tc>
        <w:tc>
          <w:tcPr>
            <w:tcW w:w="1701" w:type="dxa"/>
            <w:shd w:val="clear" w:color="auto" w:fill="auto"/>
          </w:tcPr>
          <w:p w14:paraId="21B170A7" w14:textId="6567BBB9" w:rsidR="00BB6DDF" w:rsidRPr="00904611" w:rsidRDefault="00BB6DDF" w:rsidP="009046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&gt;</w:t>
            </w:r>
            <w:r w:rsidR="00B019C2" w:rsidRPr="00904611">
              <w:rPr>
                <w:rFonts w:ascii="Times New Roman" w:hAnsi="Times New Roman"/>
                <w:bCs/>
                <w:sz w:val="24"/>
                <w:szCs w:val="24"/>
              </w:rPr>
              <w:t>Second</w:t>
            </w: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-line</w:t>
            </w:r>
          </w:p>
        </w:tc>
      </w:tr>
      <w:tr w:rsidR="00BB6DDF" w:rsidRPr="00904611" w14:paraId="56027291" w14:textId="77777777" w:rsidTr="006D36FC">
        <w:tc>
          <w:tcPr>
            <w:tcW w:w="4536" w:type="dxa"/>
            <w:shd w:val="clear" w:color="auto" w:fill="auto"/>
          </w:tcPr>
          <w:p w14:paraId="1AA242B8" w14:textId="77777777" w:rsidR="00BB6DDF" w:rsidRPr="00904611" w:rsidRDefault="00BB6DDF" w:rsidP="00904611">
            <w:pPr>
              <w:spacing w:after="0" w:line="240" w:lineRule="auto"/>
              <w:ind w:left="176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</w:p>
        </w:tc>
        <w:tc>
          <w:tcPr>
            <w:tcW w:w="1843" w:type="dxa"/>
            <w:shd w:val="clear" w:color="auto" w:fill="auto"/>
          </w:tcPr>
          <w:p w14:paraId="5DE65FDD" w14:textId="3C4EDE5D" w:rsidR="00BB6DDF" w:rsidRPr="00904611" w:rsidRDefault="00BB6DDF" w:rsidP="009046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770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9F88503" w14:textId="011DC838" w:rsidR="00BB6DDF" w:rsidRPr="00904611" w:rsidRDefault="00BB6DDF" w:rsidP="009046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261</w:t>
            </w:r>
          </w:p>
        </w:tc>
        <w:tc>
          <w:tcPr>
            <w:tcW w:w="1701" w:type="dxa"/>
            <w:shd w:val="clear" w:color="auto" w:fill="auto"/>
          </w:tcPr>
          <w:p w14:paraId="7E13BB39" w14:textId="26CB5E2A" w:rsidR="00BB6DDF" w:rsidRPr="00904611" w:rsidRDefault="00BB6DDF" w:rsidP="009046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</w:tr>
      <w:tr w:rsidR="00BB6DDF" w:rsidRPr="00904611" w14:paraId="240A081F" w14:textId="77777777" w:rsidTr="006D36FC">
        <w:tc>
          <w:tcPr>
            <w:tcW w:w="4536" w:type="dxa"/>
            <w:shd w:val="clear" w:color="auto" w:fill="auto"/>
          </w:tcPr>
          <w:p w14:paraId="36F1FE11" w14:textId="693EFAEB" w:rsidR="00BB6DDF" w:rsidRPr="00904611" w:rsidRDefault="00BB6DDF" w:rsidP="00904611">
            <w:pPr>
              <w:spacing w:after="0" w:line="240" w:lineRule="auto"/>
              <w:ind w:left="176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Median DOR, months (95</w:t>
            </w:r>
            <w:r w:rsidR="0016733D" w:rsidRPr="00904611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 xml:space="preserve"> CI)</w:t>
            </w:r>
          </w:p>
        </w:tc>
        <w:tc>
          <w:tcPr>
            <w:tcW w:w="1843" w:type="dxa"/>
            <w:shd w:val="clear" w:color="auto" w:fill="auto"/>
          </w:tcPr>
          <w:p w14:paraId="7CACA066" w14:textId="5C716A06" w:rsidR="00BB6DDF" w:rsidRPr="00904611" w:rsidRDefault="00BB6DDF" w:rsidP="009046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13.4 (12.2</w:t>
            </w:r>
            <w:r w:rsidR="00B019C2" w:rsidRPr="0090461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  <w:r w:rsidR="008E05A9" w:rsidRPr="00904611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5925B2D" w14:textId="5DA9CC6D" w:rsidR="00BB6DDF" w:rsidRPr="00904611" w:rsidRDefault="00BB6DDF" w:rsidP="009046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  <w:r w:rsidR="008E05A9" w:rsidRPr="0090461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 xml:space="preserve"> (11.1</w:t>
            </w:r>
            <w:r w:rsidR="00B019C2" w:rsidRPr="0090461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  <w:r w:rsidR="008E05A9" w:rsidRPr="00904611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14:paraId="5AC07309" w14:textId="73E95B0F" w:rsidR="00BB6DDF" w:rsidRPr="00904611" w:rsidRDefault="00BB6DDF" w:rsidP="009046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12.5 (8.3</w:t>
            </w:r>
            <w:r w:rsidR="00B019C2" w:rsidRPr="0090461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18.</w:t>
            </w:r>
            <w:r w:rsidR="008E05A9" w:rsidRPr="0090461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BB6DDF" w:rsidRPr="00904611" w14:paraId="0BFFF06F" w14:textId="77777777" w:rsidTr="006D36FC">
        <w:tc>
          <w:tcPr>
            <w:tcW w:w="4536" w:type="dxa"/>
            <w:shd w:val="clear" w:color="auto" w:fill="auto"/>
          </w:tcPr>
          <w:p w14:paraId="2FE65DA9" w14:textId="4ABB3F3D" w:rsidR="00BB6DDF" w:rsidRPr="00904611" w:rsidRDefault="00BB6DDF" w:rsidP="00904611">
            <w:pPr>
              <w:spacing w:after="0" w:line="240" w:lineRule="auto"/>
              <w:ind w:left="176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Median DDC, months (95</w:t>
            </w:r>
            <w:r w:rsidR="0016733D" w:rsidRPr="00904611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 xml:space="preserve"> CI)</w:t>
            </w:r>
          </w:p>
        </w:tc>
        <w:tc>
          <w:tcPr>
            <w:tcW w:w="1843" w:type="dxa"/>
            <w:shd w:val="clear" w:color="auto" w:fill="auto"/>
          </w:tcPr>
          <w:p w14:paraId="33A3F26A" w14:textId="0B68BA34" w:rsidR="00BB6DDF" w:rsidRPr="00904611" w:rsidRDefault="00BB6DDF" w:rsidP="009046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  <w:r w:rsidR="008E05A9" w:rsidRPr="0090461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 xml:space="preserve"> (13.7</w:t>
            </w:r>
            <w:r w:rsidR="00B019C2" w:rsidRPr="0090461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15.9)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3979411" w14:textId="69234BD2" w:rsidR="00BB6DDF" w:rsidRPr="00904611" w:rsidRDefault="00BB6DDF" w:rsidP="009046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13.7 (12.9</w:t>
            </w:r>
            <w:r w:rsidR="00B019C2" w:rsidRPr="0090461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15.7)</w:t>
            </w:r>
          </w:p>
        </w:tc>
        <w:tc>
          <w:tcPr>
            <w:tcW w:w="1701" w:type="dxa"/>
            <w:shd w:val="clear" w:color="auto" w:fill="auto"/>
          </w:tcPr>
          <w:p w14:paraId="5918158F" w14:textId="67F70D5C" w:rsidR="00BB6DDF" w:rsidRPr="00904611" w:rsidRDefault="008E05A9" w:rsidP="009046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12.0</w:t>
            </w:r>
            <w:r w:rsidR="00BB6DDF" w:rsidRPr="00904611">
              <w:rPr>
                <w:rFonts w:ascii="Times New Roman" w:hAnsi="Times New Roman"/>
                <w:bCs/>
                <w:sz w:val="24"/>
                <w:szCs w:val="24"/>
              </w:rPr>
              <w:t xml:space="preserve"> (8.3</w:t>
            </w:r>
            <w:r w:rsidR="00B019C2" w:rsidRPr="0090461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BB6DDF" w:rsidRPr="00904611">
              <w:rPr>
                <w:rFonts w:ascii="Times New Roman" w:hAnsi="Times New Roman"/>
                <w:bCs/>
                <w:sz w:val="24"/>
                <w:szCs w:val="24"/>
              </w:rPr>
              <w:t>14.5)</w:t>
            </w:r>
          </w:p>
        </w:tc>
      </w:tr>
      <w:tr w:rsidR="00BB6DDF" w:rsidRPr="00904611" w14:paraId="7543511E" w14:textId="77777777" w:rsidTr="006D36FC">
        <w:tc>
          <w:tcPr>
            <w:tcW w:w="4536" w:type="dxa"/>
            <w:shd w:val="clear" w:color="auto" w:fill="auto"/>
          </w:tcPr>
          <w:p w14:paraId="74B791DC" w14:textId="3D1C3F25" w:rsidR="00BB6DDF" w:rsidRPr="00904611" w:rsidRDefault="00BB6DDF" w:rsidP="009046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Brain metastases at screening</w:t>
            </w:r>
            <w:r w:rsidR="002A6F26" w:rsidRPr="00904611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§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163A653" w14:textId="77777777" w:rsidR="00BB6DDF" w:rsidRPr="00904611" w:rsidRDefault="00BB6DDF" w:rsidP="009046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Yes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6F08C4E" w14:textId="77777777" w:rsidR="00BB6DDF" w:rsidRPr="00904611" w:rsidRDefault="00BB6DDF" w:rsidP="009046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No</w:t>
            </w:r>
          </w:p>
        </w:tc>
      </w:tr>
      <w:tr w:rsidR="00BB6DDF" w:rsidRPr="00904611" w14:paraId="3650D7A4" w14:textId="77777777" w:rsidTr="006D36FC">
        <w:tc>
          <w:tcPr>
            <w:tcW w:w="4536" w:type="dxa"/>
            <w:shd w:val="clear" w:color="auto" w:fill="auto"/>
          </w:tcPr>
          <w:p w14:paraId="328BE25C" w14:textId="77777777" w:rsidR="00BB6DDF" w:rsidRPr="00904611" w:rsidRDefault="00BB6DDF" w:rsidP="00904611">
            <w:pPr>
              <w:spacing w:after="0" w:line="240" w:lineRule="auto"/>
              <w:ind w:firstLine="179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B77C401" w14:textId="71757554" w:rsidR="00BB6DDF" w:rsidRPr="00904611" w:rsidRDefault="00BB6DDF" w:rsidP="009046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CA7395E" w14:textId="6A6C1461" w:rsidR="00BB6DDF" w:rsidRPr="00904611" w:rsidRDefault="00BB6DDF" w:rsidP="009046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894</w:t>
            </w:r>
          </w:p>
        </w:tc>
      </w:tr>
      <w:tr w:rsidR="00BB6DDF" w:rsidRPr="00904611" w14:paraId="44B1D1E4" w14:textId="77777777" w:rsidTr="006D36FC">
        <w:tc>
          <w:tcPr>
            <w:tcW w:w="4536" w:type="dxa"/>
            <w:shd w:val="clear" w:color="auto" w:fill="auto"/>
          </w:tcPr>
          <w:p w14:paraId="566D783B" w14:textId="210371A6" w:rsidR="00BB6DDF" w:rsidRPr="00904611" w:rsidRDefault="00BB6DDF" w:rsidP="00904611">
            <w:pPr>
              <w:spacing w:after="0" w:line="240" w:lineRule="auto"/>
              <w:ind w:firstLine="179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Median DOR, months (95</w:t>
            </w:r>
            <w:r w:rsidR="0016733D" w:rsidRPr="00904611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 xml:space="preserve"> CI)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40AA5E7A" w14:textId="4B7A8994" w:rsidR="00BB6DDF" w:rsidRPr="00904611" w:rsidRDefault="00BB6DDF" w:rsidP="009046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11.1 (8.3</w:t>
            </w:r>
            <w:r w:rsidR="00B019C2" w:rsidRPr="0090461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  <w:r w:rsidR="008E05A9" w:rsidRPr="0090461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2F74F80" w14:textId="69274DE6" w:rsidR="00BB6DDF" w:rsidRPr="00904611" w:rsidRDefault="00BB6DDF" w:rsidP="009046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  <w:r w:rsidR="008E05A9" w:rsidRPr="0090461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8E05A9" w:rsidRPr="00904611">
              <w:rPr>
                <w:rFonts w:ascii="Times New Roman" w:hAnsi="Times New Roman"/>
                <w:bCs/>
                <w:sz w:val="24"/>
                <w:szCs w:val="24"/>
              </w:rPr>
              <w:t>13.0</w:t>
            </w:r>
            <w:r w:rsidR="00B019C2" w:rsidRPr="0090461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15.4)</w:t>
            </w:r>
          </w:p>
        </w:tc>
      </w:tr>
      <w:tr w:rsidR="00BB6DDF" w:rsidRPr="00904611" w14:paraId="41513B89" w14:textId="77777777" w:rsidTr="006D36FC">
        <w:tc>
          <w:tcPr>
            <w:tcW w:w="4536" w:type="dxa"/>
            <w:shd w:val="clear" w:color="auto" w:fill="auto"/>
          </w:tcPr>
          <w:p w14:paraId="74CE0359" w14:textId="53676BF0" w:rsidR="00BB6DDF" w:rsidRPr="00904611" w:rsidRDefault="00BB6DDF" w:rsidP="00904611">
            <w:pPr>
              <w:spacing w:after="0" w:line="240" w:lineRule="auto"/>
              <w:ind w:firstLine="179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Median DDC, months (95</w:t>
            </w:r>
            <w:r w:rsidR="0016733D" w:rsidRPr="00904611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 xml:space="preserve"> CI)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1E636046" w14:textId="559B95CA" w:rsidR="00BB6DDF" w:rsidRPr="00904611" w:rsidRDefault="00BB6DDF" w:rsidP="009046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  <w:r w:rsidR="008E05A9" w:rsidRPr="00904611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 xml:space="preserve"> (10.</w:t>
            </w:r>
            <w:r w:rsidR="008E05A9" w:rsidRPr="0090461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B019C2" w:rsidRPr="0090461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13.8)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571297B" w14:textId="54923590" w:rsidR="00BB6DDF" w:rsidRPr="00904611" w:rsidRDefault="00BB6DDF" w:rsidP="009046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14.7 (13.</w:t>
            </w:r>
            <w:r w:rsidR="008E05A9" w:rsidRPr="00904611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B019C2" w:rsidRPr="0090461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  <w:r w:rsidR="008E05A9" w:rsidRPr="0090461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BB6DDF" w:rsidRPr="00904611" w14:paraId="7828B518" w14:textId="77777777" w:rsidTr="006D36FC">
        <w:tc>
          <w:tcPr>
            <w:tcW w:w="4536" w:type="dxa"/>
            <w:shd w:val="clear" w:color="auto" w:fill="auto"/>
          </w:tcPr>
          <w:p w14:paraId="6465C72A" w14:textId="77777777" w:rsidR="00BB6DDF" w:rsidRPr="00904611" w:rsidRDefault="00BB6DDF" w:rsidP="009046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Age, years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F9692A4" w14:textId="5799A569" w:rsidR="00BB6DDF" w:rsidRPr="00904611" w:rsidRDefault="00BB6DDF" w:rsidP="009046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&lt;75 years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3E846523" w14:textId="3C6B9AFD" w:rsidR="00BB6DDF" w:rsidRPr="00904611" w:rsidRDefault="00BB6DDF" w:rsidP="009046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≥75 years</w:t>
            </w:r>
          </w:p>
        </w:tc>
      </w:tr>
      <w:tr w:rsidR="00BB6DDF" w:rsidRPr="00904611" w14:paraId="4839BBC8" w14:textId="77777777" w:rsidTr="006D36FC">
        <w:tc>
          <w:tcPr>
            <w:tcW w:w="4536" w:type="dxa"/>
            <w:shd w:val="clear" w:color="auto" w:fill="auto"/>
          </w:tcPr>
          <w:p w14:paraId="4CB86190" w14:textId="77777777" w:rsidR="00BB6DDF" w:rsidRPr="00904611" w:rsidRDefault="00BB6DDF" w:rsidP="00904611">
            <w:pPr>
              <w:spacing w:after="0" w:line="240" w:lineRule="auto"/>
              <w:ind w:left="176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883B74A" w14:textId="498A450E" w:rsidR="00BB6DDF" w:rsidRPr="00904611" w:rsidRDefault="00BB6DDF" w:rsidP="009046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989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501B73E3" w14:textId="134C0CFE" w:rsidR="00BB6DDF" w:rsidRPr="00904611" w:rsidRDefault="00BB6DDF" w:rsidP="009046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119</w:t>
            </w:r>
          </w:p>
        </w:tc>
      </w:tr>
      <w:tr w:rsidR="00BB6DDF" w:rsidRPr="00904611" w14:paraId="2E230814" w14:textId="77777777" w:rsidTr="006D36FC">
        <w:tc>
          <w:tcPr>
            <w:tcW w:w="4536" w:type="dxa"/>
            <w:shd w:val="clear" w:color="auto" w:fill="auto"/>
          </w:tcPr>
          <w:p w14:paraId="69E5CC35" w14:textId="64893F28" w:rsidR="00BB6DDF" w:rsidRPr="00904611" w:rsidRDefault="00BB6DDF" w:rsidP="00904611">
            <w:pPr>
              <w:spacing w:after="0" w:line="240" w:lineRule="auto"/>
              <w:ind w:left="176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Median DOR, months (95</w:t>
            </w:r>
            <w:r w:rsidR="0016733D" w:rsidRPr="00904611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 xml:space="preserve"> CI)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FD80451" w14:textId="7C8FE70D" w:rsidR="00BB6DDF" w:rsidRPr="00904611" w:rsidRDefault="00BB6DDF" w:rsidP="009046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13.0 (</w:t>
            </w:r>
            <w:r w:rsidR="008E05A9" w:rsidRPr="00904611">
              <w:rPr>
                <w:rFonts w:ascii="Times New Roman" w:hAnsi="Times New Roman"/>
                <w:bCs/>
                <w:sz w:val="24"/>
                <w:szCs w:val="24"/>
              </w:rPr>
              <w:t>12.0</w:t>
            </w:r>
            <w:r w:rsidR="00B019C2" w:rsidRPr="0090461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  <w:r w:rsidR="008E05A9" w:rsidRPr="0090461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D2A62F5" w14:textId="3203AB95" w:rsidR="00BB6DDF" w:rsidRPr="00904611" w:rsidRDefault="00BB6DDF" w:rsidP="009046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16.5 (10.3</w:t>
            </w:r>
            <w:r w:rsidR="00B019C2" w:rsidRPr="0090461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21.</w:t>
            </w:r>
            <w:r w:rsidR="008E05A9" w:rsidRPr="00904611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BB6DDF" w:rsidRPr="00904611" w14:paraId="74C0D5D3" w14:textId="77777777" w:rsidTr="006D36FC">
        <w:tc>
          <w:tcPr>
            <w:tcW w:w="4536" w:type="dxa"/>
            <w:shd w:val="clear" w:color="auto" w:fill="auto"/>
          </w:tcPr>
          <w:p w14:paraId="10F9AE27" w14:textId="01A2192E" w:rsidR="00BB6DDF" w:rsidRPr="00904611" w:rsidRDefault="00BB6DDF" w:rsidP="00904611">
            <w:pPr>
              <w:spacing w:after="0" w:line="240" w:lineRule="auto"/>
              <w:ind w:left="176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Median DDC, months (95</w:t>
            </w:r>
            <w:r w:rsidR="0016733D" w:rsidRPr="00904611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 xml:space="preserve"> CI)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59ABB33" w14:textId="48FC22B8" w:rsidR="00BB6DDF" w:rsidRPr="00904611" w:rsidRDefault="00BB6DDF" w:rsidP="009046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  <w:r w:rsidR="008E05A9" w:rsidRPr="0090461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 xml:space="preserve"> (13.6</w:t>
            </w:r>
            <w:r w:rsidR="00B019C2" w:rsidRPr="0090461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15.0)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C0C73BD" w14:textId="6A87E875" w:rsidR="00BB6DDF" w:rsidRPr="00904611" w:rsidRDefault="00BB6DDF" w:rsidP="009046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  <w:r w:rsidR="008E05A9" w:rsidRPr="0090461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 xml:space="preserve"> (12.6</w:t>
            </w:r>
            <w:r w:rsidR="00B019C2" w:rsidRPr="0090461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21.</w:t>
            </w:r>
            <w:r w:rsidR="008E05A9" w:rsidRPr="0090461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BB6DDF" w:rsidRPr="00904611" w14:paraId="5F9347DB" w14:textId="77777777" w:rsidTr="006D36FC">
        <w:tc>
          <w:tcPr>
            <w:tcW w:w="4536" w:type="dxa"/>
            <w:shd w:val="clear" w:color="auto" w:fill="auto"/>
          </w:tcPr>
          <w:p w14:paraId="24D7FA63" w14:textId="77777777" w:rsidR="00BB6DDF" w:rsidRPr="00904611" w:rsidRDefault="00BB6DDF" w:rsidP="00904611">
            <w:pPr>
              <w:spacing w:after="0" w:line="240" w:lineRule="auto"/>
              <w:ind w:left="176" w:hanging="176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Age, years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CAD6FD3" w14:textId="0725C0B1" w:rsidR="00BB6DDF" w:rsidRPr="00904611" w:rsidRDefault="00BB6DDF" w:rsidP="009046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&lt;65 years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74A7AC8B" w14:textId="4E5E058A" w:rsidR="00BB6DDF" w:rsidRPr="00904611" w:rsidRDefault="00BB6DDF" w:rsidP="009046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5" w:name="_Hlk34039034"/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≥65 years</w:t>
            </w:r>
            <w:bookmarkEnd w:id="5"/>
          </w:p>
        </w:tc>
      </w:tr>
      <w:tr w:rsidR="00BB6DDF" w:rsidRPr="00904611" w14:paraId="1A1A4080" w14:textId="77777777" w:rsidTr="006D36FC">
        <w:tc>
          <w:tcPr>
            <w:tcW w:w="4536" w:type="dxa"/>
            <w:shd w:val="clear" w:color="auto" w:fill="auto"/>
          </w:tcPr>
          <w:p w14:paraId="30388409" w14:textId="77777777" w:rsidR="00BB6DDF" w:rsidRPr="00904611" w:rsidRDefault="00BB6DDF" w:rsidP="00904611">
            <w:pPr>
              <w:spacing w:after="0" w:line="240" w:lineRule="auto"/>
              <w:ind w:left="176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32E2131" w14:textId="4EEC0A1F" w:rsidR="00BB6DDF" w:rsidRPr="00904611" w:rsidRDefault="00BB6DDF" w:rsidP="009046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685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1BBC1910" w14:textId="1DC11A87" w:rsidR="00BB6DDF" w:rsidRPr="00904611" w:rsidRDefault="00BB6DDF" w:rsidP="009046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423</w:t>
            </w:r>
          </w:p>
        </w:tc>
      </w:tr>
      <w:tr w:rsidR="00BB6DDF" w:rsidRPr="00904611" w14:paraId="15C75BE7" w14:textId="77777777" w:rsidTr="006D36FC">
        <w:tc>
          <w:tcPr>
            <w:tcW w:w="4536" w:type="dxa"/>
            <w:shd w:val="clear" w:color="auto" w:fill="auto"/>
          </w:tcPr>
          <w:p w14:paraId="7C293621" w14:textId="7385E11D" w:rsidR="00BB6DDF" w:rsidRPr="00904611" w:rsidRDefault="00BB6DDF" w:rsidP="00904611">
            <w:pPr>
              <w:spacing w:after="0" w:line="240" w:lineRule="auto"/>
              <w:ind w:left="176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Median DOR, months (95</w:t>
            </w:r>
            <w:r w:rsidR="0016733D" w:rsidRPr="00904611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 xml:space="preserve"> CI)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540E82B4" w14:textId="11C428E4" w:rsidR="00BB6DDF" w:rsidRPr="00904611" w:rsidRDefault="00BB6DDF" w:rsidP="009046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12.5 (11.3</w:t>
            </w:r>
            <w:r w:rsidR="00B019C2" w:rsidRPr="0090461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13.8)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BB910D3" w14:textId="479BB0FB" w:rsidR="00BB6DDF" w:rsidRPr="00904611" w:rsidRDefault="00BB6DDF" w:rsidP="009046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14.2 (12.4</w:t>
            </w:r>
            <w:r w:rsidR="00B019C2" w:rsidRPr="0090461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  <w:r w:rsidR="008E05A9" w:rsidRPr="0090461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BB6DDF" w:rsidRPr="00904611" w14:paraId="69AB1422" w14:textId="77777777" w:rsidTr="006D36FC"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C1D59F4" w14:textId="6A1A8F83" w:rsidR="00BB6DDF" w:rsidRPr="00904611" w:rsidRDefault="00BB6DDF" w:rsidP="00904611">
            <w:pPr>
              <w:spacing w:after="0" w:line="240" w:lineRule="auto"/>
              <w:ind w:left="176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Median DDC, months (95</w:t>
            </w:r>
            <w:r w:rsidR="0016733D" w:rsidRPr="00904611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 xml:space="preserve"> CI)</w:t>
            </w:r>
          </w:p>
        </w:tc>
        <w:tc>
          <w:tcPr>
            <w:tcW w:w="241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D109F7D" w14:textId="0D310446" w:rsidR="00BB6DDF" w:rsidRPr="00904611" w:rsidRDefault="00BB6DDF" w:rsidP="009046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13.7 (12.8</w:t>
            </w:r>
            <w:r w:rsidR="00B019C2" w:rsidRPr="0090461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  <w:r w:rsidR="008E05A9" w:rsidRPr="0090461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977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71C33A93" w14:textId="6E3A7634" w:rsidR="00BB6DDF" w:rsidRPr="00904611" w:rsidRDefault="00BB6DDF" w:rsidP="009046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15.0 (13.8</w:t>
            </w:r>
            <w:r w:rsidR="00B019C2" w:rsidRPr="0090461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904611">
              <w:rPr>
                <w:rFonts w:ascii="Times New Roman" w:hAnsi="Times New Roman"/>
                <w:bCs/>
                <w:sz w:val="24"/>
                <w:szCs w:val="24"/>
              </w:rPr>
              <w:t>17.3)</w:t>
            </w:r>
          </w:p>
        </w:tc>
      </w:tr>
    </w:tbl>
    <w:bookmarkEnd w:id="4"/>
    <w:p w14:paraId="493D701F" w14:textId="4E07B385" w:rsidR="00A61EA6" w:rsidRPr="00904611" w:rsidRDefault="00AD1555" w:rsidP="00904611">
      <w:pPr>
        <w:spacing w:after="0" w:line="240" w:lineRule="auto"/>
        <w:ind w:right="-613"/>
        <w:rPr>
          <w:rFonts w:ascii="Times New Roman" w:hAnsi="Times New Roman"/>
          <w:b/>
          <w:bCs/>
          <w:sz w:val="24"/>
          <w:szCs w:val="24"/>
          <w:vertAlign w:val="superscript"/>
          <w:lang w:val="en-US"/>
        </w:rPr>
      </w:pPr>
      <w:r w:rsidRPr="00904611">
        <w:rPr>
          <w:rFonts w:ascii="Times New Roman" w:hAnsi="Times New Roman"/>
          <w:b/>
          <w:sz w:val="24"/>
          <w:szCs w:val="24"/>
          <w:lang w:val="en-US"/>
        </w:rPr>
        <w:t>SUPPLEMENTARY TABLE</w:t>
      </w:r>
      <w:r w:rsidR="00A61EA6" w:rsidRPr="00904611">
        <w:rPr>
          <w:rFonts w:ascii="Times New Roman" w:hAnsi="Times New Roman"/>
          <w:b/>
          <w:sz w:val="24"/>
          <w:szCs w:val="24"/>
          <w:lang w:val="en-US"/>
        </w:rPr>
        <w:t xml:space="preserve"> 1</w:t>
      </w:r>
      <w:r w:rsidR="000437D3">
        <w:rPr>
          <w:rFonts w:ascii="Times New Roman" w:hAnsi="Times New Roman"/>
          <w:b/>
          <w:sz w:val="24"/>
          <w:szCs w:val="24"/>
          <w:lang w:val="en-US"/>
        </w:rPr>
        <w:t xml:space="preserve"> |</w:t>
      </w:r>
      <w:r w:rsidR="00A61EA6" w:rsidRPr="00904611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A61EA6" w:rsidRPr="00904611">
        <w:rPr>
          <w:rFonts w:ascii="Times New Roman" w:hAnsi="Times New Roman"/>
          <w:iCs/>
          <w:sz w:val="24"/>
          <w:szCs w:val="24"/>
        </w:rPr>
        <w:t>Post-</w:t>
      </w:r>
      <w:r w:rsidR="006A28D7" w:rsidRPr="00904611">
        <w:rPr>
          <w:rFonts w:ascii="Times New Roman" w:hAnsi="Times New Roman"/>
          <w:iCs/>
          <w:sz w:val="24"/>
          <w:szCs w:val="24"/>
        </w:rPr>
        <w:t>hoc</w:t>
      </w:r>
      <w:r w:rsidR="006A28D7" w:rsidRPr="00904611">
        <w:rPr>
          <w:rFonts w:ascii="Times New Roman" w:hAnsi="Times New Roman"/>
          <w:sz w:val="24"/>
          <w:szCs w:val="24"/>
        </w:rPr>
        <w:t xml:space="preserve"> analysis of</w:t>
      </w:r>
      <w:r w:rsidR="006A28D7" w:rsidRPr="00904611">
        <w:rPr>
          <w:rFonts w:ascii="Times New Roman" w:hAnsi="Times New Roman"/>
          <w:b/>
          <w:sz w:val="24"/>
          <w:szCs w:val="24"/>
        </w:rPr>
        <w:t xml:space="preserve"> </w:t>
      </w:r>
      <w:r w:rsidR="006A28D7" w:rsidRPr="00904611">
        <w:rPr>
          <w:rFonts w:ascii="Times New Roman" w:hAnsi="Times New Roman"/>
          <w:sz w:val="24"/>
          <w:szCs w:val="24"/>
        </w:rPr>
        <w:t>duration of objective response and duration of disease control for specified subgroups</w:t>
      </w:r>
      <w:r w:rsidR="006A28D7">
        <w:rPr>
          <w:rFonts w:ascii="Times New Roman" w:hAnsi="Times New Roman"/>
          <w:sz w:val="24"/>
          <w:szCs w:val="24"/>
        </w:rPr>
        <w:t>.</w:t>
      </w:r>
    </w:p>
    <w:p w14:paraId="20523D2B" w14:textId="0A04D78D" w:rsidR="00B8178B" w:rsidRPr="00500C98" w:rsidRDefault="00AD1555" w:rsidP="002A134A">
      <w:pPr>
        <w:spacing w:after="0" w:line="240" w:lineRule="auto"/>
        <w:ind w:right="-613"/>
        <w:rPr>
          <w:rFonts w:ascii="Times New Roman" w:hAnsi="Times New Roman"/>
          <w:i/>
          <w:iCs/>
          <w:sz w:val="24"/>
          <w:szCs w:val="24"/>
        </w:rPr>
      </w:pPr>
      <w:r w:rsidRPr="00500C98">
        <w:rPr>
          <w:rFonts w:ascii="Times New Roman" w:hAnsi="Times New Roman"/>
          <w:i/>
          <w:iCs/>
          <w:sz w:val="24"/>
          <w:szCs w:val="24"/>
        </w:rPr>
        <w:t>CI, confidence interval; DDC, duration of disease control; DOR, duration of objective response; ECOG PS, Eastern Cooperative Oncology Group performance status; EGFR, epidermal growth factor receptor.</w:t>
      </w:r>
      <w:r w:rsidR="002A134A" w:rsidRPr="00500C9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E60C11" w:rsidRPr="00500C98">
        <w:rPr>
          <w:rFonts w:ascii="Times New Roman" w:hAnsi="Times New Roman"/>
          <w:b/>
          <w:bCs/>
          <w:i/>
          <w:iCs/>
          <w:sz w:val="24"/>
          <w:szCs w:val="24"/>
          <w:vertAlign w:val="superscript"/>
          <w:lang w:val="en-US"/>
        </w:rPr>
        <w:t>†</w:t>
      </w:r>
      <w:r w:rsidR="00B8178B" w:rsidRPr="00500C98">
        <w:rPr>
          <w:rFonts w:ascii="Times New Roman" w:hAnsi="Times New Roman"/>
          <w:i/>
          <w:iCs/>
          <w:sz w:val="24"/>
          <w:szCs w:val="24"/>
        </w:rPr>
        <w:t>Patients with EGFR mutation categories of Del19 only or L858R only.</w:t>
      </w:r>
      <w:r w:rsidR="002A134A" w:rsidRPr="00500C9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B297E" w:rsidRPr="00500C98">
        <w:rPr>
          <w:rFonts w:ascii="Times New Roman" w:hAnsi="Times New Roman"/>
          <w:i/>
          <w:iCs/>
          <w:sz w:val="24"/>
          <w:szCs w:val="24"/>
          <w:vertAlign w:val="superscript"/>
          <w:lang w:val="en-US"/>
        </w:rPr>
        <w:t>‡</w:t>
      </w:r>
      <w:r w:rsidR="00B8178B" w:rsidRPr="00500C98">
        <w:rPr>
          <w:rFonts w:ascii="Times New Roman" w:hAnsi="Times New Roman"/>
          <w:i/>
          <w:iCs/>
          <w:sz w:val="24"/>
          <w:szCs w:val="24"/>
        </w:rPr>
        <w:t xml:space="preserve">Patients with EGFR mutation categories other than Exon19 only and L858R only. </w:t>
      </w:r>
      <w:r w:rsidR="002A6F26" w:rsidRPr="00500C98">
        <w:rPr>
          <w:rFonts w:ascii="Times New Roman" w:hAnsi="Times New Roman"/>
          <w:i/>
          <w:iCs/>
          <w:sz w:val="24"/>
          <w:szCs w:val="24"/>
          <w:vertAlign w:val="superscript"/>
        </w:rPr>
        <w:t>§</w:t>
      </w:r>
      <w:r w:rsidR="00B8178B" w:rsidRPr="00500C98">
        <w:rPr>
          <w:rFonts w:ascii="Times New Roman" w:hAnsi="Times New Roman"/>
          <w:i/>
          <w:iCs/>
          <w:sz w:val="24"/>
          <w:szCs w:val="24"/>
        </w:rPr>
        <w:t>Asymptomatic.</w:t>
      </w:r>
    </w:p>
    <w:p w14:paraId="00A3E10A" w14:textId="3D3E766E" w:rsidR="003151CF" w:rsidRPr="00904611" w:rsidRDefault="003151CF" w:rsidP="00904611">
      <w:pPr>
        <w:spacing w:line="240" w:lineRule="auto"/>
        <w:rPr>
          <w:rFonts w:ascii="Times New Roman" w:hAnsi="Times New Roman"/>
          <w:sz w:val="24"/>
          <w:szCs w:val="24"/>
        </w:rPr>
        <w:sectPr w:rsidR="003151CF" w:rsidRPr="00904611" w:rsidSect="001528B3">
          <w:headerReference w:type="default" r:id="rId7"/>
          <w:footerReference w:type="default" r:id="rId8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pPr w:leftFromText="180" w:rightFromText="180" w:vertAnchor="page" w:horzAnchor="margin" w:tblpY="1821"/>
        <w:tblW w:w="509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4"/>
        <w:gridCol w:w="1559"/>
        <w:gridCol w:w="1960"/>
        <w:gridCol w:w="1727"/>
        <w:gridCol w:w="2057"/>
        <w:gridCol w:w="1909"/>
        <w:gridCol w:w="1610"/>
      </w:tblGrid>
      <w:tr w:rsidR="00AD1555" w:rsidRPr="00904611" w14:paraId="38A6038C" w14:textId="77777777" w:rsidTr="00F40961">
        <w:trPr>
          <w:trHeight w:val="102"/>
        </w:trPr>
        <w:tc>
          <w:tcPr>
            <w:tcW w:w="119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789BF5E4" w14:textId="77777777" w:rsidR="00AD1555" w:rsidRPr="00904611" w:rsidRDefault="00AD1555" w:rsidP="00904611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</w:p>
        </w:tc>
        <w:tc>
          <w:tcPr>
            <w:tcW w:w="54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2352225" w14:textId="06B876CA" w:rsidR="00AD1555" w:rsidRPr="003E0714" w:rsidRDefault="00AD1555" w:rsidP="009046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3E071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 xml:space="preserve">T790M </w:t>
            </w:r>
            <w:r w:rsidR="00212ED6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br/>
            </w:r>
            <w:r w:rsidRPr="003E071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(n = 8)</w:t>
            </w:r>
          </w:p>
        </w:tc>
        <w:tc>
          <w:tcPr>
            <w:tcW w:w="689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B6B91BA" w14:textId="6DB1D548" w:rsidR="00AD1555" w:rsidRPr="003E0714" w:rsidRDefault="00AD1555" w:rsidP="009046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3E071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 xml:space="preserve">Exon 20 ins </w:t>
            </w:r>
            <w:r w:rsidR="00212ED6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br/>
            </w:r>
            <w:r w:rsidRPr="003E071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(n = 36)</w:t>
            </w:r>
          </w:p>
        </w:tc>
        <w:tc>
          <w:tcPr>
            <w:tcW w:w="60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8C24D76" w14:textId="5A502A4F" w:rsidR="00AD1555" w:rsidRPr="003E0714" w:rsidRDefault="00AD1555" w:rsidP="009046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3E071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 xml:space="preserve">Major </w:t>
            </w:r>
            <w:r w:rsidR="00212ED6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br/>
            </w:r>
            <w:r w:rsidRPr="003E071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(n = 62)</w:t>
            </w:r>
          </w:p>
        </w:tc>
        <w:tc>
          <w:tcPr>
            <w:tcW w:w="723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12266E2" w14:textId="5073FBFB" w:rsidR="00AD1555" w:rsidRPr="003E0714" w:rsidRDefault="00AD1555" w:rsidP="009046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3E071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 xml:space="preserve">Compound </w:t>
            </w:r>
            <w:r w:rsidR="00212ED6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br/>
            </w:r>
            <w:r w:rsidRPr="003E071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(n = 12)</w:t>
            </w:r>
          </w:p>
        </w:tc>
        <w:tc>
          <w:tcPr>
            <w:tcW w:w="671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3FD1BCBA" w14:textId="0C969983" w:rsidR="00AD1555" w:rsidRPr="003E0714" w:rsidRDefault="00AD1555" w:rsidP="009046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3E071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 xml:space="preserve">Compound with Major </w:t>
            </w:r>
            <w:r w:rsidR="00212ED6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br/>
            </w:r>
            <w:r w:rsidRPr="003E071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(n = 8)</w:t>
            </w:r>
          </w:p>
        </w:tc>
        <w:tc>
          <w:tcPr>
            <w:tcW w:w="566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C41F021" w14:textId="088BFB74" w:rsidR="00AD1555" w:rsidRPr="003E0714" w:rsidRDefault="00AD1555" w:rsidP="009046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</w:pPr>
            <w:r w:rsidRPr="003E071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 xml:space="preserve">Other </w:t>
            </w:r>
            <w:r w:rsidR="00212ED6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br/>
            </w:r>
            <w:r w:rsidRPr="003E071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/>
              </w:rPr>
              <w:t>(n = 5)</w:t>
            </w:r>
          </w:p>
        </w:tc>
      </w:tr>
      <w:tr w:rsidR="00AD1555" w:rsidRPr="00904611" w14:paraId="371CD3DA" w14:textId="77777777" w:rsidTr="00F40961">
        <w:trPr>
          <w:trHeight w:val="150"/>
        </w:trPr>
        <w:tc>
          <w:tcPr>
            <w:tcW w:w="1196" w:type="pct"/>
            <w:tcBorders>
              <w:top w:val="single" w:sz="8" w:space="0" w:color="auto"/>
            </w:tcBorders>
            <w:shd w:val="clear" w:color="auto" w:fill="auto"/>
          </w:tcPr>
          <w:p w14:paraId="53E2D884" w14:textId="77777777" w:rsidR="00AD1555" w:rsidRPr="00904611" w:rsidRDefault="00AD1555" w:rsidP="00904611">
            <w:pPr>
              <w:spacing w:after="0" w:line="240" w:lineRule="auto"/>
              <w:ind w:left="22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90461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Patients with objective response, n (%)</w:t>
            </w:r>
          </w:p>
        </w:tc>
        <w:tc>
          <w:tcPr>
            <w:tcW w:w="548" w:type="pct"/>
            <w:tcBorders>
              <w:top w:val="single" w:sz="8" w:space="0" w:color="auto"/>
            </w:tcBorders>
            <w:shd w:val="clear" w:color="auto" w:fill="auto"/>
          </w:tcPr>
          <w:p w14:paraId="409924CF" w14:textId="77777777" w:rsidR="00AD1555" w:rsidRPr="00904611" w:rsidRDefault="00AD1555" w:rsidP="00904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90461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 (12.5)</w:t>
            </w:r>
          </w:p>
        </w:tc>
        <w:tc>
          <w:tcPr>
            <w:tcW w:w="689" w:type="pct"/>
            <w:tcBorders>
              <w:top w:val="single" w:sz="8" w:space="0" w:color="auto"/>
            </w:tcBorders>
            <w:shd w:val="clear" w:color="auto" w:fill="auto"/>
          </w:tcPr>
          <w:p w14:paraId="4E25DF68" w14:textId="77777777" w:rsidR="00AD1555" w:rsidRPr="00904611" w:rsidRDefault="00AD1555" w:rsidP="00904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90461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9 (25.0)</w:t>
            </w:r>
          </w:p>
        </w:tc>
        <w:tc>
          <w:tcPr>
            <w:tcW w:w="607" w:type="pct"/>
            <w:tcBorders>
              <w:top w:val="single" w:sz="8" w:space="0" w:color="auto"/>
            </w:tcBorders>
            <w:shd w:val="clear" w:color="auto" w:fill="auto"/>
          </w:tcPr>
          <w:p w14:paraId="1DF87A31" w14:textId="77777777" w:rsidR="00AD1555" w:rsidRPr="00904611" w:rsidRDefault="00AD1555" w:rsidP="00904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90461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28 (45.2)</w:t>
            </w:r>
          </w:p>
        </w:tc>
        <w:tc>
          <w:tcPr>
            <w:tcW w:w="723" w:type="pct"/>
            <w:tcBorders>
              <w:top w:val="single" w:sz="8" w:space="0" w:color="auto"/>
            </w:tcBorders>
            <w:shd w:val="clear" w:color="auto" w:fill="auto"/>
          </w:tcPr>
          <w:p w14:paraId="6074625F" w14:textId="77777777" w:rsidR="00AD1555" w:rsidRPr="00904611" w:rsidRDefault="00AD1555" w:rsidP="00904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90461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6 (50.0)</w:t>
            </w:r>
          </w:p>
        </w:tc>
        <w:tc>
          <w:tcPr>
            <w:tcW w:w="671" w:type="pct"/>
            <w:tcBorders>
              <w:top w:val="single" w:sz="8" w:space="0" w:color="auto"/>
            </w:tcBorders>
            <w:shd w:val="clear" w:color="auto" w:fill="auto"/>
          </w:tcPr>
          <w:p w14:paraId="6BEEB5AB" w14:textId="59C8DA32" w:rsidR="00AD1555" w:rsidRPr="00904611" w:rsidRDefault="00B669B3" w:rsidP="00904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90461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4 (5</w:t>
            </w:r>
            <w:r w:rsidR="00AD1555" w:rsidRPr="0090461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0.0)</w:t>
            </w:r>
          </w:p>
        </w:tc>
        <w:tc>
          <w:tcPr>
            <w:tcW w:w="566" w:type="pct"/>
            <w:tcBorders>
              <w:top w:val="single" w:sz="8" w:space="0" w:color="auto"/>
            </w:tcBorders>
            <w:shd w:val="clear" w:color="auto" w:fill="auto"/>
          </w:tcPr>
          <w:p w14:paraId="3FBC552F" w14:textId="725F6C8E" w:rsidR="00AD1555" w:rsidRPr="00904611" w:rsidRDefault="00B669B3" w:rsidP="00904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90461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 (4</w:t>
            </w:r>
            <w:r w:rsidR="00AD1555" w:rsidRPr="0090461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0.0)</w:t>
            </w:r>
          </w:p>
        </w:tc>
      </w:tr>
      <w:tr w:rsidR="00AD1555" w:rsidRPr="00904611" w14:paraId="35F9A2FC" w14:textId="77777777" w:rsidTr="00F40961">
        <w:trPr>
          <w:trHeight w:val="165"/>
        </w:trPr>
        <w:tc>
          <w:tcPr>
            <w:tcW w:w="1196" w:type="pct"/>
            <w:tcBorders>
              <w:bottom w:val="single" w:sz="8" w:space="0" w:color="auto"/>
            </w:tcBorders>
            <w:shd w:val="clear" w:color="auto" w:fill="auto"/>
          </w:tcPr>
          <w:p w14:paraId="67F81B9F" w14:textId="77777777" w:rsidR="00AD1555" w:rsidRPr="00904611" w:rsidRDefault="00AD1555" w:rsidP="00904611">
            <w:pPr>
              <w:spacing w:after="0" w:line="240" w:lineRule="auto"/>
              <w:ind w:left="22"/>
              <w:rPr>
                <w:rFonts w:ascii="Times New Roman" w:hAnsi="Times New Roman"/>
                <w:iCs/>
                <w:sz w:val="24"/>
                <w:szCs w:val="24"/>
                <w:vertAlign w:val="superscript"/>
                <w:lang w:val="en-US"/>
              </w:rPr>
            </w:pPr>
            <w:r w:rsidRPr="00904611">
              <w:rPr>
                <w:rFonts w:ascii="Times New Roman" w:hAnsi="Times New Roman"/>
                <w:sz w:val="24"/>
                <w:szCs w:val="24"/>
              </w:rPr>
              <w:t>Median DOR, months (95% CI)</w:t>
            </w:r>
          </w:p>
        </w:tc>
        <w:tc>
          <w:tcPr>
            <w:tcW w:w="548" w:type="pct"/>
            <w:tcBorders>
              <w:bottom w:val="single" w:sz="8" w:space="0" w:color="auto"/>
            </w:tcBorders>
            <w:shd w:val="clear" w:color="auto" w:fill="auto"/>
          </w:tcPr>
          <w:p w14:paraId="3448A344" w14:textId="77777777" w:rsidR="00AD1555" w:rsidRPr="00904611" w:rsidRDefault="00AD1555" w:rsidP="00904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90461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1.1 (NE</w:t>
            </w:r>
            <w:r w:rsidRPr="00904611">
              <w:rPr>
                <w:rFonts w:ascii="Times New Roman" w:hAnsi="Times New Roman"/>
                <w:sz w:val="24"/>
                <w:szCs w:val="24"/>
              </w:rPr>
              <w:t>–</w:t>
            </w:r>
            <w:r w:rsidRPr="0090461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NE)</w:t>
            </w:r>
          </w:p>
        </w:tc>
        <w:tc>
          <w:tcPr>
            <w:tcW w:w="689" w:type="pct"/>
            <w:tcBorders>
              <w:bottom w:val="single" w:sz="8" w:space="0" w:color="auto"/>
            </w:tcBorders>
            <w:shd w:val="clear" w:color="auto" w:fill="auto"/>
          </w:tcPr>
          <w:p w14:paraId="61AC2EE2" w14:textId="77777777" w:rsidR="00AD1555" w:rsidRPr="00904611" w:rsidRDefault="00AD1555" w:rsidP="00904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90461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9.1 (5.6</w:t>
            </w:r>
            <w:r w:rsidRPr="00904611">
              <w:rPr>
                <w:rFonts w:ascii="Times New Roman" w:hAnsi="Times New Roman"/>
                <w:sz w:val="24"/>
                <w:szCs w:val="24"/>
              </w:rPr>
              <w:t>–</w:t>
            </w:r>
            <w:r w:rsidRPr="0090461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21.2)</w:t>
            </w:r>
          </w:p>
        </w:tc>
        <w:tc>
          <w:tcPr>
            <w:tcW w:w="607" w:type="pct"/>
            <w:tcBorders>
              <w:bottom w:val="single" w:sz="8" w:space="0" w:color="auto"/>
            </w:tcBorders>
            <w:shd w:val="clear" w:color="auto" w:fill="auto"/>
          </w:tcPr>
          <w:p w14:paraId="258F835F" w14:textId="77777777" w:rsidR="00AD1555" w:rsidRPr="00904611" w:rsidRDefault="00AD1555" w:rsidP="00904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90461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11.1 (7.1</w:t>
            </w:r>
            <w:r w:rsidRPr="00904611">
              <w:rPr>
                <w:rFonts w:ascii="Times New Roman" w:hAnsi="Times New Roman"/>
                <w:sz w:val="24"/>
                <w:szCs w:val="24"/>
              </w:rPr>
              <w:t>–</w:t>
            </w:r>
            <w:r w:rsidRPr="0090461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17.2)</w:t>
            </w:r>
          </w:p>
        </w:tc>
        <w:tc>
          <w:tcPr>
            <w:tcW w:w="723" w:type="pct"/>
            <w:tcBorders>
              <w:bottom w:val="single" w:sz="8" w:space="0" w:color="auto"/>
            </w:tcBorders>
            <w:shd w:val="clear" w:color="auto" w:fill="auto"/>
          </w:tcPr>
          <w:p w14:paraId="0DAFA33D" w14:textId="77777777" w:rsidR="00AD1555" w:rsidRPr="00904611" w:rsidRDefault="00AD1555" w:rsidP="00904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90461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17.9 (10.2</w:t>
            </w:r>
            <w:r w:rsidRPr="00904611">
              <w:rPr>
                <w:rFonts w:ascii="Times New Roman" w:hAnsi="Times New Roman"/>
                <w:sz w:val="24"/>
                <w:szCs w:val="24"/>
              </w:rPr>
              <w:t>–</w:t>
            </w:r>
            <w:r w:rsidRPr="0090461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35.3)</w:t>
            </w:r>
          </w:p>
        </w:tc>
        <w:tc>
          <w:tcPr>
            <w:tcW w:w="671" w:type="pct"/>
            <w:tcBorders>
              <w:bottom w:val="single" w:sz="8" w:space="0" w:color="auto"/>
            </w:tcBorders>
            <w:shd w:val="clear" w:color="auto" w:fill="auto"/>
          </w:tcPr>
          <w:p w14:paraId="261618D4" w14:textId="21578E82" w:rsidR="00AD1555" w:rsidRPr="00904611" w:rsidRDefault="00B669B3" w:rsidP="00E3215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90461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17.9 (10.2</w:t>
            </w:r>
            <w:r w:rsidRPr="00904611">
              <w:rPr>
                <w:rFonts w:ascii="Times New Roman" w:hAnsi="Times New Roman"/>
                <w:sz w:val="24"/>
                <w:szCs w:val="24"/>
              </w:rPr>
              <w:t>–</w:t>
            </w:r>
            <w:r w:rsidRPr="0090461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35.3)</w:t>
            </w:r>
          </w:p>
        </w:tc>
        <w:tc>
          <w:tcPr>
            <w:tcW w:w="566" w:type="pct"/>
            <w:tcBorders>
              <w:bottom w:val="single" w:sz="8" w:space="0" w:color="auto"/>
            </w:tcBorders>
            <w:shd w:val="clear" w:color="auto" w:fill="auto"/>
          </w:tcPr>
          <w:p w14:paraId="38C3434D" w14:textId="3D45465E" w:rsidR="00AD1555" w:rsidRPr="00904611" w:rsidRDefault="00B669B3" w:rsidP="00904611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90461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4.7 (2.7–6.8)</w:t>
            </w:r>
          </w:p>
        </w:tc>
      </w:tr>
    </w:tbl>
    <w:p w14:paraId="57FA49F4" w14:textId="53D6FF7A" w:rsidR="00AD1555" w:rsidRPr="00904611" w:rsidRDefault="00AD1555" w:rsidP="00904611">
      <w:pPr>
        <w:spacing w:line="240" w:lineRule="auto"/>
        <w:rPr>
          <w:rFonts w:ascii="Times New Roman" w:hAnsi="Times New Roman"/>
          <w:sz w:val="24"/>
          <w:szCs w:val="24"/>
        </w:rPr>
      </w:pPr>
      <w:r w:rsidRPr="00904611">
        <w:rPr>
          <w:rFonts w:ascii="Times New Roman" w:hAnsi="Times New Roman"/>
          <w:b/>
          <w:bCs/>
          <w:sz w:val="24"/>
          <w:szCs w:val="24"/>
        </w:rPr>
        <w:t xml:space="preserve">SUPPLEMENTARY TABLE 2 </w:t>
      </w:r>
      <w:r w:rsidR="00E63CA4">
        <w:rPr>
          <w:rFonts w:ascii="Times New Roman" w:hAnsi="Times New Roman"/>
          <w:b/>
          <w:bCs/>
          <w:sz w:val="24"/>
          <w:szCs w:val="24"/>
        </w:rPr>
        <w:t xml:space="preserve">| </w:t>
      </w:r>
      <w:r w:rsidRPr="00904611">
        <w:rPr>
          <w:rFonts w:ascii="Times New Roman" w:hAnsi="Times New Roman"/>
          <w:sz w:val="24"/>
          <w:szCs w:val="24"/>
        </w:rPr>
        <w:t xml:space="preserve">Objective </w:t>
      </w:r>
      <w:r w:rsidR="00EE40EF" w:rsidRPr="00904611">
        <w:rPr>
          <w:rFonts w:ascii="Times New Roman" w:hAnsi="Times New Roman"/>
          <w:sz w:val="24"/>
          <w:szCs w:val="24"/>
        </w:rPr>
        <w:t xml:space="preserve">response rate and duration of objective response in patients with uncommon </w:t>
      </w:r>
      <w:r w:rsidRPr="00904611">
        <w:rPr>
          <w:rFonts w:ascii="Times New Roman" w:hAnsi="Times New Roman"/>
          <w:i/>
          <w:iCs/>
          <w:sz w:val="24"/>
          <w:szCs w:val="24"/>
        </w:rPr>
        <w:t xml:space="preserve">EGFR </w:t>
      </w:r>
      <w:r w:rsidR="00EE40EF" w:rsidRPr="00904611">
        <w:rPr>
          <w:rFonts w:ascii="Times New Roman" w:hAnsi="Times New Roman"/>
          <w:sz w:val="24"/>
          <w:szCs w:val="24"/>
        </w:rPr>
        <w:t>mutations</w:t>
      </w:r>
      <w:r w:rsidR="00EE40EF">
        <w:rPr>
          <w:rFonts w:ascii="Times New Roman" w:hAnsi="Times New Roman"/>
          <w:sz w:val="24"/>
          <w:szCs w:val="24"/>
        </w:rPr>
        <w:t>.</w:t>
      </w:r>
    </w:p>
    <w:p w14:paraId="2FAF409A" w14:textId="1AC894AA" w:rsidR="0008063C" w:rsidRPr="00AB1394" w:rsidRDefault="0008063C" w:rsidP="00904611">
      <w:pPr>
        <w:spacing w:line="240" w:lineRule="auto"/>
        <w:rPr>
          <w:rFonts w:ascii="Times New Roman" w:hAnsi="Times New Roman"/>
          <w:i/>
          <w:iCs/>
          <w:sz w:val="24"/>
          <w:szCs w:val="24"/>
        </w:rPr>
      </w:pPr>
      <w:r w:rsidRPr="00AB1394">
        <w:rPr>
          <w:rFonts w:ascii="Times New Roman" w:hAnsi="Times New Roman"/>
          <w:i/>
          <w:iCs/>
          <w:sz w:val="24"/>
          <w:szCs w:val="24"/>
        </w:rPr>
        <w:t>CI</w:t>
      </w:r>
      <w:r w:rsidR="00AD1555" w:rsidRPr="00AB1394">
        <w:rPr>
          <w:rFonts w:ascii="Times New Roman" w:hAnsi="Times New Roman"/>
          <w:i/>
          <w:iCs/>
          <w:sz w:val="24"/>
          <w:szCs w:val="24"/>
        </w:rPr>
        <w:t>,</w:t>
      </w:r>
      <w:r w:rsidR="00BD1034" w:rsidRPr="00AB139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B1394">
        <w:rPr>
          <w:rFonts w:ascii="Times New Roman" w:hAnsi="Times New Roman"/>
          <w:i/>
          <w:iCs/>
          <w:sz w:val="24"/>
          <w:szCs w:val="24"/>
        </w:rPr>
        <w:t>confidence interval; DOR</w:t>
      </w:r>
      <w:r w:rsidR="00AD1555" w:rsidRPr="00AB1394">
        <w:rPr>
          <w:rFonts w:ascii="Times New Roman" w:hAnsi="Times New Roman"/>
          <w:i/>
          <w:iCs/>
          <w:sz w:val="24"/>
          <w:szCs w:val="24"/>
        </w:rPr>
        <w:t>,</w:t>
      </w:r>
      <w:r w:rsidRPr="00AB1394">
        <w:rPr>
          <w:rFonts w:ascii="Times New Roman" w:hAnsi="Times New Roman"/>
          <w:i/>
          <w:iCs/>
          <w:sz w:val="24"/>
          <w:szCs w:val="24"/>
        </w:rPr>
        <w:t xml:space="preserve"> duration of objective response; NE</w:t>
      </w:r>
      <w:r w:rsidR="00AD1555" w:rsidRPr="00AB1394">
        <w:rPr>
          <w:rFonts w:ascii="Times New Roman" w:hAnsi="Times New Roman"/>
          <w:i/>
          <w:iCs/>
          <w:sz w:val="24"/>
          <w:szCs w:val="24"/>
        </w:rPr>
        <w:t>,</w:t>
      </w:r>
      <w:r w:rsidRPr="00AB1394">
        <w:rPr>
          <w:rFonts w:ascii="Times New Roman" w:hAnsi="Times New Roman"/>
          <w:i/>
          <w:iCs/>
          <w:sz w:val="24"/>
          <w:szCs w:val="24"/>
        </w:rPr>
        <w:t xml:space="preserve"> not evaluable</w:t>
      </w:r>
      <w:r w:rsidR="00FD2698" w:rsidRPr="00AB1394">
        <w:rPr>
          <w:rFonts w:ascii="Times New Roman" w:hAnsi="Times New Roman"/>
          <w:i/>
          <w:iCs/>
          <w:sz w:val="24"/>
          <w:szCs w:val="24"/>
        </w:rPr>
        <w:t>.</w:t>
      </w:r>
    </w:p>
    <w:p w14:paraId="5CE3BB39" w14:textId="77777777" w:rsidR="0008063C" w:rsidRPr="00904611" w:rsidRDefault="00BB6DDF" w:rsidP="00904611">
      <w:pPr>
        <w:spacing w:after="160" w:line="240" w:lineRule="auto"/>
        <w:rPr>
          <w:rFonts w:ascii="Times New Roman" w:hAnsi="Times New Roman"/>
          <w:bCs/>
          <w:color w:val="000000"/>
          <w:sz w:val="24"/>
          <w:szCs w:val="24"/>
          <w:lang w:val="en-US"/>
        </w:rPr>
        <w:sectPr w:rsidR="0008063C" w:rsidRPr="00904611" w:rsidSect="001528B3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904611">
        <w:rPr>
          <w:rFonts w:ascii="Times New Roman" w:hAnsi="Times New Roman"/>
          <w:bCs/>
          <w:color w:val="000000"/>
          <w:sz w:val="24"/>
          <w:szCs w:val="24"/>
          <w:lang w:val="en-US"/>
        </w:rPr>
        <w:br w:type="page"/>
      </w:r>
    </w:p>
    <w:p w14:paraId="1BF627CF" w14:textId="21A3E3D5" w:rsidR="002312DB" w:rsidRPr="00904611" w:rsidRDefault="001C6555" w:rsidP="0090461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 w:rsidRPr="00904611">
        <w:rPr>
          <w:rFonts w:ascii="Times New Roman" w:hAnsi="Times New Roman"/>
          <w:b/>
          <w:color w:val="000000"/>
          <w:sz w:val="24"/>
          <w:szCs w:val="24"/>
          <w:lang w:val="en-US"/>
        </w:rPr>
        <w:lastRenderedPageBreak/>
        <w:t xml:space="preserve">SUPPLEMENTARY FIGURE </w:t>
      </w:r>
      <w:r w:rsidR="000120E2" w:rsidRPr="00904611">
        <w:rPr>
          <w:rFonts w:ascii="Times New Roman" w:hAnsi="Times New Roman"/>
          <w:b/>
          <w:color w:val="000000"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|</w:t>
      </w:r>
      <w:r w:rsidR="000120E2" w:rsidRPr="00904611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Patient </w:t>
      </w:r>
      <w:r w:rsidR="00ED72C5" w:rsidRPr="00904611">
        <w:rPr>
          <w:rFonts w:ascii="Times New Roman" w:hAnsi="Times New Roman"/>
          <w:bCs/>
          <w:color w:val="000000"/>
          <w:sz w:val="24"/>
          <w:szCs w:val="24"/>
          <w:lang w:val="en-US"/>
        </w:rPr>
        <w:t>d</w:t>
      </w:r>
      <w:r w:rsidR="000120E2" w:rsidRPr="00904611">
        <w:rPr>
          <w:rFonts w:ascii="Times New Roman" w:hAnsi="Times New Roman"/>
          <w:bCs/>
          <w:color w:val="000000"/>
          <w:sz w:val="24"/>
          <w:szCs w:val="24"/>
          <w:lang w:val="en-US"/>
        </w:rPr>
        <w:t>isposition</w:t>
      </w:r>
      <w:r w:rsidR="00ED72C5" w:rsidRPr="00904611">
        <w:rPr>
          <w:rFonts w:ascii="Times New Roman" w:hAnsi="Times New Roman"/>
          <w:bCs/>
          <w:color w:val="000000"/>
          <w:sz w:val="24"/>
          <w:szCs w:val="24"/>
          <w:lang w:val="en-US"/>
        </w:rPr>
        <w:t>.</w:t>
      </w:r>
      <w:r w:rsidR="000120E2" w:rsidRPr="00904611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</w:t>
      </w:r>
      <w:r w:rsidR="006B1B97" w:rsidRPr="00904611">
        <w:rPr>
          <w:rFonts w:ascii="Times New Roman" w:hAnsi="Times New Roman"/>
          <w:bCs/>
          <w:color w:val="000000"/>
          <w:sz w:val="24"/>
          <w:szCs w:val="24"/>
          <w:lang w:val="en-US"/>
        </w:rPr>
        <w:t>AEs</w:t>
      </w:r>
      <w:r w:rsidR="00E253FD" w:rsidRPr="00904611">
        <w:rPr>
          <w:rFonts w:ascii="Times New Roman" w:hAnsi="Times New Roman"/>
          <w:bCs/>
          <w:color w:val="000000"/>
          <w:sz w:val="24"/>
          <w:szCs w:val="24"/>
          <w:lang w:val="en-US"/>
        </w:rPr>
        <w:t>,</w:t>
      </w:r>
      <w:r w:rsidR="006B1B97" w:rsidRPr="00904611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adverse events.</w:t>
      </w:r>
      <w:r w:rsidR="002312DB" w:rsidRPr="00904611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2B6A210" wp14:editId="0373ED13">
            <wp:simplePos x="0" y="0"/>
            <wp:positionH relativeFrom="column">
              <wp:posOffset>0</wp:posOffset>
            </wp:positionH>
            <wp:positionV relativeFrom="paragraph">
              <wp:posOffset>175260</wp:posOffset>
            </wp:positionV>
            <wp:extent cx="5731510" cy="3753485"/>
            <wp:effectExtent l="0" t="0" r="254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53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9E08C4" w14:textId="77777777" w:rsidR="008C05FC" w:rsidRDefault="008C05FC" w:rsidP="00904611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  <w:sectPr w:rsidR="008C05FC" w:rsidSect="001528B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379B3AF" w14:textId="0E669C1D" w:rsidR="00850498" w:rsidRDefault="006550D6" w:rsidP="00904611">
      <w:pPr>
        <w:spacing w:after="0" w:line="240" w:lineRule="auto"/>
        <w:rPr>
          <w:rFonts w:ascii="Times New Roman" w:hAnsi="Times New Roman"/>
          <w:bCs/>
          <w:sz w:val="24"/>
          <w:szCs w:val="24"/>
          <w:lang w:val="en-US"/>
        </w:rPr>
      </w:pPr>
      <w:r w:rsidRPr="00904611">
        <w:rPr>
          <w:rFonts w:ascii="Times New Roman" w:hAnsi="Times New Roman"/>
          <w:b/>
          <w:sz w:val="24"/>
          <w:szCs w:val="24"/>
          <w:lang w:val="en-US"/>
        </w:rPr>
        <w:lastRenderedPageBreak/>
        <w:t>SUPPLEMENTARY FIGURE 2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957C53">
        <w:rPr>
          <w:rFonts w:ascii="Times New Roman" w:hAnsi="Times New Roman"/>
          <w:bCs/>
          <w:sz w:val="24"/>
          <w:szCs w:val="24"/>
          <w:lang w:val="en-US"/>
        </w:rPr>
        <w:t>|</w:t>
      </w:r>
      <w:r w:rsidR="00B42864" w:rsidRPr="00904611">
        <w:rPr>
          <w:rFonts w:ascii="Times New Roman" w:hAnsi="Times New Roman"/>
          <w:bCs/>
          <w:sz w:val="24"/>
          <w:szCs w:val="24"/>
          <w:lang w:val="en-US"/>
        </w:rPr>
        <w:t xml:space="preserve"> TTSP in </w:t>
      </w:r>
      <w:r w:rsidR="009B26B6" w:rsidRPr="00957C53">
        <w:rPr>
          <w:rFonts w:ascii="Times New Roman" w:hAnsi="Times New Roman"/>
          <w:b/>
          <w:sz w:val="24"/>
          <w:szCs w:val="24"/>
          <w:lang w:val="en-US"/>
        </w:rPr>
        <w:t>(</w:t>
      </w:r>
      <w:r w:rsidR="00B42864" w:rsidRPr="00957C53">
        <w:rPr>
          <w:rFonts w:ascii="Times New Roman" w:hAnsi="Times New Roman"/>
          <w:b/>
          <w:sz w:val="24"/>
          <w:szCs w:val="24"/>
          <w:lang w:val="en-US"/>
        </w:rPr>
        <w:t>A)</w:t>
      </w:r>
      <w:r w:rsidR="00B42864" w:rsidRPr="00904611">
        <w:rPr>
          <w:rFonts w:ascii="Times New Roman" w:hAnsi="Times New Roman"/>
          <w:bCs/>
          <w:sz w:val="24"/>
          <w:szCs w:val="24"/>
          <w:lang w:val="en-US"/>
        </w:rPr>
        <w:t xml:space="preserve"> all patients, </w:t>
      </w:r>
      <w:r w:rsidR="009B26B6" w:rsidRPr="00957C53">
        <w:rPr>
          <w:rFonts w:ascii="Times New Roman" w:hAnsi="Times New Roman"/>
          <w:b/>
          <w:sz w:val="24"/>
          <w:szCs w:val="24"/>
          <w:lang w:val="en-US"/>
        </w:rPr>
        <w:t>(</w:t>
      </w:r>
      <w:r w:rsidR="00B42864" w:rsidRPr="00957C53">
        <w:rPr>
          <w:rFonts w:ascii="Times New Roman" w:hAnsi="Times New Roman"/>
          <w:b/>
          <w:sz w:val="24"/>
          <w:szCs w:val="24"/>
          <w:lang w:val="en-US"/>
        </w:rPr>
        <w:t>B)</w:t>
      </w:r>
      <w:r w:rsidR="00B42864" w:rsidRPr="00904611">
        <w:rPr>
          <w:rFonts w:ascii="Times New Roman" w:hAnsi="Times New Roman"/>
          <w:bCs/>
          <w:sz w:val="24"/>
          <w:szCs w:val="24"/>
          <w:lang w:val="en-US"/>
        </w:rPr>
        <w:t xml:space="preserve"> patients with tumors harboring common v</w:t>
      </w:r>
      <w:r w:rsidR="00A3670B" w:rsidRPr="00904611">
        <w:rPr>
          <w:rFonts w:ascii="Times New Roman" w:hAnsi="Times New Roman"/>
          <w:bCs/>
          <w:sz w:val="24"/>
          <w:szCs w:val="24"/>
          <w:lang w:val="en-US"/>
        </w:rPr>
        <w:t>ersus</w:t>
      </w:r>
      <w:r w:rsidR="00B42864" w:rsidRPr="00904611">
        <w:rPr>
          <w:rFonts w:ascii="Times New Roman" w:hAnsi="Times New Roman"/>
          <w:bCs/>
          <w:sz w:val="24"/>
          <w:szCs w:val="24"/>
          <w:lang w:val="en-US"/>
        </w:rPr>
        <w:t xml:space="preserve"> uncommon mutations, </w:t>
      </w:r>
      <w:r w:rsidR="009B26B6" w:rsidRPr="00957C53">
        <w:rPr>
          <w:rFonts w:ascii="Times New Roman" w:hAnsi="Times New Roman"/>
          <w:b/>
          <w:sz w:val="24"/>
          <w:szCs w:val="24"/>
          <w:lang w:val="en-US"/>
        </w:rPr>
        <w:t>(</w:t>
      </w:r>
      <w:r w:rsidR="00B42864" w:rsidRPr="00957C53">
        <w:rPr>
          <w:rFonts w:ascii="Times New Roman" w:hAnsi="Times New Roman"/>
          <w:b/>
          <w:sz w:val="24"/>
          <w:szCs w:val="24"/>
          <w:lang w:val="en-US"/>
        </w:rPr>
        <w:t>C)</w:t>
      </w:r>
      <w:r w:rsidR="00B42864" w:rsidRPr="00904611">
        <w:rPr>
          <w:rFonts w:ascii="Times New Roman" w:hAnsi="Times New Roman"/>
          <w:bCs/>
          <w:sz w:val="24"/>
          <w:szCs w:val="24"/>
          <w:lang w:val="en-US"/>
        </w:rPr>
        <w:t xml:space="preserve"> patients with ECOG PS 0/1 </w:t>
      </w:r>
      <w:r w:rsidR="00A3670B" w:rsidRPr="00904611">
        <w:rPr>
          <w:rFonts w:ascii="Times New Roman" w:hAnsi="Times New Roman"/>
          <w:bCs/>
          <w:sz w:val="24"/>
          <w:szCs w:val="24"/>
          <w:lang w:val="en-US"/>
        </w:rPr>
        <w:t xml:space="preserve">versus </w:t>
      </w:r>
      <w:r w:rsidR="00B42864" w:rsidRPr="00904611">
        <w:rPr>
          <w:rFonts w:ascii="Times New Roman" w:hAnsi="Times New Roman"/>
          <w:bCs/>
          <w:sz w:val="24"/>
          <w:szCs w:val="24"/>
          <w:lang w:val="en-US"/>
        </w:rPr>
        <w:t xml:space="preserve">2, </w:t>
      </w:r>
      <w:r w:rsidR="009B26B6" w:rsidRPr="00957C53">
        <w:rPr>
          <w:rFonts w:ascii="Times New Roman" w:hAnsi="Times New Roman"/>
          <w:b/>
          <w:sz w:val="24"/>
          <w:szCs w:val="24"/>
          <w:lang w:val="en-US"/>
        </w:rPr>
        <w:t>(</w:t>
      </w:r>
      <w:r w:rsidR="00B42864" w:rsidRPr="00957C53">
        <w:rPr>
          <w:rFonts w:ascii="Times New Roman" w:hAnsi="Times New Roman"/>
          <w:b/>
          <w:sz w:val="24"/>
          <w:szCs w:val="24"/>
          <w:lang w:val="en-US"/>
        </w:rPr>
        <w:t>D)</w:t>
      </w:r>
      <w:r w:rsidR="00B42864" w:rsidRPr="00904611">
        <w:rPr>
          <w:rFonts w:ascii="Times New Roman" w:hAnsi="Times New Roman"/>
          <w:bCs/>
          <w:sz w:val="24"/>
          <w:szCs w:val="24"/>
          <w:lang w:val="en-US"/>
        </w:rPr>
        <w:t xml:space="preserve"> patients with common mutations and ECOG PS 0/1 </w:t>
      </w:r>
      <w:r w:rsidR="00A3670B" w:rsidRPr="00904611">
        <w:rPr>
          <w:rFonts w:ascii="Times New Roman" w:hAnsi="Times New Roman"/>
          <w:bCs/>
          <w:sz w:val="24"/>
          <w:szCs w:val="24"/>
          <w:lang w:val="en-US"/>
        </w:rPr>
        <w:t xml:space="preserve">versus </w:t>
      </w:r>
      <w:r w:rsidR="00B42864" w:rsidRPr="00904611">
        <w:rPr>
          <w:rFonts w:ascii="Times New Roman" w:hAnsi="Times New Roman"/>
          <w:bCs/>
          <w:sz w:val="24"/>
          <w:szCs w:val="24"/>
          <w:lang w:val="en-US"/>
        </w:rPr>
        <w:t xml:space="preserve">2, </w:t>
      </w:r>
      <w:r w:rsidR="009B26B6" w:rsidRPr="00957C53">
        <w:rPr>
          <w:rFonts w:ascii="Times New Roman" w:hAnsi="Times New Roman"/>
          <w:b/>
          <w:sz w:val="24"/>
          <w:szCs w:val="24"/>
          <w:lang w:val="en-US"/>
        </w:rPr>
        <w:t>(</w:t>
      </w:r>
      <w:r w:rsidR="00B42864" w:rsidRPr="00957C53">
        <w:rPr>
          <w:rFonts w:ascii="Times New Roman" w:hAnsi="Times New Roman"/>
          <w:b/>
          <w:sz w:val="24"/>
          <w:szCs w:val="24"/>
          <w:lang w:val="en-US"/>
        </w:rPr>
        <w:t>E)</w:t>
      </w:r>
      <w:r w:rsidR="00B42864" w:rsidRPr="00904611">
        <w:rPr>
          <w:rFonts w:ascii="Times New Roman" w:hAnsi="Times New Roman"/>
          <w:bCs/>
          <w:sz w:val="24"/>
          <w:szCs w:val="24"/>
          <w:lang w:val="en-US"/>
        </w:rPr>
        <w:t xml:space="preserve"> patients with </w:t>
      </w:r>
      <w:r w:rsidR="009255CC" w:rsidRPr="00904611">
        <w:rPr>
          <w:rFonts w:ascii="Times New Roman" w:hAnsi="Times New Roman"/>
          <w:bCs/>
          <w:sz w:val="24"/>
          <w:szCs w:val="24"/>
          <w:lang w:val="en-US"/>
        </w:rPr>
        <w:t>vs</w:t>
      </w:r>
      <w:r w:rsidR="00B42864" w:rsidRPr="00904611">
        <w:rPr>
          <w:rFonts w:ascii="Times New Roman" w:hAnsi="Times New Roman"/>
          <w:bCs/>
          <w:sz w:val="24"/>
          <w:szCs w:val="24"/>
          <w:lang w:val="en-US"/>
        </w:rPr>
        <w:t xml:space="preserve"> without baseline brain metastases, </w:t>
      </w:r>
      <w:r w:rsidR="009B26B6" w:rsidRPr="00957C53">
        <w:rPr>
          <w:rFonts w:ascii="Times New Roman" w:hAnsi="Times New Roman"/>
          <w:b/>
          <w:sz w:val="24"/>
          <w:szCs w:val="24"/>
          <w:lang w:val="en-US"/>
        </w:rPr>
        <w:t>(</w:t>
      </w:r>
      <w:r w:rsidR="00B42864" w:rsidRPr="00957C53">
        <w:rPr>
          <w:rFonts w:ascii="Times New Roman" w:hAnsi="Times New Roman"/>
          <w:b/>
          <w:sz w:val="24"/>
          <w:szCs w:val="24"/>
          <w:lang w:val="en-US"/>
        </w:rPr>
        <w:t>F)</w:t>
      </w:r>
      <w:r w:rsidR="00B42864" w:rsidRPr="00904611">
        <w:rPr>
          <w:rFonts w:ascii="Times New Roman" w:hAnsi="Times New Roman"/>
          <w:bCs/>
          <w:sz w:val="24"/>
          <w:szCs w:val="24"/>
          <w:lang w:val="en-US"/>
        </w:rPr>
        <w:t xml:space="preserve"> patients treated with afatinib in first, second and later lines of therapy, </w:t>
      </w:r>
      <w:r w:rsidR="009B26B6" w:rsidRPr="00957C53">
        <w:rPr>
          <w:rFonts w:ascii="Times New Roman" w:hAnsi="Times New Roman"/>
          <w:b/>
          <w:sz w:val="24"/>
          <w:szCs w:val="24"/>
          <w:lang w:val="en-US"/>
        </w:rPr>
        <w:t>(</w:t>
      </w:r>
      <w:r w:rsidR="00B42864" w:rsidRPr="00957C53">
        <w:rPr>
          <w:rFonts w:ascii="Times New Roman" w:hAnsi="Times New Roman"/>
          <w:b/>
          <w:sz w:val="24"/>
          <w:szCs w:val="24"/>
          <w:lang w:val="en-US"/>
        </w:rPr>
        <w:t>G)</w:t>
      </w:r>
      <w:r w:rsidR="00B42864" w:rsidRPr="00904611">
        <w:rPr>
          <w:rFonts w:ascii="Times New Roman" w:hAnsi="Times New Roman"/>
          <w:bCs/>
          <w:sz w:val="24"/>
          <w:szCs w:val="24"/>
          <w:lang w:val="en-US"/>
        </w:rPr>
        <w:t xml:space="preserve"> patients aged &lt;65 or ≥65 years, and </w:t>
      </w:r>
      <w:r w:rsidR="009B26B6" w:rsidRPr="00957C53">
        <w:rPr>
          <w:rFonts w:ascii="Times New Roman" w:hAnsi="Times New Roman"/>
          <w:b/>
          <w:sz w:val="24"/>
          <w:szCs w:val="24"/>
          <w:lang w:val="en-US"/>
        </w:rPr>
        <w:t>(</w:t>
      </w:r>
      <w:r w:rsidR="00B42864" w:rsidRPr="00957C53">
        <w:rPr>
          <w:rFonts w:ascii="Times New Roman" w:hAnsi="Times New Roman"/>
          <w:b/>
          <w:sz w:val="24"/>
          <w:szCs w:val="24"/>
          <w:lang w:val="en-US"/>
        </w:rPr>
        <w:t>H)</w:t>
      </w:r>
      <w:r w:rsidR="00B42864" w:rsidRPr="00904611">
        <w:rPr>
          <w:rFonts w:ascii="Times New Roman" w:hAnsi="Times New Roman"/>
          <w:bCs/>
          <w:sz w:val="24"/>
          <w:szCs w:val="24"/>
          <w:lang w:val="en-US"/>
        </w:rPr>
        <w:t xml:space="preserve"> patients aged &lt;75 or ≥75 years</w:t>
      </w:r>
      <w:r w:rsidR="009255CC" w:rsidRPr="00904611">
        <w:rPr>
          <w:rFonts w:ascii="Times New Roman" w:hAnsi="Times New Roman"/>
          <w:bCs/>
          <w:sz w:val="24"/>
          <w:szCs w:val="24"/>
          <w:lang w:val="en-US"/>
        </w:rPr>
        <w:t>.</w:t>
      </w:r>
      <w:r w:rsidR="00D242AB" w:rsidRPr="00904611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9B26B6" w:rsidRPr="00904611">
        <w:rPr>
          <w:rFonts w:ascii="Times New Roman" w:hAnsi="Times New Roman"/>
          <w:bCs/>
          <w:sz w:val="24"/>
          <w:szCs w:val="24"/>
          <w:lang w:val="en-US"/>
        </w:rPr>
        <w:t xml:space="preserve">Abbreviations: </w:t>
      </w:r>
      <w:r w:rsidR="00D242AB" w:rsidRPr="00904611">
        <w:rPr>
          <w:rFonts w:ascii="Times New Roman" w:hAnsi="Times New Roman"/>
          <w:bCs/>
          <w:color w:val="000000"/>
          <w:sz w:val="24"/>
          <w:szCs w:val="24"/>
          <w:lang w:val="en-US"/>
        </w:rPr>
        <w:t>CI</w:t>
      </w:r>
      <w:r w:rsidR="009B26B6" w:rsidRPr="00904611">
        <w:rPr>
          <w:rFonts w:ascii="Times New Roman" w:hAnsi="Times New Roman"/>
          <w:bCs/>
          <w:color w:val="000000"/>
          <w:sz w:val="24"/>
          <w:szCs w:val="24"/>
          <w:lang w:val="en-US"/>
        </w:rPr>
        <w:t>,</w:t>
      </w:r>
      <w:r w:rsidR="00D242AB" w:rsidRPr="00904611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confidence interval; </w:t>
      </w:r>
      <w:r w:rsidR="00D242AB" w:rsidRPr="00904611">
        <w:rPr>
          <w:rFonts w:ascii="Times New Roman" w:hAnsi="Times New Roman"/>
          <w:bCs/>
          <w:sz w:val="24"/>
          <w:szCs w:val="24"/>
          <w:lang w:val="en-US"/>
        </w:rPr>
        <w:t>ECOG PS, Eastern Cooperative Oncology Group performance status; TTSP, time to symptomatic progression.</w:t>
      </w:r>
    </w:p>
    <w:p w14:paraId="33105BB1" w14:textId="6B771248" w:rsidR="00957C53" w:rsidRPr="00904611" w:rsidRDefault="00957C53" w:rsidP="00904611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 wp14:anchorId="520555A2" wp14:editId="43749169">
            <wp:extent cx="4254832" cy="749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877" cy="7507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7C53" w:rsidRPr="00904611" w:rsidSect="001528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D5F89" w14:textId="77777777" w:rsidR="00642EDD" w:rsidRDefault="00642EDD" w:rsidP="000120E2">
      <w:pPr>
        <w:spacing w:after="0" w:line="240" w:lineRule="auto"/>
      </w:pPr>
      <w:r>
        <w:separator/>
      </w:r>
    </w:p>
  </w:endnote>
  <w:endnote w:type="continuationSeparator" w:id="0">
    <w:p w14:paraId="4D975101" w14:textId="77777777" w:rsidR="00642EDD" w:rsidRDefault="00642EDD" w:rsidP="0001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95807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5D70A2" w14:textId="14FE9F62" w:rsidR="007934B5" w:rsidRDefault="007934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69B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F5A0AB8" w14:textId="77777777" w:rsidR="007934B5" w:rsidRDefault="00793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33377" w14:textId="77777777" w:rsidR="00642EDD" w:rsidRDefault="00642EDD" w:rsidP="000120E2">
      <w:pPr>
        <w:spacing w:after="0" w:line="240" w:lineRule="auto"/>
      </w:pPr>
      <w:r>
        <w:separator/>
      </w:r>
    </w:p>
  </w:footnote>
  <w:footnote w:type="continuationSeparator" w:id="0">
    <w:p w14:paraId="531A31AC" w14:textId="77777777" w:rsidR="00642EDD" w:rsidRDefault="00642EDD" w:rsidP="00012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29697" w14:textId="02BAFA61" w:rsidR="000120E2" w:rsidRDefault="000120E2">
    <w:pPr>
      <w:pStyle w:val="Header"/>
    </w:pPr>
    <w:r>
      <w:t>Supplementary material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MjS2NDU0MzC3tDRS0lEKTi0uzszPAykwrAUASWcQfywAAAA="/>
  </w:docVars>
  <w:rsids>
    <w:rsidRoot w:val="000120E2"/>
    <w:rsid w:val="000120E2"/>
    <w:rsid w:val="000437D3"/>
    <w:rsid w:val="0008063C"/>
    <w:rsid w:val="000808E3"/>
    <w:rsid w:val="00084095"/>
    <w:rsid w:val="000B0377"/>
    <w:rsid w:val="000B6D2A"/>
    <w:rsid w:val="000D3062"/>
    <w:rsid w:val="000D4FDC"/>
    <w:rsid w:val="001239FE"/>
    <w:rsid w:val="001528B3"/>
    <w:rsid w:val="0016733D"/>
    <w:rsid w:val="00176B81"/>
    <w:rsid w:val="00187895"/>
    <w:rsid w:val="001A6FDD"/>
    <w:rsid w:val="001C6555"/>
    <w:rsid w:val="001D298A"/>
    <w:rsid w:val="00200F3B"/>
    <w:rsid w:val="00212ED6"/>
    <w:rsid w:val="002312DB"/>
    <w:rsid w:val="0024249E"/>
    <w:rsid w:val="002815A7"/>
    <w:rsid w:val="002A134A"/>
    <w:rsid w:val="002A6F26"/>
    <w:rsid w:val="002B4EAE"/>
    <w:rsid w:val="002D1AC1"/>
    <w:rsid w:val="002F3A14"/>
    <w:rsid w:val="002F3CBE"/>
    <w:rsid w:val="003049D0"/>
    <w:rsid w:val="003151CF"/>
    <w:rsid w:val="0032311C"/>
    <w:rsid w:val="003473BE"/>
    <w:rsid w:val="00361F78"/>
    <w:rsid w:val="003E0714"/>
    <w:rsid w:val="00411D73"/>
    <w:rsid w:val="00485C43"/>
    <w:rsid w:val="004D7D7A"/>
    <w:rsid w:val="004E2777"/>
    <w:rsid w:val="00500C98"/>
    <w:rsid w:val="00514458"/>
    <w:rsid w:val="0053075F"/>
    <w:rsid w:val="00597D8E"/>
    <w:rsid w:val="005A3BC4"/>
    <w:rsid w:val="005C14E8"/>
    <w:rsid w:val="005F535C"/>
    <w:rsid w:val="00634333"/>
    <w:rsid w:val="00642EDD"/>
    <w:rsid w:val="006550D6"/>
    <w:rsid w:val="00661792"/>
    <w:rsid w:val="006A263C"/>
    <w:rsid w:val="006A28D7"/>
    <w:rsid w:val="006B1B97"/>
    <w:rsid w:val="006D36FC"/>
    <w:rsid w:val="006E5B1B"/>
    <w:rsid w:val="006F67D5"/>
    <w:rsid w:val="007302BD"/>
    <w:rsid w:val="00773095"/>
    <w:rsid w:val="00780251"/>
    <w:rsid w:val="007934B5"/>
    <w:rsid w:val="007F148E"/>
    <w:rsid w:val="007F5C28"/>
    <w:rsid w:val="00813251"/>
    <w:rsid w:val="00850498"/>
    <w:rsid w:val="008552C2"/>
    <w:rsid w:val="008C05FC"/>
    <w:rsid w:val="008C25BB"/>
    <w:rsid w:val="008E01C3"/>
    <w:rsid w:val="008E05A9"/>
    <w:rsid w:val="00904611"/>
    <w:rsid w:val="009255CC"/>
    <w:rsid w:val="00957C53"/>
    <w:rsid w:val="00986B64"/>
    <w:rsid w:val="0099150B"/>
    <w:rsid w:val="0099536C"/>
    <w:rsid w:val="009B26B6"/>
    <w:rsid w:val="00A21CDA"/>
    <w:rsid w:val="00A3299E"/>
    <w:rsid w:val="00A335B4"/>
    <w:rsid w:val="00A3670B"/>
    <w:rsid w:val="00A420D2"/>
    <w:rsid w:val="00A61EA6"/>
    <w:rsid w:val="00A845B7"/>
    <w:rsid w:val="00AB1394"/>
    <w:rsid w:val="00AB333C"/>
    <w:rsid w:val="00AD1555"/>
    <w:rsid w:val="00AE7AF9"/>
    <w:rsid w:val="00B019C2"/>
    <w:rsid w:val="00B07AA7"/>
    <w:rsid w:val="00B11297"/>
    <w:rsid w:val="00B24180"/>
    <w:rsid w:val="00B24A4F"/>
    <w:rsid w:val="00B42864"/>
    <w:rsid w:val="00B669B3"/>
    <w:rsid w:val="00B8178B"/>
    <w:rsid w:val="00B83049"/>
    <w:rsid w:val="00BA4B9B"/>
    <w:rsid w:val="00BB6DDF"/>
    <w:rsid w:val="00BC6C00"/>
    <w:rsid w:val="00BD1034"/>
    <w:rsid w:val="00C00730"/>
    <w:rsid w:val="00C26604"/>
    <w:rsid w:val="00C2660B"/>
    <w:rsid w:val="00C328AA"/>
    <w:rsid w:val="00C40956"/>
    <w:rsid w:val="00C87BCD"/>
    <w:rsid w:val="00CD1EA3"/>
    <w:rsid w:val="00D242AB"/>
    <w:rsid w:val="00D41D46"/>
    <w:rsid w:val="00D47D9B"/>
    <w:rsid w:val="00D90D93"/>
    <w:rsid w:val="00DA3E12"/>
    <w:rsid w:val="00DB297E"/>
    <w:rsid w:val="00DD06CB"/>
    <w:rsid w:val="00E020EE"/>
    <w:rsid w:val="00E253FD"/>
    <w:rsid w:val="00E3215B"/>
    <w:rsid w:val="00E449D7"/>
    <w:rsid w:val="00E55E39"/>
    <w:rsid w:val="00E60C11"/>
    <w:rsid w:val="00E63CA4"/>
    <w:rsid w:val="00E63EBB"/>
    <w:rsid w:val="00E81630"/>
    <w:rsid w:val="00ED6980"/>
    <w:rsid w:val="00ED72C5"/>
    <w:rsid w:val="00EE2200"/>
    <w:rsid w:val="00EE40EF"/>
    <w:rsid w:val="00F07B61"/>
    <w:rsid w:val="00F40961"/>
    <w:rsid w:val="00F56E5C"/>
    <w:rsid w:val="00F575EB"/>
    <w:rsid w:val="00F64756"/>
    <w:rsid w:val="00F6795B"/>
    <w:rsid w:val="00FD2698"/>
    <w:rsid w:val="00FD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5DBDF"/>
  <w15:chartTrackingRefBased/>
  <w15:docId w15:val="{67C35D80-1324-4D3E-AE41-FDE2A24A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0E2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0E2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12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0E2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12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0E2"/>
    <w:rPr>
      <w:rFonts w:ascii="Calibri" w:eastAsia="Times New Roman" w:hAnsi="Calibri" w:cs="Times New Roman"/>
      <w:lang w:eastAsia="en-GB"/>
    </w:rPr>
  </w:style>
  <w:style w:type="table" w:styleId="TableGrid">
    <w:name w:val="Table Grid"/>
    <w:basedOn w:val="TableNormal"/>
    <w:uiPriority w:val="59"/>
    <w:rsid w:val="00BB6DDF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934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34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34B5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4B5"/>
    <w:rPr>
      <w:rFonts w:ascii="Calibri" w:eastAsia="Times New Roman" w:hAnsi="Calibri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6D36FC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F575EB"/>
    <w:rPr>
      <w:color w:val="0563C1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24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AA1DD-0461-4627-BE6A-1F03FA61B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</dc:creator>
  <cp:keywords/>
  <dc:description/>
  <cp:lastModifiedBy>Alessandro Sbordoni</cp:lastModifiedBy>
  <cp:revision>3</cp:revision>
  <dcterms:created xsi:type="dcterms:W3CDTF">2021-04-21T13:48:00Z</dcterms:created>
  <dcterms:modified xsi:type="dcterms:W3CDTF">2021-06-22T07:44:00Z</dcterms:modified>
</cp:coreProperties>
</file>