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4E18" w14:textId="2393DB10" w:rsidR="00FF17D0" w:rsidRPr="00FF17D0" w:rsidRDefault="007B1B9B" w:rsidP="009C3E7B">
      <w:pPr>
        <w:pStyle w:val="Title"/>
        <w:rPr>
          <w:rFonts w:asciiTheme="minorHAnsi" w:hAnsiTheme="minorHAnsi" w:cstheme="minorHAnsi"/>
          <w:sz w:val="40"/>
          <w:lang w:val="en-US"/>
        </w:rPr>
      </w:pPr>
      <w:r w:rsidRPr="00FF17D0">
        <w:rPr>
          <w:rFonts w:asciiTheme="minorHAnsi" w:hAnsiTheme="minorHAnsi" w:cstheme="minorHAnsi"/>
          <w:sz w:val="40"/>
          <w:lang w:val="en-US"/>
        </w:rPr>
        <w:t>Su</w:t>
      </w:r>
      <w:r w:rsidR="00993B52" w:rsidRPr="00FF17D0">
        <w:rPr>
          <w:rFonts w:asciiTheme="minorHAnsi" w:hAnsiTheme="minorHAnsi" w:cstheme="minorHAnsi"/>
          <w:sz w:val="40"/>
          <w:lang w:val="en-US"/>
        </w:rPr>
        <w:t>p</w:t>
      </w:r>
      <w:r w:rsidR="009C3E7B" w:rsidRPr="00FF17D0">
        <w:rPr>
          <w:rFonts w:asciiTheme="minorHAnsi" w:hAnsiTheme="minorHAnsi" w:cstheme="minorHAnsi"/>
          <w:sz w:val="40"/>
          <w:lang w:val="en-US"/>
        </w:rPr>
        <w:t>plement</w:t>
      </w:r>
      <w:r w:rsidR="003E2B59">
        <w:rPr>
          <w:rFonts w:asciiTheme="minorHAnsi" w:hAnsiTheme="minorHAnsi" w:cstheme="minorHAnsi"/>
          <w:sz w:val="40"/>
          <w:lang w:val="en-US"/>
        </w:rPr>
        <w:t>ary Table 1</w:t>
      </w:r>
    </w:p>
    <w:p w14:paraId="31ABA606" w14:textId="5D417147" w:rsidR="007B1B9B" w:rsidRDefault="00FF17D0" w:rsidP="00FF17D0">
      <w:pPr>
        <w:pStyle w:val="Subtitle"/>
        <w:rPr>
          <w:rFonts w:cstheme="minorHAnsi"/>
          <w:lang w:val="en-US"/>
        </w:rPr>
      </w:pPr>
      <w:r w:rsidRPr="00FF17D0">
        <w:rPr>
          <w:rFonts w:cstheme="minorHAnsi"/>
          <w:i/>
          <w:lang w:val="en-US"/>
        </w:rPr>
        <w:t>CYP3A4*22</w:t>
      </w:r>
      <w:r w:rsidRPr="00FF17D0">
        <w:rPr>
          <w:rFonts w:cstheme="minorHAnsi"/>
          <w:lang w:val="en-US"/>
        </w:rPr>
        <w:t xml:space="preserve"> Genotyping in Clinical Practice: Ready for Implementation?</w:t>
      </w:r>
    </w:p>
    <w:p w14:paraId="32A38D1B" w14:textId="5CBCC527" w:rsidR="00FF17D0" w:rsidRPr="00FF17D0" w:rsidRDefault="00FF17D0" w:rsidP="00FF17D0">
      <w:pPr>
        <w:rPr>
          <w:i/>
          <w:sz w:val="18"/>
        </w:rPr>
      </w:pPr>
      <w:r w:rsidRPr="00FF17D0">
        <w:rPr>
          <w:i/>
          <w:sz w:val="18"/>
        </w:rPr>
        <w:t xml:space="preserve">Tessa A.M. Mulder, Ruben A. G. van Eerden, Mirjam de With, Laure Elens, Dennis A. Hesselink, Maja Matic, Sander Bins, Ron H. J. Mathijssen </w:t>
      </w:r>
      <w:proofErr w:type="spellStart"/>
      <w:r w:rsidRPr="00FF17D0">
        <w:rPr>
          <w:i/>
          <w:sz w:val="18"/>
        </w:rPr>
        <w:t>and</w:t>
      </w:r>
      <w:proofErr w:type="spellEnd"/>
      <w:r w:rsidRPr="00FF17D0">
        <w:rPr>
          <w:i/>
          <w:sz w:val="18"/>
        </w:rPr>
        <w:t xml:space="preserve"> Ron H. N. van Schaik</w:t>
      </w:r>
    </w:p>
    <w:p w14:paraId="31E24823" w14:textId="64A92760" w:rsidR="003E2B59" w:rsidRPr="00E86552" w:rsidRDefault="003E2B59" w:rsidP="009C3E7B">
      <w:pPr>
        <w:rPr>
          <w:rFonts w:cstheme="minorHAnsi"/>
          <w:b/>
        </w:rPr>
      </w:pPr>
      <w:bookmarkStart w:id="0" w:name="_GoBack"/>
      <w:bookmarkEnd w:id="0"/>
    </w:p>
    <w:tbl>
      <w:tblPr>
        <w:tblStyle w:val="PlainTable5"/>
        <w:tblW w:w="9303" w:type="dxa"/>
        <w:tblLook w:val="04A0" w:firstRow="1" w:lastRow="0" w:firstColumn="1" w:lastColumn="0" w:noHBand="0" w:noVBand="1"/>
      </w:tblPr>
      <w:tblGrid>
        <w:gridCol w:w="1148"/>
        <w:gridCol w:w="701"/>
        <w:gridCol w:w="1557"/>
        <w:gridCol w:w="2974"/>
        <w:gridCol w:w="2923"/>
      </w:tblGrid>
      <w:tr w:rsidR="00910D16" w:rsidRPr="00E86552" w14:paraId="21247675" w14:textId="77777777" w:rsidTr="00B2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03" w:type="dxa"/>
            <w:gridSpan w:val="5"/>
          </w:tcPr>
          <w:p w14:paraId="76511F23" w14:textId="0D69317D" w:rsidR="007B1B9B" w:rsidRPr="00FF17D0" w:rsidRDefault="002B0204" w:rsidP="007B1B9B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Supplementary </w:t>
            </w:r>
            <w:r w:rsidR="007B1B9B" w:rsidRPr="00FF17D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Table 1: Summary of CYP3A4*22 influence on pharmacokinetics of CYP3A4 phenotyping probes erythromycin and midazolam. </w:t>
            </w:r>
          </w:p>
        </w:tc>
      </w:tr>
      <w:tr w:rsidR="00910D16" w:rsidRPr="00FF17D0" w14:paraId="44B8A023" w14:textId="77777777" w:rsidTr="00B2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0EE119FC" w14:textId="77777777" w:rsidR="007B1B9B" w:rsidRPr="00FF17D0" w:rsidRDefault="007B1B9B" w:rsidP="007B1B9B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Drug</w:t>
            </w:r>
          </w:p>
        </w:tc>
        <w:tc>
          <w:tcPr>
            <w:tcW w:w="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6CAE83DA" w14:textId="77777777" w:rsidR="007B1B9B" w:rsidRPr="00FF17D0" w:rsidRDefault="007B1B9B" w:rsidP="007B1B9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b/>
                <w:bCs/>
                <w:sz w:val="16"/>
                <w:szCs w:val="16"/>
                <w:lang w:val="en-US"/>
              </w:rPr>
              <w:t>n=</w:t>
            </w:r>
          </w:p>
        </w:tc>
        <w:tc>
          <w:tcPr>
            <w:tcW w:w="15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E0541F2" w14:textId="77777777" w:rsidR="007B1B9B" w:rsidRPr="00FF17D0" w:rsidRDefault="007B1B9B" w:rsidP="007B1B9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b/>
                <w:bCs/>
                <w:sz w:val="16"/>
                <w:szCs w:val="16"/>
                <w:lang w:val="en-US"/>
              </w:rPr>
              <w:t>Study population</w:t>
            </w:r>
          </w:p>
        </w:tc>
        <w:tc>
          <w:tcPr>
            <w:tcW w:w="29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2ABFD594" w14:textId="77777777" w:rsidR="007B1B9B" w:rsidRPr="00FF17D0" w:rsidRDefault="007B1B9B" w:rsidP="007B1B9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b/>
                <w:bCs/>
                <w:sz w:val="16"/>
                <w:szCs w:val="16"/>
                <w:lang w:val="en-US"/>
              </w:rPr>
              <w:t>Estimated change</w:t>
            </w:r>
          </w:p>
        </w:tc>
        <w:tc>
          <w:tcPr>
            <w:tcW w:w="29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1C716190" w14:textId="77777777" w:rsidR="007B1B9B" w:rsidRPr="00FF17D0" w:rsidRDefault="007B1B9B" w:rsidP="007B1B9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Reference</w:t>
            </w:r>
          </w:p>
        </w:tc>
      </w:tr>
      <w:tr w:rsidR="00910D16" w:rsidRPr="00FF17D0" w14:paraId="45E2787F" w14:textId="77777777" w:rsidTr="00B207B3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9E43BD9" w14:textId="3BC5657E" w:rsidR="007B1B9B" w:rsidRPr="00FF17D0" w:rsidRDefault="001C6B5A" w:rsidP="00EA2FF1">
            <w:pPr>
              <w:pStyle w:val="NoSpacing"/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F17D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Erythromycin </w:t>
            </w:r>
          </w:p>
        </w:tc>
        <w:tc>
          <w:tcPr>
            <w:tcW w:w="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43D8EB91" w14:textId="77777777" w:rsidR="007B1B9B" w:rsidRPr="00FF17D0" w:rsidRDefault="007B1B9B" w:rsidP="00EA2F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3D1FDB4" w14:textId="6FE5ABDE" w:rsidR="007B1B9B" w:rsidRPr="00FF17D0" w:rsidRDefault="007B1B9B" w:rsidP="00EA2F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="00DB19C0" w:rsidRPr="00FF17D0">
              <w:rPr>
                <w:rFonts w:cstheme="minorHAnsi"/>
                <w:sz w:val="16"/>
                <w:szCs w:val="16"/>
                <w:lang w:val="en-US"/>
              </w:rPr>
              <w:t>redominantly Caucasian p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atients with advanced solid tumors treated with chemotherapy in previous trials</w:t>
            </w:r>
          </w:p>
        </w:tc>
        <w:tc>
          <w:tcPr>
            <w:tcW w:w="29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59FECF09" w14:textId="21A3EDC1" w:rsidR="007B1B9B" w:rsidRPr="00FF17D0" w:rsidRDefault="001C6B5A" w:rsidP="00EA2F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Erythromycin N-demethylation activity, measured by erythromycin breath test, was </w:t>
            </w:r>
            <w:r w:rsidR="007B1B9B" w:rsidRPr="00FF17D0">
              <w:rPr>
                <w:rFonts w:cstheme="minorHAnsi"/>
                <w:sz w:val="16"/>
                <w:szCs w:val="16"/>
                <w:lang w:val="en-US"/>
              </w:rPr>
              <w:t xml:space="preserve">40% 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lower </w:t>
            </w:r>
            <w:r w:rsidR="007B1B9B" w:rsidRPr="00FF17D0">
              <w:rPr>
                <w:rFonts w:cstheme="minorHAnsi"/>
                <w:sz w:val="16"/>
                <w:szCs w:val="16"/>
                <w:lang w:val="en-US"/>
              </w:rPr>
              <w:t xml:space="preserve">in </w:t>
            </w:r>
            <w:r w:rsidR="007B1B9B" w:rsidRPr="00FF17D0">
              <w:rPr>
                <w:rFonts w:cstheme="minorHAnsi"/>
                <w:i/>
                <w:sz w:val="16"/>
                <w:szCs w:val="16"/>
                <w:lang w:val="en-US"/>
              </w:rPr>
              <w:t>CYP3A4*22</w:t>
            </w:r>
            <w:r w:rsidR="007B1B9B" w:rsidRPr="00FF17D0">
              <w:rPr>
                <w:rFonts w:cstheme="minorHAnsi"/>
                <w:sz w:val="16"/>
                <w:szCs w:val="16"/>
                <w:lang w:val="en-US"/>
              </w:rPr>
              <w:t xml:space="preserve"> carriers compared to wild type patients 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(p=0.032).</w:t>
            </w:r>
          </w:p>
        </w:tc>
        <w:tc>
          <w:tcPr>
            <w:tcW w:w="29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1F5974CC" w14:textId="77777777" w:rsidR="007B1B9B" w:rsidRPr="00FF17D0" w:rsidRDefault="007B1B9B" w:rsidP="00EA2F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(Elens, 2013b)</w:t>
            </w:r>
          </w:p>
        </w:tc>
      </w:tr>
      <w:tr w:rsidR="00910D16" w:rsidRPr="00FF17D0" w14:paraId="04C896B6" w14:textId="77777777" w:rsidTr="00B2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1C35776E" w14:textId="77777777" w:rsidR="007B1B9B" w:rsidRPr="00FF17D0" w:rsidRDefault="007B1B9B" w:rsidP="00EA2FF1">
            <w:pPr>
              <w:pStyle w:val="NoSpacing"/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F17D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Midazolam (MDZ)</w:t>
            </w:r>
          </w:p>
        </w:tc>
        <w:tc>
          <w:tcPr>
            <w:tcW w:w="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4A3381E4" w14:textId="77777777" w:rsidR="007B1B9B" w:rsidRPr="00FF17D0" w:rsidRDefault="007B1B9B" w:rsidP="00EA2F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15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350AD3E2" w14:textId="53134DCB" w:rsidR="007B1B9B" w:rsidRPr="00FF17D0" w:rsidRDefault="00DB19C0" w:rsidP="00EA2F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Predominantly Caucasian patients with advanced solid tumors treated with chemotherapy in previous trials</w:t>
            </w:r>
          </w:p>
        </w:tc>
        <w:tc>
          <w:tcPr>
            <w:tcW w:w="29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B6F4696" w14:textId="25E902C1" w:rsidR="007B1B9B" w:rsidRPr="00FF17D0" w:rsidRDefault="007B1B9B" w:rsidP="00EA2F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20.7% lower </w:t>
            </w:r>
            <w:r w:rsidR="001C6B5A" w:rsidRPr="00FF17D0">
              <w:rPr>
                <w:rFonts w:cstheme="minorHAnsi"/>
                <w:sz w:val="16"/>
                <w:szCs w:val="16"/>
                <w:lang w:val="en-US"/>
              </w:rPr>
              <w:t>1’-OH-MDZ:MDZ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 in </w:t>
            </w:r>
            <w:r w:rsidRPr="00FF17D0">
              <w:rPr>
                <w:rFonts w:cstheme="minorHAnsi"/>
                <w:i/>
                <w:sz w:val="16"/>
                <w:szCs w:val="16"/>
                <w:lang w:val="en-US"/>
              </w:rPr>
              <w:t>CYP3A4*22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 carriers compared to </w:t>
            </w:r>
            <w:r w:rsidRPr="00FF17D0">
              <w:rPr>
                <w:rFonts w:cstheme="minorHAnsi"/>
                <w:i/>
                <w:sz w:val="16"/>
                <w:szCs w:val="16"/>
                <w:lang w:val="en-US"/>
              </w:rPr>
              <w:t>CYP3A4*1/*1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 xml:space="preserve"> patients</w:t>
            </w:r>
            <w:r w:rsidR="001C6B5A" w:rsidRPr="00FF17D0">
              <w:rPr>
                <w:rFonts w:cstheme="minorHAnsi"/>
                <w:sz w:val="16"/>
                <w:szCs w:val="16"/>
                <w:lang w:val="en-US"/>
              </w:rPr>
              <w:t xml:space="preserve"> (p=0.01)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br/>
              <w:t xml:space="preserve">38.7% decrease in </w:t>
            </w:r>
            <w:r w:rsidR="001C6B5A" w:rsidRPr="00FF17D0">
              <w:rPr>
                <w:rFonts w:cstheme="minorHAnsi"/>
                <w:sz w:val="16"/>
                <w:szCs w:val="16"/>
                <w:lang w:val="en-US"/>
              </w:rPr>
              <w:t xml:space="preserve">1’-OH-MDZ:MDZ </w:t>
            </w:r>
            <w:r w:rsidR="00DC52D9" w:rsidRPr="00FF17D0">
              <w:rPr>
                <w:rFonts w:cstheme="minorHAnsi"/>
                <w:sz w:val="16"/>
                <w:szCs w:val="16"/>
                <w:lang w:val="en-US"/>
              </w:rPr>
              <w:t xml:space="preserve">in poor 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Pr="00FF17D0">
              <w:rPr>
                <w:rFonts w:cstheme="minorHAnsi"/>
                <w:i/>
                <w:sz w:val="16"/>
                <w:szCs w:val="16"/>
                <w:lang w:val="en-US"/>
              </w:rPr>
              <w:t>CYP3A4*22-CYP3A5*3/*3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) compared with extensive (</w:t>
            </w:r>
            <w:r w:rsidRPr="00FF17D0">
              <w:rPr>
                <w:rFonts w:cstheme="minorHAnsi"/>
                <w:i/>
                <w:sz w:val="16"/>
                <w:szCs w:val="16"/>
                <w:lang w:val="en-US"/>
              </w:rPr>
              <w:t>CYP3A4*1/*1-CYP3A5*1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) CYP3A metabolizers</w:t>
            </w:r>
            <w:r w:rsidR="001C6B5A" w:rsidRPr="00FF17D0">
              <w:rPr>
                <w:rFonts w:cstheme="minorHAnsi"/>
                <w:sz w:val="16"/>
                <w:szCs w:val="16"/>
                <w:lang w:val="en-US"/>
              </w:rPr>
              <w:t xml:space="preserve"> (p&lt;0.001)</w:t>
            </w:r>
            <w:r w:rsidRPr="00FF17D0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6F3DF40" w14:textId="77777777" w:rsidR="007B1B9B" w:rsidRPr="00FF17D0" w:rsidRDefault="007B1B9B" w:rsidP="00EA2F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F17D0">
              <w:rPr>
                <w:rFonts w:cstheme="minorHAnsi"/>
                <w:sz w:val="16"/>
                <w:szCs w:val="16"/>
                <w:lang w:val="en-US"/>
              </w:rPr>
              <w:t>(Elens, 2013b)</w:t>
            </w:r>
          </w:p>
        </w:tc>
      </w:tr>
    </w:tbl>
    <w:p w14:paraId="2FA142BE" w14:textId="72610B36" w:rsidR="00FF17D0" w:rsidRPr="00FF17D0" w:rsidRDefault="00FF17D0">
      <w:pPr>
        <w:rPr>
          <w:rFonts w:cstheme="minorHAnsi"/>
          <w:lang w:val="en-US"/>
        </w:rPr>
      </w:pPr>
    </w:p>
    <w:p w14:paraId="17909C3F" w14:textId="1493DA0C" w:rsidR="00FF17D0" w:rsidRPr="00FF17D0" w:rsidRDefault="00FF17D0" w:rsidP="00FF17D0">
      <w:pPr>
        <w:pStyle w:val="NoSpacing"/>
        <w:spacing w:line="480" w:lineRule="auto"/>
        <w:jc w:val="both"/>
        <w:rPr>
          <w:rFonts w:cstheme="minorHAnsi"/>
          <w:b/>
          <w:lang w:val="en-US"/>
        </w:rPr>
      </w:pPr>
      <w:r w:rsidRPr="00FF17D0">
        <w:rPr>
          <w:rFonts w:cstheme="minorHAnsi"/>
          <w:b/>
          <w:lang w:val="en-US"/>
        </w:rPr>
        <w:t>References</w:t>
      </w:r>
    </w:p>
    <w:p w14:paraId="0C94EADB" w14:textId="35B1F764" w:rsidR="007B1B9B" w:rsidRPr="00E86552" w:rsidRDefault="00FF17D0">
      <w:pPr>
        <w:rPr>
          <w:rFonts w:cstheme="minorHAnsi"/>
          <w:sz w:val="20"/>
          <w:lang w:val="en-US"/>
        </w:rPr>
      </w:pPr>
      <w:r w:rsidRPr="00E86552">
        <w:rPr>
          <w:rFonts w:cstheme="minorHAnsi"/>
          <w:sz w:val="20"/>
          <w:lang w:val="en-US"/>
        </w:rPr>
        <w:t xml:space="preserve">Please see main article for references: </w:t>
      </w:r>
      <w:r w:rsidR="00E86552" w:rsidRPr="00E86552">
        <w:rPr>
          <w:rFonts w:cstheme="minorHAnsi"/>
          <w:sz w:val="20"/>
          <w:lang w:val="en-US"/>
        </w:rPr>
        <w:br/>
      </w:r>
      <w:r w:rsidRPr="00E86552">
        <w:rPr>
          <w:rFonts w:cstheme="minorHAnsi"/>
          <w:i/>
          <w:sz w:val="20"/>
          <w:lang w:val="en-US"/>
        </w:rPr>
        <w:t>Mulder TAM, van Eerden RAG, de With M, Elens L, Hesselink DA, Matic M, Bins S, Mathijssen RHJ and van Schaik RHN (2021) CYP3A4</w:t>
      </w:r>
      <w:r w:rsidRPr="00E86552">
        <w:rPr>
          <w:rFonts w:ascii="Cambria Math" w:hAnsi="Cambria Math" w:cs="Cambria Math"/>
          <w:i/>
          <w:sz w:val="20"/>
          <w:lang w:val="en-US"/>
        </w:rPr>
        <w:t>∗</w:t>
      </w:r>
      <w:r w:rsidRPr="00E86552">
        <w:rPr>
          <w:rFonts w:cstheme="minorHAnsi"/>
          <w:i/>
          <w:sz w:val="20"/>
          <w:lang w:val="en-US"/>
        </w:rPr>
        <w:t xml:space="preserve">22 Genotyping in Clinical Practice: Ready for Implementation? Front. Genet. 12:711943. </w:t>
      </w:r>
      <w:proofErr w:type="spellStart"/>
      <w:r w:rsidRPr="00E86552">
        <w:rPr>
          <w:rFonts w:cstheme="minorHAnsi"/>
          <w:i/>
          <w:sz w:val="20"/>
          <w:lang w:val="en-US"/>
        </w:rPr>
        <w:t>doi</w:t>
      </w:r>
      <w:proofErr w:type="spellEnd"/>
      <w:r w:rsidRPr="00E86552">
        <w:rPr>
          <w:rFonts w:cstheme="minorHAnsi"/>
          <w:i/>
          <w:sz w:val="20"/>
          <w:lang w:val="en-US"/>
        </w:rPr>
        <w:t>: 10.3389/fgene.2021.711943</w:t>
      </w:r>
      <w:r w:rsidR="007B0C49" w:rsidRPr="00E86552">
        <w:rPr>
          <w:rFonts w:cstheme="minorHAnsi"/>
          <w:sz w:val="20"/>
          <w:lang w:val="en-US"/>
        </w:rPr>
        <w:fldChar w:fldCharType="begin"/>
      </w:r>
      <w:r w:rsidR="007B0C49" w:rsidRPr="00E86552">
        <w:rPr>
          <w:rFonts w:cstheme="minorHAnsi"/>
          <w:sz w:val="20"/>
          <w:lang w:val="en-US"/>
        </w:rPr>
        <w:instrText xml:space="preserve"> ADDIN EN.REFLIST </w:instrText>
      </w:r>
      <w:r w:rsidR="007B0C49" w:rsidRPr="00E86552">
        <w:rPr>
          <w:rFonts w:cstheme="minorHAnsi"/>
          <w:sz w:val="20"/>
          <w:lang w:val="en-US"/>
        </w:rPr>
        <w:fldChar w:fldCharType="end"/>
      </w:r>
    </w:p>
    <w:sectPr w:rsidR="007B1B9B" w:rsidRPr="00E86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8C03" w14:textId="77777777" w:rsidR="00394A77" w:rsidRDefault="00394A77" w:rsidP="00FF17D0">
      <w:pPr>
        <w:spacing w:after="0" w:line="240" w:lineRule="auto"/>
      </w:pPr>
      <w:r>
        <w:separator/>
      </w:r>
    </w:p>
  </w:endnote>
  <w:endnote w:type="continuationSeparator" w:id="0">
    <w:p w14:paraId="42F05967" w14:textId="77777777" w:rsidR="00394A77" w:rsidRDefault="00394A77" w:rsidP="00F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75154"/>
      <w:docPartObj>
        <w:docPartGallery w:val="Page Numbers (Bottom of Page)"/>
        <w:docPartUnique/>
      </w:docPartObj>
    </w:sdtPr>
    <w:sdtEndPr/>
    <w:sdtContent>
      <w:p w14:paraId="21467CE2" w14:textId="4A1EAB8B" w:rsidR="00FF17D0" w:rsidRDefault="00FF17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52">
          <w:rPr>
            <w:noProof/>
          </w:rPr>
          <w:t>1</w:t>
        </w:r>
        <w:r>
          <w:fldChar w:fldCharType="end"/>
        </w:r>
      </w:p>
    </w:sdtContent>
  </w:sdt>
  <w:p w14:paraId="2D414136" w14:textId="77777777" w:rsidR="00FF17D0" w:rsidRDefault="00FF1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CCC2" w14:textId="77777777" w:rsidR="00394A77" w:rsidRDefault="00394A77" w:rsidP="00FF17D0">
      <w:pPr>
        <w:spacing w:after="0" w:line="240" w:lineRule="auto"/>
      </w:pPr>
      <w:r>
        <w:separator/>
      </w:r>
    </w:p>
  </w:footnote>
  <w:footnote w:type="continuationSeparator" w:id="0">
    <w:p w14:paraId="75B292AE" w14:textId="77777777" w:rsidR="00394A77" w:rsidRDefault="00394A77" w:rsidP="00F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2da0dav0vfwewt07xwvdk90e2ezaapxzd&quot;&gt;My EndNote Library&lt;record-ids&gt;&lt;item&gt;175&lt;/item&gt;&lt;/record-ids&gt;&lt;/item&gt;&lt;/Libraries&gt;"/>
  </w:docVars>
  <w:rsids>
    <w:rsidRoot w:val="00F15CEE"/>
    <w:rsid w:val="00026EBD"/>
    <w:rsid w:val="00046495"/>
    <w:rsid w:val="00054AD6"/>
    <w:rsid w:val="00054B7F"/>
    <w:rsid w:val="000A4994"/>
    <w:rsid w:val="000F243B"/>
    <w:rsid w:val="000F2791"/>
    <w:rsid w:val="001166E5"/>
    <w:rsid w:val="0012222B"/>
    <w:rsid w:val="00147081"/>
    <w:rsid w:val="00166410"/>
    <w:rsid w:val="00171426"/>
    <w:rsid w:val="001720FB"/>
    <w:rsid w:val="001A1808"/>
    <w:rsid w:val="001B5882"/>
    <w:rsid w:val="001C6B5A"/>
    <w:rsid w:val="002037B9"/>
    <w:rsid w:val="0022759E"/>
    <w:rsid w:val="00227BB7"/>
    <w:rsid w:val="00251DD8"/>
    <w:rsid w:val="002709FE"/>
    <w:rsid w:val="00271600"/>
    <w:rsid w:val="0028489F"/>
    <w:rsid w:val="0029340D"/>
    <w:rsid w:val="002B0204"/>
    <w:rsid w:val="002B310C"/>
    <w:rsid w:val="002B34F9"/>
    <w:rsid w:val="002B4198"/>
    <w:rsid w:val="002C4C2A"/>
    <w:rsid w:val="002E3133"/>
    <w:rsid w:val="002F6BC7"/>
    <w:rsid w:val="00305C2C"/>
    <w:rsid w:val="003113B7"/>
    <w:rsid w:val="00312344"/>
    <w:rsid w:val="0033344E"/>
    <w:rsid w:val="00333785"/>
    <w:rsid w:val="0035705E"/>
    <w:rsid w:val="00360549"/>
    <w:rsid w:val="00377343"/>
    <w:rsid w:val="00384536"/>
    <w:rsid w:val="00385D87"/>
    <w:rsid w:val="00394A77"/>
    <w:rsid w:val="0039747E"/>
    <w:rsid w:val="003C08DC"/>
    <w:rsid w:val="003E2B59"/>
    <w:rsid w:val="003E38FF"/>
    <w:rsid w:val="003E690E"/>
    <w:rsid w:val="003F020C"/>
    <w:rsid w:val="003F0CF2"/>
    <w:rsid w:val="003F5B3A"/>
    <w:rsid w:val="00413E99"/>
    <w:rsid w:val="00444B57"/>
    <w:rsid w:val="00455465"/>
    <w:rsid w:val="0045660C"/>
    <w:rsid w:val="00461EFB"/>
    <w:rsid w:val="00461F51"/>
    <w:rsid w:val="0047330B"/>
    <w:rsid w:val="004A1CD3"/>
    <w:rsid w:val="004B212C"/>
    <w:rsid w:val="004C1BBA"/>
    <w:rsid w:val="004E0B37"/>
    <w:rsid w:val="004E13FC"/>
    <w:rsid w:val="004E3672"/>
    <w:rsid w:val="004E5690"/>
    <w:rsid w:val="00506602"/>
    <w:rsid w:val="00515008"/>
    <w:rsid w:val="005172C5"/>
    <w:rsid w:val="005339B5"/>
    <w:rsid w:val="0054311F"/>
    <w:rsid w:val="00547C0E"/>
    <w:rsid w:val="00553419"/>
    <w:rsid w:val="00554B7E"/>
    <w:rsid w:val="00567379"/>
    <w:rsid w:val="005A5C91"/>
    <w:rsid w:val="005A701E"/>
    <w:rsid w:val="005A71CC"/>
    <w:rsid w:val="005B06DA"/>
    <w:rsid w:val="005D2EB0"/>
    <w:rsid w:val="005E17D9"/>
    <w:rsid w:val="00602A3B"/>
    <w:rsid w:val="00607C09"/>
    <w:rsid w:val="00614230"/>
    <w:rsid w:val="00631FF7"/>
    <w:rsid w:val="006408E3"/>
    <w:rsid w:val="00643407"/>
    <w:rsid w:val="00652BAC"/>
    <w:rsid w:val="006565C3"/>
    <w:rsid w:val="00667073"/>
    <w:rsid w:val="00687391"/>
    <w:rsid w:val="00716BA7"/>
    <w:rsid w:val="00725C64"/>
    <w:rsid w:val="007505B8"/>
    <w:rsid w:val="00764C0D"/>
    <w:rsid w:val="0077733B"/>
    <w:rsid w:val="0077771C"/>
    <w:rsid w:val="00780FD8"/>
    <w:rsid w:val="00781FBF"/>
    <w:rsid w:val="00797327"/>
    <w:rsid w:val="00797F41"/>
    <w:rsid w:val="007B0C49"/>
    <w:rsid w:val="007B1B9B"/>
    <w:rsid w:val="007C06F5"/>
    <w:rsid w:val="007C0E16"/>
    <w:rsid w:val="007D5A38"/>
    <w:rsid w:val="007E62DF"/>
    <w:rsid w:val="007E7655"/>
    <w:rsid w:val="00803460"/>
    <w:rsid w:val="008333DF"/>
    <w:rsid w:val="00843311"/>
    <w:rsid w:val="008463FE"/>
    <w:rsid w:val="00886FB0"/>
    <w:rsid w:val="00897C84"/>
    <w:rsid w:val="008A163E"/>
    <w:rsid w:val="008A2F12"/>
    <w:rsid w:val="008A3690"/>
    <w:rsid w:val="008D309B"/>
    <w:rsid w:val="008F79BB"/>
    <w:rsid w:val="00910D16"/>
    <w:rsid w:val="009175FF"/>
    <w:rsid w:val="0092250C"/>
    <w:rsid w:val="009261A3"/>
    <w:rsid w:val="00927259"/>
    <w:rsid w:val="0095410C"/>
    <w:rsid w:val="009635D9"/>
    <w:rsid w:val="009644CF"/>
    <w:rsid w:val="009764E1"/>
    <w:rsid w:val="00993B52"/>
    <w:rsid w:val="00996931"/>
    <w:rsid w:val="009A2A90"/>
    <w:rsid w:val="009C3E7B"/>
    <w:rsid w:val="009D5D48"/>
    <w:rsid w:val="009D600B"/>
    <w:rsid w:val="009E7B95"/>
    <w:rsid w:val="009F3F9C"/>
    <w:rsid w:val="00A0076D"/>
    <w:rsid w:val="00A0415F"/>
    <w:rsid w:val="00A074E5"/>
    <w:rsid w:val="00A23DB9"/>
    <w:rsid w:val="00A31BCB"/>
    <w:rsid w:val="00A456E9"/>
    <w:rsid w:val="00A73641"/>
    <w:rsid w:val="00A82E97"/>
    <w:rsid w:val="00A90870"/>
    <w:rsid w:val="00A9089C"/>
    <w:rsid w:val="00AB4558"/>
    <w:rsid w:val="00AC142E"/>
    <w:rsid w:val="00AD0FF9"/>
    <w:rsid w:val="00AF69D7"/>
    <w:rsid w:val="00B021EE"/>
    <w:rsid w:val="00B1126D"/>
    <w:rsid w:val="00B12641"/>
    <w:rsid w:val="00B207B3"/>
    <w:rsid w:val="00B2233A"/>
    <w:rsid w:val="00B30776"/>
    <w:rsid w:val="00B41C1D"/>
    <w:rsid w:val="00B577E4"/>
    <w:rsid w:val="00B6585D"/>
    <w:rsid w:val="00B7465F"/>
    <w:rsid w:val="00B7717C"/>
    <w:rsid w:val="00B96ECD"/>
    <w:rsid w:val="00BA733B"/>
    <w:rsid w:val="00BB1F78"/>
    <w:rsid w:val="00BE5BBC"/>
    <w:rsid w:val="00C10D53"/>
    <w:rsid w:val="00C170E6"/>
    <w:rsid w:val="00C22FD1"/>
    <w:rsid w:val="00C40B80"/>
    <w:rsid w:val="00C524F4"/>
    <w:rsid w:val="00C939BA"/>
    <w:rsid w:val="00CA0C9A"/>
    <w:rsid w:val="00CA5CDF"/>
    <w:rsid w:val="00CE287D"/>
    <w:rsid w:val="00CF77AA"/>
    <w:rsid w:val="00D03E71"/>
    <w:rsid w:val="00D05C8C"/>
    <w:rsid w:val="00D063DD"/>
    <w:rsid w:val="00D35997"/>
    <w:rsid w:val="00D7012D"/>
    <w:rsid w:val="00D76A09"/>
    <w:rsid w:val="00D776C3"/>
    <w:rsid w:val="00D77DCB"/>
    <w:rsid w:val="00D9206B"/>
    <w:rsid w:val="00D96CA8"/>
    <w:rsid w:val="00DB19C0"/>
    <w:rsid w:val="00DB5095"/>
    <w:rsid w:val="00DC52D9"/>
    <w:rsid w:val="00DF0002"/>
    <w:rsid w:val="00DF0250"/>
    <w:rsid w:val="00E10FA5"/>
    <w:rsid w:val="00E11651"/>
    <w:rsid w:val="00E17471"/>
    <w:rsid w:val="00E2523F"/>
    <w:rsid w:val="00E355C4"/>
    <w:rsid w:val="00E5094F"/>
    <w:rsid w:val="00E6294E"/>
    <w:rsid w:val="00E67AB9"/>
    <w:rsid w:val="00E7079A"/>
    <w:rsid w:val="00E86552"/>
    <w:rsid w:val="00E9749E"/>
    <w:rsid w:val="00EA2FF1"/>
    <w:rsid w:val="00EA5C29"/>
    <w:rsid w:val="00EC1458"/>
    <w:rsid w:val="00ED660F"/>
    <w:rsid w:val="00EF4835"/>
    <w:rsid w:val="00EF66ED"/>
    <w:rsid w:val="00F01917"/>
    <w:rsid w:val="00F06AC1"/>
    <w:rsid w:val="00F15704"/>
    <w:rsid w:val="00F15CEE"/>
    <w:rsid w:val="00F1755B"/>
    <w:rsid w:val="00F20349"/>
    <w:rsid w:val="00F244DD"/>
    <w:rsid w:val="00F44D82"/>
    <w:rsid w:val="00F461B0"/>
    <w:rsid w:val="00F46EA7"/>
    <w:rsid w:val="00F475C6"/>
    <w:rsid w:val="00F47D9D"/>
    <w:rsid w:val="00FA5D69"/>
    <w:rsid w:val="00FB16A6"/>
    <w:rsid w:val="00FF17D0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AE8"/>
  <w15:chartTrackingRefBased/>
  <w15:docId w15:val="{FCF9F8BA-4AB7-49A6-8A35-4EF1236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5C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5CEE"/>
  </w:style>
  <w:style w:type="table" w:styleId="PlainTable5">
    <w:name w:val="Plain Table 5"/>
    <w:basedOn w:val="TableNormal"/>
    <w:uiPriority w:val="45"/>
    <w:rsid w:val="00F15C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B212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4B212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212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4B212C"/>
    <w:rPr>
      <w:rFonts w:ascii="Calibri" w:hAnsi="Calibri" w:cs="Calibri"/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3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7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17D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F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D0"/>
  </w:style>
  <w:style w:type="paragraph" w:styleId="Footer">
    <w:name w:val="footer"/>
    <w:basedOn w:val="Normal"/>
    <w:link w:val="FooterChar"/>
    <w:uiPriority w:val="99"/>
    <w:unhideWhenUsed/>
    <w:rsid w:val="00FF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CA7F-1514-4F00-8473-1842E93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T.A.M. Mulder</dc:creator>
  <cp:keywords/>
  <dc:description/>
  <cp:lastModifiedBy>T.A.M. Mulder</cp:lastModifiedBy>
  <cp:revision>3</cp:revision>
  <cp:lastPrinted>2021-06-09T13:42:00Z</cp:lastPrinted>
  <dcterms:created xsi:type="dcterms:W3CDTF">2021-06-24T13:02:00Z</dcterms:created>
  <dcterms:modified xsi:type="dcterms:W3CDTF">2021-06-24T13:21:00Z</dcterms:modified>
</cp:coreProperties>
</file>