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83F58" w14:textId="77777777" w:rsidR="00063526" w:rsidRPr="00063526" w:rsidRDefault="00063526" w:rsidP="00063526">
      <w:pPr>
        <w:jc w:val="both"/>
        <w:rPr>
          <w:b/>
          <w:u w:val="single"/>
        </w:rPr>
      </w:pPr>
      <w:r w:rsidRPr="00063526">
        <w:rPr>
          <w:b/>
          <w:u w:val="single"/>
        </w:rPr>
        <w:t>SUPPLEMENTAL INFORMATION</w:t>
      </w:r>
    </w:p>
    <w:p w14:paraId="55122289" w14:textId="7D698004" w:rsidR="00063526" w:rsidRDefault="00063526" w:rsidP="00063526">
      <w:pPr>
        <w:spacing w:after="0" w:line="480" w:lineRule="auto"/>
        <w:rPr>
          <w:rFonts w:ascii="Times New Roman" w:hAnsi="Times New Roman"/>
          <w:b/>
          <w:sz w:val="28"/>
          <w:szCs w:val="28"/>
        </w:rPr>
      </w:pPr>
      <w:r>
        <w:rPr>
          <w:rFonts w:ascii="Times New Roman" w:hAnsi="Times New Roman"/>
          <w:b/>
          <w:sz w:val="28"/>
          <w:szCs w:val="28"/>
        </w:rPr>
        <w:t xml:space="preserve">Impaired SNF2L chromatin remodeling prolongs accessibility at promoters enriched for </w:t>
      </w:r>
      <w:proofErr w:type="spellStart"/>
      <w:r>
        <w:rPr>
          <w:rFonts w:ascii="Times New Roman" w:hAnsi="Times New Roman"/>
          <w:b/>
          <w:sz w:val="28"/>
          <w:szCs w:val="28"/>
        </w:rPr>
        <w:t>Fos</w:t>
      </w:r>
      <w:proofErr w:type="spellEnd"/>
      <w:r>
        <w:rPr>
          <w:rFonts w:ascii="Times New Roman" w:hAnsi="Times New Roman"/>
          <w:b/>
          <w:sz w:val="28"/>
          <w:szCs w:val="28"/>
        </w:rPr>
        <w:t>/Jun binding sites and delays granule neuron differentiation</w:t>
      </w:r>
    </w:p>
    <w:p w14:paraId="797F44A1" w14:textId="4837234F" w:rsidR="00063526" w:rsidRDefault="00063526" w:rsidP="00063526">
      <w:pPr>
        <w:spacing w:after="0" w:line="480" w:lineRule="auto"/>
        <w:rPr>
          <w:rFonts w:ascii="Times New Roman" w:hAnsi="Times New Roman"/>
          <w:iCs/>
        </w:rPr>
      </w:pPr>
      <w:r w:rsidRPr="009D5518">
        <w:rPr>
          <w:rFonts w:ascii="Times New Roman" w:hAnsi="Times New Roman"/>
          <w:i/>
        </w:rPr>
        <w:t xml:space="preserve">Laura R. Goodwin, </w:t>
      </w:r>
      <w:r>
        <w:rPr>
          <w:rFonts w:ascii="Times New Roman" w:hAnsi="Times New Roman"/>
          <w:i/>
        </w:rPr>
        <w:t>Gerardo Zapata, Sara Timpano</w:t>
      </w:r>
      <w:r w:rsidRPr="009D5518">
        <w:rPr>
          <w:rFonts w:ascii="Times New Roman" w:hAnsi="Times New Roman"/>
          <w:i/>
        </w:rPr>
        <w:t xml:space="preserve">, Jacob </w:t>
      </w:r>
      <w:proofErr w:type="spellStart"/>
      <w:r w:rsidRPr="009D5518">
        <w:rPr>
          <w:rFonts w:ascii="Times New Roman" w:hAnsi="Times New Roman"/>
          <w:i/>
        </w:rPr>
        <w:t>Marenger</w:t>
      </w:r>
      <w:proofErr w:type="spellEnd"/>
      <w:r w:rsidRPr="009D5518">
        <w:rPr>
          <w:rFonts w:ascii="Times New Roman" w:hAnsi="Times New Roman"/>
          <w:i/>
        </w:rPr>
        <w:t>, and David J. Picketts</w:t>
      </w:r>
    </w:p>
    <w:p w14:paraId="0652679E" w14:textId="78D2F45F" w:rsidR="00063526" w:rsidRDefault="00063526" w:rsidP="00063526">
      <w:pPr>
        <w:spacing w:after="0" w:line="480" w:lineRule="auto"/>
        <w:rPr>
          <w:rFonts w:ascii="Times New Roman" w:hAnsi="Times New Roman"/>
          <w:iCs/>
        </w:rPr>
      </w:pPr>
    </w:p>
    <w:p w14:paraId="4FF5E5CF" w14:textId="088B979C" w:rsidR="00063526" w:rsidRDefault="00063526" w:rsidP="00063526">
      <w:pPr>
        <w:spacing w:after="0" w:line="480" w:lineRule="auto"/>
        <w:rPr>
          <w:rFonts w:ascii="Times New Roman" w:hAnsi="Times New Roman"/>
          <w:iCs/>
        </w:rPr>
      </w:pPr>
      <w:r>
        <w:rPr>
          <w:rFonts w:ascii="Times New Roman" w:hAnsi="Times New Roman"/>
          <w:iCs/>
          <w:noProof/>
        </w:rPr>
        <w:drawing>
          <wp:inline distT="0" distB="0" distL="0" distR="0" wp14:anchorId="16EA4EDB" wp14:editId="0DC28D1A">
            <wp:extent cx="3475536" cy="3997609"/>
            <wp:effectExtent l="0" t="0" r="4445" b="3175"/>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511349" cy="4038802"/>
                    </a:xfrm>
                    <a:prstGeom prst="rect">
                      <a:avLst/>
                    </a:prstGeom>
                  </pic:spPr>
                </pic:pic>
              </a:graphicData>
            </a:graphic>
          </wp:inline>
        </w:drawing>
      </w:r>
    </w:p>
    <w:p w14:paraId="022E9F1F" w14:textId="77777777" w:rsidR="00063526" w:rsidRDefault="00063526" w:rsidP="00063526">
      <w:pPr>
        <w:spacing w:after="0" w:line="480" w:lineRule="auto"/>
        <w:rPr>
          <w:rFonts w:ascii="Times New Roman" w:hAnsi="Times New Roman"/>
          <w:iCs/>
        </w:rPr>
      </w:pPr>
    </w:p>
    <w:p w14:paraId="6E43E0C2" w14:textId="3FF3F1F1" w:rsidR="00063526" w:rsidRDefault="00063526" w:rsidP="00063526">
      <w:pPr>
        <w:spacing w:after="0" w:line="480" w:lineRule="auto"/>
        <w:rPr>
          <w:rFonts w:ascii="Times New Roman" w:hAnsi="Times New Roman"/>
          <w:iCs/>
        </w:rPr>
      </w:pPr>
      <w:r w:rsidRPr="00063526">
        <w:rPr>
          <w:rFonts w:ascii="Times New Roman" w:hAnsi="Times New Roman"/>
          <w:b/>
          <w:bCs/>
          <w:iCs/>
        </w:rPr>
        <w:t xml:space="preserve">Supplemental Figure 1. The GNP cultures </w:t>
      </w:r>
      <w:r>
        <w:rPr>
          <w:rFonts w:ascii="Times New Roman" w:hAnsi="Times New Roman"/>
          <w:b/>
          <w:bCs/>
          <w:iCs/>
        </w:rPr>
        <w:t>show no differences in</w:t>
      </w:r>
      <w:r w:rsidRPr="00063526">
        <w:rPr>
          <w:rFonts w:ascii="Times New Roman" w:hAnsi="Times New Roman"/>
          <w:b/>
          <w:bCs/>
          <w:iCs/>
        </w:rPr>
        <w:t xml:space="preserve"> </w:t>
      </w:r>
      <w:r>
        <w:rPr>
          <w:rFonts w:ascii="Times New Roman" w:hAnsi="Times New Roman"/>
          <w:b/>
          <w:bCs/>
          <w:iCs/>
        </w:rPr>
        <w:t>viability and have a low level of astrocyte</w:t>
      </w:r>
      <w:r w:rsidRPr="00063526">
        <w:rPr>
          <w:rFonts w:ascii="Times New Roman" w:hAnsi="Times New Roman"/>
          <w:b/>
          <w:bCs/>
          <w:iCs/>
        </w:rPr>
        <w:t xml:space="preserve"> contamination.</w:t>
      </w:r>
      <w:r>
        <w:rPr>
          <w:rFonts w:ascii="Times New Roman" w:hAnsi="Times New Roman"/>
          <w:iCs/>
        </w:rPr>
        <w:t xml:space="preserve"> A) Two representative images of WT GNP cultures stained with GFAP (green) to detect contaminating astrocytes. Quantification of the astrocyte+ cells is shown on the right at different times after plating. B) The GNP cultures derived from WT and Ex6DEL mice show no differences in cell viability.</w:t>
      </w:r>
    </w:p>
    <w:p w14:paraId="0C956EF7" w14:textId="5632D7E2" w:rsidR="00063526" w:rsidRDefault="00D70C9E" w:rsidP="00063526">
      <w:pPr>
        <w:spacing w:after="0" w:line="480" w:lineRule="auto"/>
        <w:rPr>
          <w:rFonts w:ascii="Times New Roman" w:hAnsi="Times New Roman"/>
          <w:iCs/>
        </w:rPr>
      </w:pPr>
      <w:r>
        <w:rPr>
          <w:rFonts w:ascii="Times New Roman" w:hAnsi="Times New Roman"/>
          <w:iCs/>
          <w:noProof/>
        </w:rPr>
        <w:lastRenderedPageBreak/>
        <w:drawing>
          <wp:inline distT="0" distB="0" distL="0" distR="0" wp14:anchorId="7790D722" wp14:editId="4AEA0C41">
            <wp:extent cx="5870713" cy="6939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extLst>
                        <a:ext uri="{28A0092B-C50C-407E-A947-70E740481C1C}">
                          <a14:useLocalDpi xmlns:a14="http://schemas.microsoft.com/office/drawing/2010/main" val="0"/>
                        </a:ext>
                      </a:extLst>
                    </a:blip>
                    <a:stretch>
                      <a:fillRect/>
                    </a:stretch>
                  </pic:blipFill>
                  <pic:spPr>
                    <a:xfrm>
                      <a:off x="0" y="0"/>
                      <a:ext cx="5902303" cy="6976457"/>
                    </a:xfrm>
                    <a:prstGeom prst="rect">
                      <a:avLst/>
                    </a:prstGeom>
                  </pic:spPr>
                </pic:pic>
              </a:graphicData>
            </a:graphic>
          </wp:inline>
        </w:drawing>
      </w:r>
    </w:p>
    <w:p w14:paraId="17FDDE06" w14:textId="5E919ED7" w:rsidR="00D01964" w:rsidRDefault="00063526" w:rsidP="00D01964">
      <w:pPr>
        <w:spacing w:after="0" w:line="480" w:lineRule="auto"/>
      </w:pPr>
      <w:r w:rsidRPr="00D01964">
        <w:rPr>
          <w:rFonts w:ascii="Times New Roman" w:hAnsi="Times New Roman"/>
          <w:b/>
          <w:bCs/>
          <w:iCs/>
        </w:rPr>
        <w:t xml:space="preserve">Supplemental Figure 2. </w:t>
      </w:r>
      <w:r w:rsidR="00D70C9E">
        <w:rPr>
          <w:rFonts w:ascii="Times New Roman" w:hAnsi="Times New Roman"/>
          <w:b/>
          <w:bCs/>
          <w:iCs/>
        </w:rPr>
        <w:t>Differentiation of Ex6DEL GNPs</w:t>
      </w:r>
      <w:r>
        <w:rPr>
          <w:rFonts w:ascii="Times New Roman" w:hAnsi="Times New Roman"/>
          <w:iCs/>
        </w:rPr>
        <w:t xml:space="preserve">. </w:t>
      </w:r>
    </w:p>
    <w:p w14:paraId="1FFB3FF4" w14:textId="39687DC4" w:rsidR="003D1742" w:rsidRDefault="003D1742" w:rsidP="00D01964">
      <w:pPr>
        <w:spacing w:after="0" w:line="480" w:lineRule="auto"/>
      </w:pPr>
      <w:r>
        <w:t xml:space="preserve">Representative </w:t>
      </w:r>
      <w:r w:rsidR="00583658">
        <w:t xml:space="preserve">images of </w:t>
      </w:r>
      <w:r>
        <w:t xml:space="preserve">WT and Ex6DEL </w:t>
      </w:r>
      <w:r w:rsidR="00583658">
        <w:t xml:space="preserve">GNP </w:t>
      </w:r>
      <w:r>
        <w:t xml:space="preserve">cultures at 1 and 3 DIV stained </w:t>
      </w:r>
      <w:r w:rsidR="00583658">
        <w:t xml:space="preserve">for </w:t>
      </w:r>
      <w:r w:rsidR="00583658" w:rsidRPr="00583658">
        <w:rPr>
          <w:b/>
          <w:bCs/>
        </w:rPr>
        <w:t>A)</w:t>
      </w:r>
      <w:r>
        <w:t xml:space="preserve"> </w:t>
      </w:r>
      <w:r w:rsidR="00583658">
        <w:t xml:space="preserve">the cycling cell marker, </w:t>
      </w:r>
      <w:r>
        <w:t>Ki67 (red)</w:t>
      </w:r>
      <w:r w:rsidR="00583658">
        <w:t>;</w:t>
      </w:r>
      <w:r>
        <w:t xml:space="preserve"> </w:t>
      </w:r>
      <w:r w:rsidR="00583658">
        <w:t xml:space="preserve">or for </w:t>
      </w:r>
      <w:r w:rsidR="00583658" w:rsidRPr="00583658">
        <w:rPr>
          <w:b/>
          <w:bCs/>
        </w:rPr>
        <w:t>B)</w:t>
      </w:r>
      <w:r w:rsidR="00583658">
        <w:t xml:space="preserve"> the differentiation marker </w:t>
      </w:r>
      <w:proofErr w:type="spellStart"/>
      <w:r w:rsidR="00583658">
        <w:t>NeuN</w:t>
      </w:r>
      <w:proofErr w:type="spellEnd"/>
      <w:r w:rsidR="00583658">
        <w:t xml:space="preserve"> (green) </w:t>
      </w:r>
      <w:r>
        <w:t xml:space="preserve">and </w:t>
      </w:r>
      <w:r>
        <w:lastRenderedPageBreak/>
        <w:t xml:space="preserve">counterstained with DAPI (blue). Arrows </w:t>
      </w:r>
      <w:r w:rsidR="00583658">
        <w:t xml:space="preserve">in panel A </w:t>
      </w:r>
      <w:r>
        <w:t xml:space="preserve">indicate the persistence of Ki67+ cells at 3 DIV in the </w:t>
      </w:r>
      <w:r w:rsidRPr="00F64C3C">
        <w:t xml:space="preserve">Ex6DEL cultures. Scale bar, 25 </w:t>
      </w:r>
      <w:r w:rsidRPr="00F64C3C">
        <w:rPr>
          <w:rFonts w:ascii="Symbol" w:hAnsi="Symbol"/>
        </w:rPr>
        <w:t>m</w:t>
      </w:r>
      <w:r w:rsidRPr="00F64C3C">
        <w:t>M.</w:t>
      </w:r>
      <w:r w:rsidR="00D70C9E" w:rsidRPr="00F64C3C">
        <w:t xml:space="preserve"> </w:t>
      </w:r>
      <w:r w:rsidR="00583658" w:rsidRPr="00F64C3C">
        <w:rPr>
          <w:b/>
          <w:bCs/>
        </w:rPr>
        <w:t>C)</w:t>
      </w:r>
      <w:r w:rsidR="00583658" w:rsidRPr="00F64C3C">
        <w:t xml:space="preserve"> Differentiating cortical neurons from WT and Ex6DEL mice were identified by staining with Tuj1+ at 4 days in vitro (red) or 7 days in vitro (green) after inducing differentiation. Note the increased dendritic arborization at 7 days compared to 4 days, and the prominent delay in dendrite formation between Ex6DEL samples and control samples. </w:t>
      </w:r>
      <w:r w:rsidR="00583658" w:rsidRPr="00F64C3C">
        <w:rPr>
          <w:b/>
          <w:bCs/>
        </w:rPr>
        <w:t>D)</w:t>
      </w:r>
      <w:r w:rsidR="00583658" w:rsidRPr="00F64C3C">
        <w:t xml:space="preserve"> Quantification of the percentage of </w:t>
      </w:r>
      <w:r w:rsidR="0080052E" w:rsidRPr="00F64C3C">
        <w:t>Tuj1+ cortical neurons at 1, 4, and 7 days in culture.</w:t>
      </w:r>
    </w:p>
    <w:p w14:paraId="35BBADDD" w14:textId="77777777" w:rsidR="0080052E" w:rsidRDefault="0080052E">
      <w:pPr>
        <w:spacing w:after="0"/>
        <w:rPr>
          <w:noProof/>
        </w:rPr>
      </w:pPr>
      <w:r>
        <w:rPr>
          <w:noProof/>
        </w:rPr>
        <w:br w:type="page"/>
      </w:r>
    </w:p>
    <w:p w14:paraId="4E3506EE" w14:textId="78AD91B4" w:rsidR="00D01964" w:rsidRDefault="00D01964" w:rsidP="00D01964">
      <w:pPr>
        <w:spacing w:after="0" w:line="480" w:lineRule="auto"/>
      </w:pPr>
      <w:r>
        <w:rPr>
          <w:noProof/>
        </w:rPr>
        <w:lastRenderedPageBreak/>
        <w:drawing>
          <wp:inline distT="0" distB="0" distL="0" distR="0" wp14:anchorId="1C872A1F" wp14:editId="2ADFCCD3">
            <wp:extent cx="3923839" cy="5458667"/>
            <wp:effectExtent l="0" t="0" r="635"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944279" cy="5487102"/>
                    </a:xfrm>
                    <a:prstGeom prst="rect">
                      <a:avLst/>
                    </a:prstGeom>
                  </pic:spPr>
                </pic:pic>
              </a:graphicData>
            </a:graphic>
          </wp:inline>
        </w:drawing>
      </w:r>
    </w:p>
    <w:p w14:paraId="7792C3D7" w14:textId="149B4D3F" w:rsidR="00D01964" w:rsidRDefault="00D01964" w:rsidP="00D01964">
      <w:pPr>
        <w:spacing w:after="0" w:line="480" w:lineRule="auto"/>
      </w:pPr>
      <w:r w:rsidRPr="006A24CE">
        <w:rPr>
          <w:b/>
          <w:bCs/>
        </w:rPr>
        <w:t xml:space="preserve">Supplemental Figure 3. RT-qPCR validation of DEGs and mapped </w:t>
      </w:r>
      <w:proofErr w:type="spellStart"/>
      <w:r w:rsidRPr="006A24CE">
        <w:rPr>
          <w:b/>
          <w:bCs/>
        </w:rPr>
        <w:t>ATACseq</w:t>
      </w:r>
      <w:proofErr w:type="spellEnd"/>
      <w:r w:rsidRPr="006A24CE">
        <w:rPr>
          <w:b/>
          <w:bCs/>
        </w:rPr>
        <w:t xml:space="preserve"> reads</w:t>
      </w:r>
      <w:r w:rsidR="006A24CE">
        <w:rPr>
          <w:b/>
          <w:bCs/>
        </w:rPr>
        <w:t>.</w:t>
      </w:r>
      <w:r w:rsidRPr="006A24CE">
        <w:rPr>
          <w:b/>
          <w:bCs/>
        </w:rPr>
        <w:t xml:space="preserve"> A)</w:t>
      </w:r>
      <w:r>
        <w:t xml:space="preserve"> RNA isolated from cerebella of P10 WT and Ex6DEL mice w</w:t>
      </w:r>
      <w:r w:rsidR="006A24CE">
        <w:t xml:space="preserve">as used for RT-qPCR to validate dysregulated genes identified by </w:t>
      </w:r>
      <w:proofErr w:type="spellStart"/>
      <w:r w:rsidR="006A24CE">
        <w:t>RNAseq</w:t>
      </w:r>
      <w:proofErr w:type="spellEnd"/>
      <w:r w:rsidR="006A24CE">
        <w:t xml:space="preserve">. B) </w:t>
      </w:r>
      <w:proofErr w:type="spellStart"/>
      <w:r w:rsidR="006A24CE">
        <w:t>ATACseq</w:t>
      </w:r>
      <w:proofErr w:type="spellEnd"/>
      <w:r w:rsidR="006A24CE">
        <w:t xml:space="preserve"> reads from 1 and 3 DIV were mapped by size as either nucleosome-free (NFR) or representing </w:t>
      </w:r>
      <w:proofErr w:type="spellStart"/>
      <w:r w:rsidR="006A24CE">
        <w:t>mononucleosome</w:t>
      </w:r>
      <w:proofErr w:type="spellEnd"/>
      <w:r w:rsidR="006A24CE">
        <w:t xml:space="preserve">, </w:t>
      </w:r>
      <w:proofErr w:type="spellStart"/>
      <w:r w:rsidR="006A24CE">
        <w:t>dinucleosome</w:t>
      </w:r>
      <w:proofErr w:type="spellEnd"/>
      <w:r w:rsidR="006A24CE">
        <w:t xml:space="preserve"> or </w:t>
      </w:r>
      <w:proofErr w:type="spellStart"/>
      <w:r w:rsidR="006A24CE">
        <w:t>trinucleosome</w:t>
      </w:r>
      <w:proofErr w:type="spellEnd"/>
      <w:r w:rsidR="006A24CE">
        <w:t xml:space="preserve"> fragments. Reads were then mapped to a normalized gene for comparison of WT (blue) or Ex6DEL (green) cultures.</w:t>
      </w:r>
    </w:p>
    <w:p w14:paraId="40667D1E" w14:textId="66C192C4" w:rsidR="00A74B1E" w:rsidRDefault="00F64C3C" w:rsidP="00D01964">
      <w:pPr>
        <w:spacing w:after="0" w:line="480" w:lineRule="auto"/>
        <w:rPr>
          <w:rFonts w:ascii="Times New Roman" w:hAnsi="Times New Roman"/>
        </w:rPr>
      </w:pPr>
    </w:p>
    <w:p w14:paraId="2B285A6C" w14:textId="32D52FE5" w:rsidR="006A24CE" w:rsidRDefault="006A24CE" w:rsidP="00D01964">
      <w:pPr>
        <w:spacing w:after="0" w:line="480" w:lineRule="auto"/>
        <w:rPr>
          <w:rFonts w:ascii="Times New Roman" w:hAnsi="Times New Roman"/>
        </w:rPr>
      </w:pPr>
      <w:r>
        <w:rPr>
          <w:rFonts w:ascii="Times New Roman" w:hAnsi="Times New Roman"/>
          <w:noProof/>
        </w:rPr>
        <w:lastRenderedPageBreak/>
        <w:drawing>
          <wp:inline distT="0" distB="0" distL="0" distR="0" wp14:anchorId="6D69E213" wp14:editId="2A73AD89">
            <wp:extent cx="2944644" cy="5737134"/>
            <wp:effectExtent l="0" t="0" r="1905" b="381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61217" cy="5769423"/>
                    </a:xfrm>
                    <a:prstGeom prst="rect">
                      <a:avLst/>
                    </a:prstGeom>
                  </pic:spPr>
                </pic:pic>
              </a:graphicData>
            </a:graphic>
          </wp:inline>
        </w:drawing>
      </w:r>
    </w:p>
    <w:p w14:paraId="64B92B77" w14:textId="5E296D57" w:rsidR="006A24CE" w:rsidRDefault="006A24CE" w:rsidP="00D01964">
      <w:pPr>
        <w:spacing w:after="0" w:line="480" w:lineRule="auto"/>
        <w:rPr>
          <w:rFonts w:ascii="Times New Roman" w:hAnsi="Times New Roman"/>
        </w:rPr>
      </w:pPr>
      <w:r w:rsidRPr="006C1989">
        <w:rPr>
          <w:rFonts w:ascii="Times New Roman" w:hAnsi="Times New Roman"/>
          <w:b/>
          <w:bCs/>
        </w:rPr>
        <w:t xml:space="preserve">Supplemental Figure 4. </w:t>
      </w:r>
      <w:r w:rsidR="006C1989" w:rsidRPr="006C1989">
        <w:rPr>
          <w:rFonts w:ascii="Times New Roman" w:hAnsi="Times New Roman"/>
          <w:b/>
          <w:bCs/>
        </w:rPr>
        <w:t xml:space="preserve">Genome wide chromatin accessibility at TSS. </w:t>
      </w:r>
      <w:r w:rsidR="006C1989">
        <w:rPr>
          <w:rFonts w:ascii="Times New Roman" w:hAnsi="Times New Roman"/>
        </w:rPr>
        <w:t>Chromatin accessibility maps were generated by normalizing all genes to an identical size and then showing the chromatin for each gene around the TSS. Accessibility was increased for the Ex6DEL (middle panel) GNP cultures compared to WT (left panel) cultures and the level of open chromatin was more similar to that observed for mouse ESCs (right panel).</w:t>
      </w:r>
    </w:p>
    <w:p w14:paraId="7654934B" w14:textId="25A3ABA5" w:rsidR="006C1989" w:rsidRDefault="006C1989" w:rsidP="00D01964">
      <w:pPr>
        <w:spacing w:after="0" w:line="480" w:lineRule="auto"/>
        <w:rPr>
          <w:rFonts w:ascii="Times New Roman" w:hAnsi="Times New Roman"/>
        </w:rPr>
      </w:pPr>
    </w:p>
    <w:p w14:paraId="12FC951D" w14:textId="7EF1278A" w:rsidR="006C1989" w:rsidRDefault="006C1989" w:rsidP="00D01964">
      <w:pPr>
        <w:spacing w:after="0" w:line="480" w:lineRule="auto"/>
        <w:rPr>
          <w:rFonts w:ascii="Times New Roman" w:hAnsi="Times New Roman"/>
        </w:rPr>
      </w:pPr>
    </w:p>
    <w:p w14:paraId="0486C735" w14:textId="24C91E6B" w:rsidR="006C1989" w:rsidRDefault="006C1989" w:rsidP="00D01964">
      <w:pPr>
        <w:spacing w:after="0" w:line="480" w:lineRule="auto"/>
        <w:rPr>
          <w:rFonts w:ascii="Times New Roman" w:hAnsi="Times New Roman"/>
        </w:rPr>
      </w:pPr>
      <w:r>
        <w:rPr>
          <w:rFonts w:ascii="Times New Roman" w:hAnsi="Times New Roman"/>
          <w:noProof/>
        </w:rPr>
        <w:lastRenderedPageBreak/>
        <w:drawing>
          <wp:inline distT="0" distB="0" distL="0" distR="0" wp14:anchorId="409F431A" wp14:editId="4A5E755C">
            <wp:extent cx="5943600" cy="3396615"/>
            <wp:effectExtent l="0" t="0" r="0" b="0"/>
            <wp:docPr id="5" name="Picture 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52A0BA19" w14:textId="26E6C071" w:rsidR="006C1989" w:rsidRDefault="006C1989" w:rsidP="00D01964">
      <w:pPr>
        <w:spacing w:after="0" w:line="480" w:lineRule="auto"/>
        <w:rPr>
          <w:rFonts w:ascii="Times New Roman" w:hAnsi="Times New Roman"/>
        </w:rPr>
      </w:pPr>
      <w:r w:rsidRPr="00404147">
        <w:rPr>
          <w:rFonts w:ascii="Times New Roman" w:hAnsi="Times New Roman"/>
          <w:b/>
          <w:bCs/>
        </w:rPr>
        <w:t>Supplemental Figure 5. Transcription factor binding sites at DAR/DEG overlapping genes.</w:t>
      </w:r>
      <w:r>
        <w:rPr>
          <w:rFonts w:ascii="Times New Roman" w:hAnsi="Times New Roman"/>
        </w:rPr>
        <w:t xml:space="preserve"> A total of 25 DEGs at 1 DIV had a corresponding DAR located within the promoter DAR. The graph plots the </w:t>
      </w:r>
      <w:r w:rsidR="00404147">
        <w:rPr>
          <w:rFonts w:ascii="Times New Roman" w:hAnsi="Times New Roman"/>
        </w:rPr>
        <w:t xml:space="preserve">common </w:t>
      </w:r>
      <w:r>
        <w:rPr>
          <w:rFonts w:ascii="Times New Roman" w:hAnsi="Times New Roman"/>
        </w:rPr>
        <w:t>transcription factor binding sites located within the promoter DAR of these DEGs</w:t>
      </w:r>
      <w:r w:rsidR="00404147">
        <w:rPr>
          <w:rFonts w:ascii="Times New Roman" w:hAnsi="Times New Roman"/>
        </w:rPr>
        <w:t xml:space="preserve">. </w:t>
      </w:r>
    </w:p>
    <w:p w14:paraId="7D716944" w14:textId="02E05B14" w:rsidR="00404147" w:rsidRDefault="00404147">
      <w:pPr>
        <w:spacing w:after="0"/>
        <w:rPr>
          <w:rFonts w:ascii="Times New Roman" w:hAnsi="Times New Roman"/>
        </w:rPr>
      </w:pPr>
      <w:r>
        <w:rPr>
          <w:rFonts w:ascii="Times New Roman" w:hAnsi="Times New Roman"/>
        </w:rPr>
        <w:br w:type="page"/>
      </w:r>
    </w:p>
    <w:p w14:paraId="5FF8E465" w14:textId="18778BE8" w:rsidR="00D70C9E" w:rsidRDefault="00404147" w:rsidP="00D70C9E">
      <w:pPr>
        <w:spacing w:after="0" w:line="480" w:lineRule="auto"/>
      </w:pPr>
      <w:r>
        <w:rPr>
          <w:rFonts w:ascii="Times New Roman" w:hAnsi="Times New Roman"/>
          <w:noProof/>
        </w:rPr>
        <w:lastRenderedPageBreak/>
        <w:drawing>
          <wp:inline distT="0" distB="0" distL="0" distR="0" wp14:anchorId="79DA2DBB" wp14:editId="1BDCBB02">
            <wp:extent cx="6036365" cy="81948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069186" cy="8239381"/>
                    </a:xfrm>
                    <a:prstGeom prst="rect">
                      <a:avLst/>
                    </a:prstGeom>
                  </pic:spPr>
                </pic:pic>
              </a:graphicData>
            </a:graphic>
          </wp:inline>
        </w:drawing>
      </w:r>
      <w:r w:rsidRPr="00404147">
        <w:rPr>
          <w:rFonts w:ascii="Times New Roman" w:hAnsi="Times New Roman"/>
          <w:b/>
          <w:bCs/>
        </w:rPr>
        <w:lastRenderedPageBreak/>
        <w:t>Supplemental Figure 6.</w:t>
      </w:r>
      <w:r>
        <w:rPr>
          <w:rFonts w:ascii="Times New Roman" w:hAnsi="Times New Roman"/>
        </w:rPr>
        <w:t xml:space="preserve"> </w:t>
      </w:r>
      <w:r w:rsidRPr="00D01964">
        <w:rPr>
          <w:rFonts w:ascii="Times New Roman" w:hAnsi="Times New Roman"/>
          <w:b/>
          <w:bCs/>
          <w:iCs/>
        </w:rPr>
        <w:t>Genome browser tracks for selected DEGs</w:t>
      </w:r>
      <w:r>
        <w:rPr>
          <w:rFonts w:ascii="Times New Roman" w:hAnsi="Times New Roman"/>
          <w:iCs/>
        </w:rPr>
        <w:t xml:space="preserve">. </w:t>
      </w:r>
      <w:proofErr w:type="spellStart"/>
      <w:r>
        <w:t>ATACseq</w:t>
      </w:r>
      <w:proofErr w:type="spellEnd"/>
      <w:r>
        <w:t xml:space="preserve"> pe</w:t>
      </w:r>
      <w:r w:rsidR="00D73A39">
        <w:t>ak</w:t>
      </w:r>
      <w:r>
        <w:t xml:space="preserve">s and </w:t>
      </w:r>
      <w:proofErr w:type="spellStart"/>
      <w:r>
        <w:t>RNAseq</w:t>
      </w:r>
      <w:proofErr w:type="spellEnd"/>
      <w:r>
        <w:t xml:space="preserve"> reads are shown in IGV browser format for the </w:t>
      </w:r>
      <w:r>
        <w:rPr>
          <w:i/>
          <w:iCs/>
        </w:rPr>
        <w:t>Ets1</w:t>
      </w:r>
      <w:r>
        <w:t xml:space="preserve"> </w:t>
      </w:r>
      <w:r w:rsidRPr="00077488">
        <w:rPr>
          <w:b/>
          <w:bCs/>
        </w:rPr>
        <w:t>(</w:t>
      </w:r>
      <w:r>
        <w:rPr>
          <w:b/>
          <w:bCs/>
        </w:rPr>
        <w:t>A</w:t>
      </w:r>
      <w:r w:rsidRPr="00077488">
        <w:rPr>
          <w:b/>
          <w:bCs/>
        </w:rPr>
        <w:t>)</w:t>
      </w:r>
      <w:r>
        <w:t xml:space="preserve">, </w:t>
      </w:r>
      <w:r>
        <w:rPr>
          <w:i/>
          <w:iCs/>
        </w:rPr>
        <w:t xml:space="preserve">Emp1 </w:t>
      </w:r>
      <w:r w:rsidRPr="00D01964">
        <w:rPr>
          <w:b/>
          <w:bCs/>
        </w:rPr>
        <w:t>(B)</w:t>
      </w:r>
      <w:r>
        <w:rPr>
          <w:i/>
          <w:iCs/>
        </w:rPr>
        <w:t>,</w:t>
      </w:r>
      <w:r>
        <w:t xml:space="preserve"> </w:t>
      </w:r>
      <w:r>
        <w:rPr>
          <w:i/>
          <w:iCs/>
        </w:rPr>
        <w:t xml:space="preserve">Fosl2 </w:t>
      </w:r>
      <w:r w:rsidRPr="00D01964">
        <w:rPr>
          <w:b/>
          <w:bCs/>
        </w:rPr>
        <w:t>(C</w:t>
      </w:r>
      <w:r>
        <w:rPr>
          <w:b/>
          <w:bCs/>
        </w:rPr>
        <w:t>)</w:t>
      </w:r>
      <w:r w:rsidR="00D73A39">
        <w:rPr>
          <w:b/>
          <w:bCs/>
        </w:rPr>
        <w:t xml:space="preserve">, </w:t>
      </w:r>
      <w:r w:rsidR="00D73A39">
        <w:rPr>
          <w:i/>
          <w:iCs/>
        </w:rPr>
        <w:t xml:space="preserve">Edn1 </w:t>
      </w:r>
      <w:r w:rsidR="00D73A39" w:rsidRPr="00D01964">
        <w:rPr>
          <w:b/>
          <w:bCs/>
        </w:rPr>
        <w:t>(</w:t>
      </w:r>
      <w:r w:rsidR="00D73A39">
        <w:rPr>
          <w:b/>
          <w:bCs/>
        </w:rPr>
        <w:t>D</w:t>
      </w:r>
      <w:r w:rsidR="00D73A39" w:rsidRPr="00D01964">
        <w:rPr>
          <w:b/>
          <w:bCs/>
        </w:rPr>
        <w:t>)</w:t>
      </w:r>
      <w:r w:rsidR="00D73A39">
        <w:rPr>
          <w:i/>
          <w:iCs/>
        </w:rPr>
        <w:t xml:space="preserve">, </w:t>
      </w:r>
      <w:proofErr w:type="spellStart"/>
      <w:r w:rsidR="00D73A39">
        <w:rPr>
          <w:i/>
          <w:iCs/>
        </w:rPr>
        <w:t>Ednra</w:t>
      </w:r>
      <w:proofErr w:type="spellEnd"/>
      <w:r w:rsidR="00D73A39">
        <w:rPr>
          <w:i/>
          <w:iCs/>
        </w:rPr>
        <w:t xml:space="preserve"> </w:t>
      </w:r>
      <w:r w:rsidR="00D73A39" w:rsidRPr="00D01964">
        <w:rPr>
          <w:b/>
          <w:bCs/>
        </w:rPr>
        <w:t>(</w:t>
      </w:r>
      <w:r w:rsidR="00D73A39">
        <w:rPr>
          <w:b/>
          <w:bCs/>
        </w:rPr>
        <w:t>E</w:t>
      </w:r>
      <w:r w:rsidR="00D73A39" w:rsidRPr="00D01964">
        <w:rPr>
          <w:b/>
          <w:bCs/>
        </w:rPr>
        <w:t>)</w:t>
      </w:r>
      <w:r w:rsidR="00D73A39">
        <w:rPr>
          <w:i/>
          <w:iCs/>
        </w:rPr>
        <w:t>, and Mapk15</w:t>
      </w:r>
      <w:r w:rsidR="00D73A39">
        <w:t xml:space="preserve"> </w:t>
      </w:r>
      <w:r w:rsidR="00D73A39" w:rsidRPr="00077488">
        <w:rPr>
          <w:b/>
          <w:bCs/>
        </w:rPr>
        <w:t>(</w:t>
      </w:r>
      <w:r w:rsidR="00D73A39">
        <w:rPr>
          <w:b/>
          <w:bCs/>
        </w:rPr>
        <w:t>F</w:t>
      </w:r>
      <w:r w:rsidR="00D73A39" w:rsidRPr="00077488">
        <w:rPr>
          <w:b/>
          <w:bCs/>
        </w:rPr>
        <w:t>)</w:t>
      </w:r>
      <w:r w:rsidR="00D73A39">
        <w:t xml:space="preserve"> genes. Peaks in blue correspond to data from WT cultures while red peaks correspond to Ex6DEL cultures.  </w:t>
      </w:r>
      <w:r>
        <w:t xml:space="preserve">The </w:t>
      </w:r>
      <w:r w:rsidR="00D73A39">
        <w:t xml:space="preserve">1 DIV </w:t>
      </w:r>
      <w:r>
        <w:t>GN</w:t>
      </w:r>
      <w:r w:rsidR="00D73A39">
        <w:t xml:space="preserve">P </w:t>
      </w:r>
      <w:proofErr w:type="spellStart"/>
      <w:r>
        <w:t>ATACseq</w:t>
      </w:r>
      <w:proofErr w:type="spellEnd"/>
      <w:r>
        <w:t xml:space="preserve"> tracks are shown in the blue box. The </w:t>
      </w:r>
      <w:r w:rsidR="00D73A39">
        <w:t xml:space="preserve">1 DIV </w:t>
      </w:r>
      <w:r>
        <w:t>GN</w:t>
      </w:r>
      <w:r w:rsidR="00D73A39">
        <w:t>P</w:t>
      </w:r>
      <w:r>
        <w:t xml:space="preserve"> </w:t>
      </w:r>
      <w:proofErr w:type="spellStart"/>
      <w:r>
        <w:t>RNAseq</w:t>
      </w:r>
      <w:proofErr w:type="spellEnd"/>
      <w:r>
        <w:t xml:space="preserve"> reads are shown within the black box. The remaining unboxed tracks correspond to </w:t>
      </w:r>
      <w:proofErr w:type="spellStart"/>
      <w:r>
        <w:t>ATACseq</w:t>
      </w:r>
      <w:proofErr w:type="spellEnd"/>
      <w:r>
        <w:t xml:space="preserve"> and </w:t>
      </w:r>
      <w:proofErr w:type="spellStart"/>
      <w:r>
        <w:t>RNAseq</w:t>
      </w:r>
      <w:proofErr w:type="spellEnd"/>
      <w:r>
        <w:t xml:space="preserve"> from </w:t>
      </w:r>
      <w:r w:rsidR="00D73A39">
        <w:t>the 3 DIV timepoints corresponding to GNs</w:t>
      </w:r>
      <w:r w:rsidR="0080052E">
        <w:t xml:space="preserve">.  </w:t>
      </w:r>
    </w:p>
    <w:p w14:paraId="3D3EF7BB" w14:textId="33B2A078" w:rsidR="000414E0" w:rsidRDefault="000414E0">
      <w:pPr>
        <w:spacing w:after="0"/>
      </w:pPr>
      <w:r>
        <w:br w:type="page"/>
      </w:r>
    </w:p>
    <w:p w14:paraId="24B1E39F" w14:textId="1EDB171A" w:rsidR="00FF0F75" w:rsidRDefault="00FF0F75" w:rsidP="00D01964">
      <w:pPr>
        <w:spacing w:after="0" w:line="480" w:lineRule="auto"/>
      </w:pPr>
      <w:r>
        <w:rPr>
          <w:noProof/>
        </w:rPr>
        <w:lastRenderedPageBreak/>
        <w:drawing>
          <wp:inline distT="0" distB="0" distL="0" distR="0" wp14:anchorId="1FDE249B" wp14:editId="34F10F0C">
            <wp:extent cx="5943600" cy="3515995"/>
            <wp:effectExtent l="0" t="0" r="0" b="190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515995"/>
                    </a:xfrm>
                    <a:prstGeom prst="rect">
                      <a:avLst/>
                    </a:prstGeom>
                  </pic:spPr>
                </pic:pic>
              </a:graphicData>
            </a:graphic>
          </wp:inline>
        </w:drawing>
      </w:r>
    </w:p>
    <w:p w14:paraId="56120ED2" w14:textId="60A41C1C" w:rsidR="00FF0F75" w:rsidRPr="002B1086" w:rsidRDefault="00FF0F75" w:rsidP="00D01964">
      <w:pPr>
        <w:spacing w:after="0" w:line="480" w:lineRule="auto"/>
      </w:pPr>
      <w:r w:rsidRPr="00FF0F75">
        <w:rPr>
          <w:b/>
          <w:bCs/>
        </w:rPr>
        <w:t>Supplemental Figure 7. GO Term analysis for novel DEGs at 3 DIV timepoint.</w:t>
      </w:r>
      <w:r>
        <w:t xml:space="preserve">  Comparison of WT and Ex6DEL cultures at 3 DIV identified 2248 DEGs that were distinct from the Ex6DEL- and WT-specific DEGs changing between 1- and 3-DIV.</w:t>
      </w:r>
    </w:p>
    <w:sectPr w:rsidR="00FF0F75" w:rsidRPr="002B1086" w:rsidSect="009B0FE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526"/>
    <w:rsid w:val="000034FB"/>
    <w:rsid w:val="000256BB"/>
    <w:rsid w:val="000269B4"/>
    <w:rsid w:val="000400EA"/>
    <w:rsid w:val="000414E0"/>
    <w:rsid w:val="00063526"/>
    <w:rsid w:val="000946C0"/>
    <w:rsid w:val="000F3C88"/>
    <w:rsid w:val="00102126"/>
    <w:rsid w:val="00104C85"/>
    <w:rsid w:val="001C0654"/>
    <w:rsid w:val="001D4C03"/>
    <w:rsid w:val="002342B7"/>
    <w:rsid w:val="00272E29"/>
    <w:rsid w:val="00281A61"/>
    <w:rsid w:val="00293ECE"/>
    <w:rsid w:val="002A0AA6"/>
    <w:rsid w:val="002B1086"/>
    <w:rsid w:val="002B1895"/>
    <w:rsid w:val="002D337C"/>
    <w:rsid w:val="003A2022"/>
    <w:rsid w:val="003D1742"/>
    <w:rsid w:val="003D36A1"/>
    <w:rsid w:val="00404147"/>
    <w:rsid w:val="00436137"/>
    <w:rsid w:val="00440B91"/>
    <w:rsid w:val="00467282"/>
    <w:rsid w:val="004859AF"/>
    <w:rsid w:val="004B4486"/>
    <w:rsid w:val="004D0079"/>
    <w:rsid w:val="004E57A6"/>
    <w:rsid w:val="004E750C"/>
    <w:rsid w:val="004F5956"/>
    <w:rsid w:val="00503470"/>
    <w:rsid w:val="00512223"/>
    <w:rsid w:val="00564B0B"/>
    <w:rsid w:val="00577066"/>
    <w:rsid w:val="00583658"/>
    <w:rsid w:val="005A2453"/>
    <w:rsid w:val="005C67D8"/>
    <w:rsid w:val="00604CDC"/>
    <w:rsid w:val="00661D86"/>
    <w:rsid w:val="00666765"/>
    <w:rsid w:val="006A24CE"/>
    <w:rsid w:val="006C1989"/>
    <w:rsid w:val="006D1E80"/>
    <w:rsid w:val="006D59F8"/>
    <w:rsid w:val="0072200D"/>
    <w:rsid w:val="007F4AD2"/>
    <w:rsid w:val="0080052E"/>
    <w:rsid w:val="0085266B"/>
    <w:rsid w:val="00892BB5"/>
    <w:rsid w:val="008B1734"/>
    <w:rsid w:val="0093773F"/>
    <w:rsid w:val="00981A09"/>
    <w:rsid w:val="00981F55"/>
    <w:rsid w:val="009928C3"/>
    <w:rsid w:val="009B0FEC"/>
    <w:rsid w:val="00A02C9A"/>
    <w:rsid w:val="00A63CE8"/>
    <w:rsid w:val="00A803F2"/>
    <w:rsid w:val="00A8375C"/>
    <w:rsid w:val="00AF31F5"/>
    <w:rsid w:val="00B172FA"/>
    <w:rsid w:val="00B263C7"/>
    <w:rsid w:val="00B270F2"/>
    <w:rsid w:val="00B31DDC"/>
    <w:rsid w:val="00B5552A"/>
    <w:rsid w:val="00B62594"/>
    <w:rsid w:val="00B90668"/>
    <w:rsid w:val="00BA5808"/>
    <w:rsid w:val="00BF0C56"/>
    <w:rsid w:val="00C8052B"/>
    <w:rsid w:val="00CC05A9"/>
    <w:rsid w:val="00D01964"/>
    <w:rsid w:val="00D70C9E"/>
    <w:rsid w:val="00D73A39"/>
    <w:rsid w:val="00D73EF3"/>
    <w:rsid w:val="00DC43B6"/>
    <w:rsid w:val="00DD6AD8"/>
    <w:rsid w:val="00E52EC1"/>
    <w:rsid w:val="00E77F59"/>
    <w:rsid w:val="00F01A13"/>
    <w:rsid w:val="00F04D30"/>
    <w:rsid w:val="00F13A51"/>
    <w:rsid w:val="00F14052"/>
    <w:rsid w:val="00F17733"/>
    <w:rsid w:val="00F64C3C"/>
    <w:rsid w:val="00F7067A"/>
    <w:rsid w:val="00F9453E"/>
    <w:rsid w:val="00FD49C8"/>
    <w:rsid w:val="00FF0F75"/>
    <w:rsid w:val="00FF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C0852"/>
  <w14:defaultImageDpi w14:val="32767"/>
  <w15:chartTrackingRefBased/>
  <w15:docId w15:val="{FF7652DC-DBF8-7D40-9599-B9F221EB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63526"/>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Picketts</dc:creator>
  <cp:keywords/>
  <dc:description/>
  <cp:lastModifiedBy>Marjory Denisard</cp:lastModifiedBy>
  <cp:revision>6</cp:revision>
  <dcterms:created xsi:type="dcterms:W3CDTF">2021-05-25T18:47:00Z</dcterms:created>
  <dcterms:modified xsi:type="dcterms:W3CDTF">2021-06-11T12:00:00Z</dcterms:modified>
</cp:coreProperties>
</file>