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1CCF" w14:textId="77777777" w:rsidR="00056B9C" w:rsidRDefault="00D325F5">
      <w:pPr>
        <w:tabs>
          <w:tab w:val="center" w:pos="4890"/>
        </w:tabs>
        <w:spacing w:after="449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96575C" wp14:editId="48A23B90">
                <wp:extent cx="1534922" cy="551879"/>
                <wp:effectExtent l="0" t="0" r="0" b="0"/>
                <wp:docPr id="804" name="Group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922" cy="551879"/>
                          <a:chOff x="0" y="0"/>
                          <a:chExt cx="1534922" cy="55187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382268" y="3610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C50C1" w14:textId="77777777" w:rsidR="00056B9C" w:rsidRDefault="00D325F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922" cy="5518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4" style="width:120.86pt;height:43.455pt;mso-position-horizontal-relative:char;mso-position-vertical-relative:line" coordsize="15349,5518">
                <v:rect id="Rectangle 6" style="position:absolute;width:506;height:2243;left:13822;top:36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style="position:absolute;width:15349;height:5518;left:0;top:0;" filled="f">
                  <v:imagedata r:id="rId5"/>
                </v:shape>
              </v:group>
            </w:pict>
          </mc:Fallback>
        </mc:AlternateContent>
      </w:r>
      <w:r>
        <w:tab/>
        <w:t xml:space="preserve">  </w:t>
      </w:r>
    </w:p>
    <w:p w14:paraId="204DF383" w14:textId="77777777" w:rsidR="00056B9C" w:rsidRDefault="00D325F5">
      <w:pPr>
        <w:spacing w:after="195" w:line="259" w:lineRule="auto"/>
        <w:ind w:left="0" w:right="504" w:firstLine="0"/>
        <w:jc w:val="center"/>
      </w:pPr>
      <w:r>
        <w:rPr>
          <w:b/>
          <w:i/>
          <w:sz w:val="32"/>
        </w:rPr>
        <w:t xml:space="preserve">Supplementary Material </w:t>
      </w:r>
    </w:p>
    <w:p w14:paraId="6983B8E9" w14:textId="77777777" w:rsidR="00056B9C" w:rsidRDefault="00D325F5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12D3E6AC" wp14:editId="6645026A">
            <wp:extent cx="6466078" cy="5056632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6078" cy="505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t xml:space="preserve"> </w:t>
      </w:r>
    </w:p>
    <w:p w14:paraId="7D59B80E" w14:textId="77777777" w:rsidR="00056B9C" w:rsidRDefault="00D325F5">
      <w:pPr>
        <w:spacing w:after="312"/>
        <w:ind w:left="-5" w:right="436"/>
      </w:pPr>
      <w:r>
        <w:rPr>
          <w:b/>
        </w:rPr>
        <w:t>Supplementary Figure 1.</w:t>
      </w:r>
      <w:r>
        <w:t xml:space="preserve"> Search for </w:t>
      </w:r>
      <w:proofErr w:type="spellStart"/>
      <w:r>
        <w:t>dbSNP</w:t>
      </w:r>
      <w:proofErr w:type="spellEnd"/>
      <w:r>
        <w:t xml:space="preserve"> identifiers for those genetic variants for which </w:t>
      </w:r>
      <w:proofErr w:type="spellStart"/>
      <w:r>
        <w:t>dbSNP</w:t>
      </w:r>
      <w:proofErr w:type="spellEnd"/>
      <w:r>
        <w:t xml:space="preserve"> identifiers were not indicated in the research articles. </w:t>
      </w:r>
      <w:r>
        <w:rPr>
          <w:b/>
        </w:rPr>
        <w:t xml:space="preserve"> </w:t>
      </w:r>
    </w:p>
    <w:p w14:paraId="75F6E320" w14:textId="77777777" w:rsidR="00056B9C" w:rsidRDefault="00D325F5">
      <w:pPr>
        <w:spacing w:after="0" w:line="259" w:lineRule="auto"/>
        <w:ind w:left="0" w:right="422" w:firstLine="0"/>
        <w:jc w:val="center"/>
      </w:pPr>
      <w:r>
        <w:rPr>
          <w:b/>
          <w:sz w:val="32"/>
        </w:rPr>
        <w:t xml:space="preserve"> </w:t>
      </w:r>
    </w:p>
    <w:p w14:paraId="1B742E26" w14:textId="77777777" w:rsidR="00056B9C" w:rsidRDefault="00D325F5">
      <w:pPr>
        <w:tabs>
          <w:tab w:val="center" w:pos="4890"/>
          <w:tab w:val="center" w:pos="861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Supplementary Material </w:t>
      </w:r>
    </w:p>
    <w:p w14:paraId="531B3475" w14:textId="77777777" w:rsidR="00056B9C" w:rsidRDefault="00D325F5">
      <w:pPr>
        <w:spacing w:after="0" w:line="259" w:lineRule="auto"/>
        <w:ind w:left="0" w:right="445" w:firstLine="0"/>
        <w:jc w:val="right"/>
      </w:pPr>
      <w:r>
        <w:rPr>
          <w:noProof/>
        </w:rPr>
        <w:lastRenderedPageBreak/>
        <w:drawing>
          <wp:inline distT="0" distB="0" distL="0" distR="0" wp14:anchorId="007A839D" wp14:editId="7717CF1C">
            <wp:extent cx="6208395" cy="456438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5B83F60" w14:textId="77777777" w:rsidR="00056B9C" w:rsidRDefault="00D325F5">
      <w:pPr>
        <w:ind w:left="-5" w:right="436"/>
      </w:pPr>
      <w:r>
        <w:rPr>
          <w:b/>
        </w:rPr>
        <w:t>Supplementary Figure 2.</w:t>
      </w:r>
      <w:r>
        <w:t xml:space="preserve"> General scheme of the </w:t>
      </w:r>
      <w:proofErr w:type="spellStart"/>
      <w:r>
        <w:t>сatalog</w:t>
      </w:r>
      <w:proofErr w:type="spellEnd"/>
      <w:r>
        <w:t xml:space="preserve"> (ER-model of the database). The primary and foreign keys are marked PK and FK, accordingly.</w:t>
      </w:r>
      <w:r>
        <w:rPr>
          <w:b/>
        </w:rPr>
        <w:t xml:space="preserve"> </w:t>
      </w:r>
    </w:p>
    <w:p w14:paraId="18641BAC" w14:textId="77777777" w:rsidR="00056B9C" w:rsidRDefault="00D325F5">
      <w:pPr>
        <w:spacing w:after="216" w:line="259" w:lineRule="auto"/>
        <w:ind w:left="0" w:firstLine="0"/>
      </w:pPr>
      <w:r>
        <w:t xml:space="preserve"> </w:t>
      </w:r>
    </w:p>
    <w:p w14:paraId="53864823" w14:textId="77777777" w:rsidR="00056B9C" w:rsidRDefault="00D325F5">
      <w:pPr>
        <w:spacing w:after="4542" w:line="259" w:lineRule="auto"/>
        <w:ind w:left="0" w:firstLine="0"/>
      </w:pPr>
      <w:r>
        <w:t xml:space="preserve"> </w:t>
      </w:r>
    </w:p>
    <w:p w14:paraId="618A3876" w14:textId="77777777" w:rsidR="00056B9C" w:rsidRDefault="00D325F5">
      <w:pPr>
        <w:tabs>
          <w:tab w:val="center" w:pos="9576"/>
        </w:tabs>
        <w:ind w:left="-15" w:firstLine="0"/>
      </w:pPr>
      <w:r>
        <w:rPr>
          <w:color w:val="C00000"/>
        </w:rPr>
        <w:t xml:space="preserve"> </w:t>
      </w:r>
      <w:r>
        <w:rPr>
          <w:color w:val="C00000"/>
        </w:rPr>
        <w:tab/>
      </w:r>
      <w:r>
        <w:t xml:space="preserve">2 </w:t>
      </w:r>
    </w:p>
    <w:p w14:paraId="0EA4E73A" w14:textId="77777777" w:rsidR="00056B9C" w:rsidRDefault="00D325F5">
      <w:pPr>
        <w:spacing w:after="158" w:line="259" w:lineRule="auto"/>
        <w:ind w:left="0" w:right="1349" w:firstLine="0"/>
        <w:jc w:val="right"/>
      </w:pPr>
      <w:r>
        <w:rPr>
          <w:noProof/>
        </w:rPr>
        <w:lastRenderedPageBreak/>
        <w:drawing>
          <wp:inline distT="0" distB="0" distL="0" distR="0" wp14:anchorId="67716466" wp14:editId="042592C5">
            <wp:extent cx="5637149" cy="433070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7149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47662C" w14:textId="77777777" w:rsidR="00056B9C" w:rsidRDefault="00D325F5">
      <w:pPr>
        <w:ind w:left="-5" w:right="436"/>
      </w:pPr>
      <w:r>
        <w:rPr>
          <w:b/>
        </w:rPr>
        <w:t>Supplementary Figure 3.</w:t>
      </w:r>
      <w:r>
        <w:t xml:space="preserve"> </w:t>
      </w:r>
      <w:r>
        <w:t xml:space="preserve">Intersection between two lists of genes. </w:t>
      </w:r>
      <w:r>
        <w:rPr>
          <w:i/>
        </w:rPr>
        <w:t>HGAPat_126</w:t>
      </w:r>
      <w:r>
        <w:t xml:space="preserve"> designates all 126 genes from the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HGAPat</w:t>
      </w:r>
      <w:proofErr w:type="spellEnd"/>
      <w:r>
        <w:t xml:space="preserve"> presented in the current report. </w:t>
      </w:r>
      <w:r>
        <w:rPr>
          <w:i/>
        </w:rPr>
        <w:t>Oud_2019_non-syndromic_59</w:t>
      </w:r>
      <w:r>
        <w:t xml:space="preserve"> designates the list of 59 genes from [Oud et al. 2019] that have at least one potentially pathog</w:t>
      </w:r>
      <w:r>
        <w:t xml:space="preserve">enic variant described and had relationships with non-syndromic forms of pathologies manifested in decreased quality of semen (pathologies are listed in Table S1). These 59 genes were extracted from the </w:t>
      </w:r>
      <w:proofErr w:type="spellStart"/>
      <w:r>
        <w:t>TableSIV</w:t>
      </w:r>
      <w:proofErr w:type="spellEnd"/>
      <w:r>
        <w:t xml:space="preserve"> published by [Oud et al. 2019]. This figure </w:t>
      </w:r>
      <w:r>
        <w:t xml:space="preserve">demonstrates that (1) </w:t>
      </w:r>
      <w:proofErr w:type="spellStart"/>
      <w:r>
        <w:t>HGAPat</w:t>
      </w:r>
      <w:proofErr w:type="spellEnd"/>
      <w:r>
        <w:rPr>
          <w:i/>
        </w:rPr>
        <w:t xml:space="preserve"> </w:t>
      </w:r>
      <w:r>
        <w:t xml:space="preserve">contains more genes that meet the above criteria; (2) according to [Oud et al. 2019], genes that were not found in </w:t>
      </w:r>
      <w:proofErr w:type="spellStart"/>
      <w:r>
        <w:t>HGAPat</w:t>
      </w:r>
      <w:proofErr w:type="spellEnd"/>
      <w:r>
        <w:t>, but were present in the [Oud et al. 2019], have low clinical validity.</w:t>
      </w:r>
      <w:r>
        <w:rPr>
          <w:b/>
        </w:rPr>
        <w:t xml:space="preserve"> </w:t>
      </w:r>
    </w:p>
    <w:p w14:paraId="3927987A" w14:textId="77777777" w:rsidR="00056B9C" w:rsidRDefault="00D325F5">
      <w:pPr>
        <w:spacing w:after="214" w:line="259" w:lineRule="auto"/>
        <w:ind w:left="0" w:firstLine="0"/>
      </w:pPr>
      <w:r>
        <w:rPr>
          <w:b/>
        </w:rPr>
        <w:t xml:space="preserve">References </w:t>
      </w:r>
    </w:p>
    <w:p w14:paraId="3F1148C7" w14:textId="77777777" w:rsidR="00056B9C" w:rsidRDefault="00D325F5">
      <w:pPr>
        <w:ind w:left="720" w:right="43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Oud, M.S., </w:t>
      </w:r>
      <w:proofErr w:type="spellStart"/>
      <w:r>
        <w:t>Volozo</w:t>
      </w:r>
      <w:r>
        <w:t>noka</w:t>
      </w:r>
      <w:proofErr w:type="spellEnd"/>
      <w:r>
        <w:t xml:space="preserve">, L., Smits, R.M., </w:t>
      </w:r>
      <w:proofErr w:type="spellStart"/>
      <w:r>
        <w:t>Vissers</w:t>
      </w:r>
      <w:proofErr w:type="spellEnd"/>
      <w:r>
        <w:t xml:space="preserve">, L.E., Ramos, L., </w:t>
      </w:r>
      <w:proofErr w:type="spellStart"/>
      <w:r>
        <w:t>Veltman</w:t>
      </w:r>
      <w:proofErr w:type="spellEnd"/>
      <w:r>
        <w:t xml:space="preserve">, J.A. (2019). A systematic review and standardized clinical validity assessment of male infertility genes. Human Reproduction. 34(5), 932-941. </w:t>
      </w:r>
      <w:proofErr w:type="spellStart"/>
      <w:r>
        <w:t>doi</w:t>
      </w:r>
      <w:proofErr w:type="spellEnd"/>
      <w:r>
        <w:t>: 10.1093/</w:t>
      </w:r>
      <w:proofErr w:type="spellStart"/>
      <w:r>
        <w:t>humrep</w:t>
      </w:r>
      <w:proofErr w:type="spellEnd"/>
      <w:r>
        <w:t xml:space="preserve">/dez022. </w:t>
      </w:r>
    </w:p>
    <w:p w14:paraId="1521C693" w14:textId="77777777" w:rsidR="00056B9C" w:rsidRDefault="00D325F5">
      <w:pPr>
        <w:spacing w:after="2196" w:line="259" w:lineRule="auto"/>
        <w:ind w:left="0" w:firstLine="0"/>
      </w:pPr>
      <w:r>
        <w:t xml:space="preserve"> </w:t>
      </w:r>
    </w:p>
    <w:p w14:paraId="4BCBA56E" w14:textId="77777777" w:rsidR="00056B9C" w:rsidRDefault="00D325F5">
      <w:pPr>
        <w:tabs>
          <w:tab w:val="center" w:pos="9576"/>
        </w:tabs>
        <w:ind w:left="-15" w:firstLine="0"/>
      </w:pPr>
      <w:r>
        <w:rPr>
          <w:b/>
          <w:sz w:val="31"/>
          <w:vertAlign w:val="superscript"/>
        </w:rPr>
        <w:t xml:space="preserve"> </w:t>
      </w:r>
      <w:r>
        <w:rPr>
          <w:b/>
          <w:sz w:val="31"/>
          <w:vertAlign w:val="superscript"/>
        </w:rPr>
        <w:tab/>
      </w:r>
      <w:r>
        <w:t xml:space="preserve">3 </w:t>
      </w:r>
    </w:p>
    <w:sectPr w:rsidR="00056B9C">
      <w:pgSz w:w="12240" w:h="15840"/>
      <w:pgMar w:top="840" w:right="677" w:bottom="873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9C"/>
    <w:rsid w:val="00056B9C"/>
    <w:rsid w:val="00D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A6C34"/>
  <w15:docId w15:val="{E776E33F-607C-420A-B8B3-195D6D83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cp:lastModifiedBy>Charalampos Baa</cp:lastModifiedBy>
  <cp:revision>2</cp:revision>
  <dcterms:created xsi:type="dcterms:W3CDTF">2021-04-26T11:04:00Z</dcterms:created>
  <dcterms:modified xsi:type="dcterms:W3CDTF">2021-04-26T11:04:00Z</dcterms:modified>
</cp:coreProperties>
</file>