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C5C0A" w:rsidRDefault="00DA4BED">
      <w:pPr>
        <w:pStyle w:val="SupplementaryMaterial"/>
        <w:suppressLineNumbers w:val="0"/>
        <w:rPr>
          <w:b w:val="0"/>
        </w:rPr>
      </w:pPr>
      <w:r>
        <w:t>Supplementary Material</w:t>
      </w:r>
    </w:p>
    <w:p w:rsidR="000C5C0A" w:rsidRDefault="00DA4BED">
      <w:pPr>
        <w:pStyle w:val="1"/>
        <w:jc w:val="both"/>
      </w:pPr>
      <w:r>
        <w:t>Supplementary Figures</w:t>
      </w:r>
    </w:p>
    <w:p w:rsidR="000C5C0A" w:rsidRDefault="00DA4BED">
      <w:pPr>
        <w:tabs>
          <w:tab w:val="center" w:pos="4153"/>
          <w:tab w:val="right" w:pos="8306"/>
        </w:tabs>
        <w:jc w:val="both"/>
        <w:rPr>
          <w:rFonts w:cs="Times New Roman"/>
          <w:b/>
        </w:rPr>
      </w:pPr>
      <w:r>
        <w:rPr>
          <w:rFonts w:cs="Times New Roman"/>
          <w:b/>
          <w:i/>
          <w:iCs/>
          <w:sz w:val="32"/>
          <w:szCs w:val="32"/>
        </w:rPr>
        <w:tab/>
      </w:r>
      <w:r>
        <w:rPr>
          <w:rFonts w:cs="Times New Roman"/>
          <w:b/>
          <w:i/>
          <w:iCs/>
          <w:sz w:val="32"/>
          <w:szCs w:val="32"/>
        </w:rPr>
        <w:tab/>
      </w:r>
    </w:p>
    <w:p w:rsidR="000C5C0A" w:rsidRDefault="00DA4BED">
      <w:pPr>
        <w:jc w:val="center"/>
        <w:rPr>
          <w:rFonts w:eastAsia="宋体" w:cs="Times New Roman"/>
          <w:b/>
          <w:lang w:eastAsia="zh-CN"/>
        </w:rPr>
      </w:pPr>
      <w:r>
        <w:rPr>
          <w:rFonts w:eastAsia="宋体" w:cs="Times New Roman" w:hint="eastAsia"/>
          <w:b/>
          <w:noProof/>
          <w:lang w:eastAsia="zh-CN"/>
        </w:rPr>
        <w:drawing>
          <wp:inline distT="0" distB="0" distL="114300" distR="114300">
            <wp:extent cx="5036820" cy="3987165"/>
            <wp:effectExtent l="0" t="0" r="5080" b="635"/>
            <wp:docPr id="5" name="图片 5" descr="Ozone correlations [GTEX平均值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Ozone correlations [GTEX平均值]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0A" w:rsidRDefault="00DA4BED">
      <w:pPr>
        <w:jc w:val="both"/>
        <w:rPr>
          <w:rFonts w:cs="Times New Roman"/>
          <w:bCs/>
        </w:rPr>
      </w:pPr>
      <w:r>
        <w:rPr>
          <w:rFonts w:cs="Times New Roman"/>
          <w:b/>
        </w:rPr>
        <w:t>Figure S1|</w:t>
      </w:r>
      <w:r>
        <w:rPr>
          <w:rFonts w:cs="Times New Roman"/>
          <w:bCs/>
        </w:rPr>
        <w:t>Mean log</w:t>
      </w:r>
      <w:r>
        <w:rPr>
          <w:rFonts w:cs="Times New Roman"/>
          <w:bCs/>
          <w:vertAlign w:val="subscript"/>
        </w:rPr>
        <w:t>2</w:t>
      </w:r>
      <w:r>
        <w:rPr>
          <w:rFonts w:cs="Times New Roman"/>
          <w:bCs/>
        </w:rPr>
        <w:t xml:space="preserve">(FKPM+1) of 3,804 housekeeping genes between </w:t>
      </w:r>
      <w:proofErr w:type="spellStart"/>
      <w:r>
        <w:rPr>
          <w:rFonts w:cs="Times New Roman"/>
          <w:bCs/>
        </w:rPr>
        <w:t>GTEx</w:t>
      </w:r>
      <w:proofErr w:type="spellEnd"/>
      <w:r>
        <w:rPr>
          <w:rFonts w:cs="Times New Roman"/>
          <w:bCs/>
        </w:rPr>
        <w:t xml:space="preserve"> normal pancreas and TCGA-PAAD tumor tissues. Pearson correlation coefficient (R</w:t>
      </w:r>
      <w:r>
        <w:rPr>
          <w:rFonts w:eastAsia="宋体" w:cs="Times New Roman"/>
          <w:bCs/>
          <w:lang w:eastAsia="zh-CN"/>
        </w:rPr>
        <w:t xml:space="preserve"> </w:t>
      </w:r>
      <w:r>
        <w:rPr>
          <w:rFonts w:cs="Times New Roman"/>
          <w:bCs/>
        </w:rPr>
        <w:t>=</w:t>
      </w:r>
      <w:r>
        <w:rPr>
          <w:rFonts w:eastAsia="宋体" w:cs="Times New Roman"/>
          <w:bCs/>
          <w:lang w:eastAsia="zh-CN"/>
        </w:rPr>
        <w:t xml:space="preserve"> </w:t>
      </w:r>
      <w:r>
        <w:rPr>
          <w:rFonts w:cs="Times New Roman"/>
          <w:bCs/>
        </w:rPr>
        <w:t xml:space="preserve">0.89) is presented. </w:t>
      </w:r>
      <w:r>
        <w:rPr>
          <w:rFonts w:cs="Times New Roman"/>
          <w:bCs/>
          <w:i/>
          <w:iCs/>
        </w:rPr>
        <w:t>FKPM</w:t>
      </w:r>
      <w:r>
        <w:rPr>
          <w:rFonts w:cs="Times New Roman"/>
          <w:bCs/>
        </w:rPr>
        <w:t xml:space="preserve">, Fragments Per Kilobase of transcript per Million mapped reads; </w:t>
      </w:r>
      <w:proofErr w:type="spellStart"/>
      <w:r>
        <w:rPr>
          <w:rFonts w:cs="Times New Roman"/>
          <w:bCs/>
          <w:i/>
          <w:iCs/>
        </w:rPr>
        <w:t>GTEx</w:t>
      </w:r>
      <w:proofErr w:type="spellEnd"/>
      <w:r>
        <w:rPr>
          <w:rFonts w:cs="Times New Roman"/>
          <w:bCs/>
        </w:rPr>
        <w:t>, Genotype-Tissue Expression project</w:t>
      </w:r>
      <w:r>
        <w:rPr>
          <w:rFonts w:eastAsia="宋体" w:cs="Times New Roman" w:hint="eastAsia"/>
          <w:bCs/>
          <w:lang w:eastAsia="zh-CN"/>
        </w:rPr>
        <w:t xml:space="preserve">; </w:t>
      </w:r>
      <w:r>
        <w:rPr>
          <w:rFonts w:eastAsia="等线" w:cs="Times New Roman"/>
          <w:i/>
          <w:iCs/>
          <w:color w:val="000000"/>
          <w:kern w:val="2"/>
          <w:szCs w:val="24"/>
          <w:lang w:eastAsia="zh-CN" w:bidi="ar"/>
        </w:rPr>
        <w:t>TCGA</w:t>
      </w:r>
      <w:r>
        <w:rPr>
          <w:rFonts w:eastAsia="等线" w:cs="Times New Roman"/>
          <w:color w:val="000000"/>
          <w:kern w:val="2"/>
          <w:szCs w:val="24"/>
          <w:lang w:eastAsia="zh-CN" w:bidi="ar"/>
        </w:rPr>
        <w:t>, The Cancer Genome Atlas;</w:t>
      </w:r>
      <w:r>
        <w:rPr>
          <w:rFonts w:eastAsia="等线" w:cs="Times New Roman" w:hint="eastAsia"/>
          <w:color w:val="000000"/>
          <w:kern w:val="2"/>
          <w:szCs w:val="24"/>
          <w:lang w:eastAsia="zh-CN" w:bidi="ar"/>
        </w:rPr>
        <w:t xml:space="preserve"> </w:t>
      </w:r>
      <w:r>
        <w:rPr>
          <w:rFonts w:cs="Times New Roman"/>
          <w:bCs/>
          <w:i/>
          <w:iCs/>
        </w:rPr>
        <w:t>PAAD</w:t>
      </w:r>
      <w:r>
        <w:rPr>
          <w:rFonts w:cs="Times New Roman"/>
          <w:bCs/>
        </w:rPr>
        <w:t>, pancreatic adenocarcinoma.</w:t>
      </w: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DA4BED">
      <w:pPr>
        <w:jc w:val="center"/>
        <w:rPr>
          <w:rFonts w:cs="Times New Roman"/>
          <w:b/>
        </w:rPr>
      </w:pPr>
      <w:r>
        <w:rPr>
          <w:rFonts w:cs="Times New Roman"/>
          <w:b/>
          <w:noProof/>
        </w:rPr>
        <w:lastRenderedPageBreak/>
        <w:drawing>
          <wp:inline distT="0" distB="0" distL="114300" distR="114300">
            <wp:extent cx="5267325" cy="3916680"/>
            <wp:effectExtent l="0" t="0" r="3175" b="7620"/>
            <wp:docPr id="3" name="图片 3" descr="figure-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-s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0A" w:rsidRDefault="00DA4BED">
      <w:pPr>
        <w:jc w:val="both"/>
        <w:rPr>
          <w:rFonts w:cs="Times New Roman"/>
          <w:bCs/>
        </w:rPr>
      </w:pPr>
      <w:r>
        <w:rPr>
          <w:rFonts w:cs="Times New Roman"/>
          <w:b/>
        </w:rPr>
        <w:t>Figure S2|</w:t>
      </w:r>
      <w:r>
        <w:rPr>
          <w:rFonts w:cs="Times New Roman"/>
          <w:bCs/>
        </w:rPr>
        <w:t xml:space="preserve">Distributions of risk scores and survival status of PAAD patients in the GSE57495 dataset </w:t>
      </w:r>
      <w:r>
        <w:rPr>
          <w:rFonts w:cs="Times New Roman"/>
          <w:b/>
        </w:rPr>
        <w:t>(</w:t>
      </w:r>
      <w:proofErr w:type="gramStart"/>
      <w:r>
        <w:rPr>
          <w:rFonts w:cs="Times New Roman"/>
          <w:b/>
        </w:rPr>
        <w:t>A,C</w:t>
      </w:r>
      <w:proofErr w:type="gramEnd"/>
      <w:r>
        <w:rPr>
          <w:rFonts w:cs="Times New Roman"/>
          <w:b/>
        </w:rPr>
        <w:t>)</w:t>
      </w:r>
      <w:r>
        <w:rPr>
          <w:rFonts w:cs="Times New Roman"/>
          <w:bCs/>
        </w:rPr>
        <w:t xml:space="preserve"> and ICGC dataset</w:t>
      </w:r>
      <w:r>
        <w:rPr>
          <w:rFonts w:cs="Times New Roman"/>
          <w:b/>
        </w:rPr>
        <w:t xml:space="preserve"> (B,D)</w:t>
      </w:r>
      <w:r>
        <w:rPr>
          <w:rFonts w:cs="Times New Roman"/>
          <w:bCs/>
        </w:rPr>
        <w:t xml:space="preserve">, respectively. ROC curves of LM-PS for predicting the 1-, 2-, and 3-year </w:t>
      </w:r>
      <w:r>
        <w:rPr>
          <w:rFonts w:eastAsia="宋体" w:cs="Times New Roman"/>
          <w:bCs/>
          <w:lang w:eastAsia="zh-CN"/>
        </w:rPr>
        <w:t>OS</w:t>
      </w:r>
      <w:r>
        <w:rPr>
          <w:rFonts w:cs="Times New Roman"/>
          <w:bCs/>
        </w:rPr>
        <w:t xml:space="preserve"> in the GSE57495 </w:t>
      </w:r>
      <w:r>
        <w:rPr>
          <w:rFonts w:cs="Times New Roman"/>
          <w:b/>
        </w:rPr>
        <w:t>(E)</w:t>
      </w:r>
      <w:r>
        <w:rPr>
          <w:rFonts w:cs="Times New Roman"/>
          <w:bCs/>
        </w:rPr>
        <w:t xml:space="preserve"> and ICGC datasets</w:t>
      </w:r>
      <w:r>
        <w:rPr>
          <w:rFonts w:cs="Times New Roman"/>
          <w:b/>
        </w:rPr>
        <w:t xml:space="preserve"> (F)</w:t>
      </w:r>
      <w:r>
        <w:rPr>
          <w:rFonts w:cs="Times New Roman"/>
          <w:bCs/>
        </w:rPr>
        <w:t xml:space="preserve">, respectively. </w:t>
      </w:r>
      <w:r>
        <w:rPr>
          <w:rFonts w:cs="Times New Roman"/>
          <w:bCs/>
          <w:i/>
          <w:iCs/>
        </w:rPr>
        <w:t>PAAD</w:t>
      </w:r>
      <w:r>
        <w:rPr>
          <w:rFonts w:cs="Times New Roman"/>
          <w:bCs/>
        </w:rPr>
        <w:t xml:space="preserve">, pancreatic adenocarcinoma; </w:t>
      </w:r>
      <w:r>
        <w:rPr>
          <w:rFonts w:cs="Times New Roman"/>
          <w:bCs/>
          <w:i/>
          <w:iCs/>
        </w:rPr>
        <w:t>ICGC</w:t>
      </w:r>
      <w:r>
        <w:rPr>
          <w:rFonts w:cs="Times New Roman"/>
          <w:bCs/>
        </w:rPr>
        <w:t xml:space="preserve">, International Cancer Genome Consortium; </w:t>
      </w:r>
      <w:r>
        <w:rPr>
          <w:rFonts w:cs="Times New Roman"/>
          <w:bCs/>
          <w:i/>
          <w:iCs/>
        </w:rPr>
        <w:t>ROC</w:t>
      </w:r>
      <w:r>
        <w:rPr>
          <w:rFonts w:cs="Times New Roman"/>
          <w:bCs/>
        </w:rPr>
        <w:t>, receiver operating characteristic curves</w:t>
      </w:r>
      <w:r>
        <w:rPr>
          <w:rFonts w:eastAsia="宋体" w:cs="Times New Roman"/>
          <w:bCs/>
          <w:lang w:eastAsia="zh-CN"/>
        </w:rPr>
        <w:t xml:space="preserve">; </w:t>
      </w:r>
      <w:r>
        <w:rPr>
          <w:rFonts w:cs="Times New Roman"/>
          <w:bCs/>
          <w:i/>
          <w:iCs/>
        </w:rPr>
        <w:t>LM-PS</w:t>
      </w:r>
      <w:r>
        <w:rPr>
          <w:rFonts w:eastAsia="宋体" w:cs="Times New Roman"/>
          <w:bCs/>
          <w:lang w:eastAsia="zh-CN"/>
        </w:rPr>
        <w:t xml:space="preserve">, </w:t>
      </w:r>
      <w:r>
        <w:rPr>
          <w:rFonts w:cs="Times New Roman"/>
          <w:bCs/>
        </w:rPr>
        <w:t>liver-metastasis-related genes prognostic signature</w:t>
      </w:r>
      <w:r>
        <w:rPr>
          <w:rFonts w:eastAsia="宋体" w:cs="Times New Roman"/>
          <w:bCs/>
          <w:lang w:eastAsia="zh-CN"/>
        </w:rPr>
        <w:t xml:space="preserve">; </w:t>
      </w:r>
      <w:r>
        <w:rPr>
          <w:rFonts w:eastAsia="宋体" w:cs="Times New Roman"/>
          <w:bCs/>
          <w:i/>
          <w:iCs/>
          <w:lang w:eastAsia="zh-CN"/>
        </w:rPr>
        <w:t>OS</w:t>
      </w:r>
      <w:r>
        <w:rPr>
          <w:rFonts w:eastAsia="宋体" w:cs="Times New Roman"/>
          <w:bCs/>
          <w:lang w:eastAsia="zh-CN"/>
        </w:rPr>
        <w:t>, overall survival</w:t>
      </w:r>
      <w:r>
        <w:rPr>
          <w:rFonts w:cs="Times New Roman"/>
          <w:bCs/>
        </w:rPr>
        <w:t>.</w:t>
      </w: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center"/>
        <w:rPr>
          <w:rFonts w:cs="Times New Roman"/>
          <w:b/>
        </w:rPr>
      </w:pPr>
    </w:p>
    <w:p w:rsidR="000C5C0A" w:rsidRDefault="00DA4BED">
      <w:pPr>
        <w:jc w:val="center"/>
        <w:rPr>
          <w:rFonts w:eastAsia="宋体" w:cs="Times New Roman"/>
          <w:b/>
          <w:lang w:eastAsia="zh-CN"/>
        </w:rPr>
      </w:pPr>
      <w:r>
        <w:rPr>
          <w:rFonts w:eastAsia="宋体" w:cs="Times New Roman" w:hint="eastAsia"/>
          <w:b/>
          <w:noProof/>
          <w:lang w:eastAsia="zh-CN"/>
        </w:rPr>
        <w:lastRenderedPageBreak/>
        <w:drawing>
          <wp:inline distT="0" distB="0" distL="114300" distR="114300">
            <wp:extent cx="6207125" cy="6154420"/>
            <wp:effectExtent l="0" t="0" r="3175" b="5080"/>
            <wp:docPr id="4" name="图片 4" descr="figure-s3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-s3_画板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615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0A" w:rsidRDefault="00DA4BED">
      <w:pPr>
        <w:jc w:val="both"/>
        <w:rPr>
          <w:rFonts w:eastAsia="宋体" w:cs="Times New Roman"/>
          <w:color w:val="000000" w:themeColor="text1"/>
          <w:lang w:eastAsia="zh-CN"/>
        </w:rPr>
      </w:pPr>
      <w:r>
        <w:rPr>
          <w:rFonts w:cs="Times New Roman"/>
          <w:b/>
        </w:rPr>
        <w:t>Figure S3|</w:t>
      </w:r>
      <w:r>
        <w:rPr>
          <w:rFonts w:cs="Times New Roman"/>
          <w:color w:val="000000" w:themeColor="text1"/>
        </w:rPr>
        <w:t>Violin plots visualizing the d</w:t>
      </w:r>
      <w:r>
        <w:rPr>
          <w:rFonts w:cs="Times New Roman"/>
          <w:color w:val="000000" w:themeColor="text1"/>
        </w:rPr>
        <w:t>ifferentially infiltrated immune cells</w:t>
      </w:r>
      <w:r>
        <w:rPr>
          <w:rFonts w:cs="Times New Roman"/>
          <w:color w:val="000000"/>
        </w:rPr>
        <w:t xml:space="preserve"> between low-</w:t>
      </w:r>
      <w:r>
        <w:rPr>
          <w:rFonts w:eastAsia="宋体" w:cs="Times New Roman" w:hint="eastAsia"/>
          <w:color w:val="000000"/>
          <w:lang w:eastAsia="zh-CN"/>
        </w:rPr>
        <w:t>risk (blue)</w:t>
      </w:r>
      <w:r>
        <w:rPr>
          <w:rFonts w:cs="Times New Roman"/>
          <w:color w:val="000000"/>
        </w:rPr>
        <w:t xml:space="preserve"> and high-risk</w:t>
      </w:r>
      <w:r>
        <w:rPr>
          <w:rFonts w:eastAsia="宋体" w:cs="Times New Roman" w:hint="eastAsia"/>
          <w:color w:val="000000"/>
          <w:lang w:eastAsia="zh-CN"/>
        </w:rPr>
        <w:t xml:space="preserve"> (red)</w:t>
      </w:r>
      <w:r>
        <w:rPr>
          <w:rFonts w:cs="Times New Roman"/>
          <w:color w:val="000000"/>
        </w:rPr>
        <w:t xml:space="preserve"> subgroups</w:t>
      </w:r>
      <w:r>
        <w:rPr>
          <w:rFonts w:cs="Times New Roman"/>
          <w:b/>
          <w:bCs/>
          <w:color w:val="000000"/>
        </w:rPr>
        <w:t xml:space="preserve"> (A)</w:t>
      </w:r>
      <w:r>
        <w:rPr>
          <w:rFonts w:cs="Times New Roman"/>
          <w:color w:val="000000"/>
        </w:rPr>
        <w:t xml:space="preserve"> and between </w:t>
      </w:r>
      <w:r>
        <w:rPr>
          <w:rFonts w:cs="Times New Roman"/>
          <w:color w:val="000000" w:themeColor="text1"/>
          <w:szCs w:val="24"/>
        </w:rPr>
        <w:t>no</w:t>
      </w:r>
      <w:r>
        <w:rPr>
          <w:rFonts w:eastAsia="宋体" w:cs="Times New Roman"/>
          <w:color w:val="000000" w:themeColor="text1"/>
          <w:szCs w:val="24"/>
          <w:lang w:eastAsia="zh-CN"/>
        </w:rPr>
        <w:t>n-</w:t>
      </w:r>
      <w:r>
        <w:rPr>
          <w:rFonts w:cs="Times New Roman"/>
          <w:color w:val="000000" w:themeColor="text1"/>
          <w:szCs w:val="24"/>
        </w:rPr>
        <w:t>new</w:t>
      </w:r>
      <w:r>
        <w:rPr>
          <w:rFonts w:eastAsia="宋体" w:cs="Times New Roman"/>
          <w:color w:val="000000" w:themeColor="text1"/>
          <w:szCs w:val="24"/>
          <w:lang w:eastAsia="zh-CN"/>
        </w:rPr>
        <w:t>-</w:t>
      </w:r>
      <w:r>
        <w:rPr>
          <w:rFonts w:cs="Times New Roman"/>
          <w:color w:val="000000" w:themeColor="text1"/>
          <w:szCs w:val="24"/>
        </w:rPr>
        <w:t>tumor</w:t>
      </w:r>
      <w:r>
        <w:rPr>
          <w:rFonts w:cs="Times New Roman"/>
          <w:color w:val="000000"/>
        </w:rPr>
        <w:t xml:space="preserve"> </w:t>
      </w:r>
      <w:r>
        <w:rPr>
          <w:rFonts w:eastAsia="宋体" w:cs="Times New Roman" w:hint="eastAsia"/>
          <w:color w:val="000000"/>
          <w:lang w:eastAsia="zh-CN"/>
        </w:rPr>
        <w:t xml:space="preserve">(blue) </w:t>
      </w:r>
      <w:r>
        <w:rPr>
          <w:rFonts w:cs="Times New Roman"/>
          <w:color w:val="000000"/>
        </w:rPr>
        <w:t>and liver</w:t>
      </w:r>
      <w:r>
        <w:rPr>
          <w:rFonts w:eastAsia="宋体" w:cs="Times New Roman"/>
          <w:color w:val="000000"/>
          <w:lang w:eastAsia="zh-CN"/>
        </w:rPr>
        <w:t>-</w:t>
      </w:r>
      <w:r>
        <w:rPr>
          <w:rFonts w:cs="Times New Roman"/>
          <w:color w:val="000000"/>
        </w:rPr>
        <w:t>metastasis</w:t>
      </w:r>
      <w:r>
        <w:rPr>
          <w:rFonts w:eastAsia="宋体" w:cs="Times New Roman" w:hint="eastAsia"/>
          <w:color w:val="000000"/>
          <w:lang w:eastAsia="zh-CN"/>
        </w:rPr>
        <w:t xml:space="preserve"> (red)</w:t>
      </w:r>
      <w:r>
        <w:rPr>
          <w:rFonts w:cs="Times New Roman"/>
          <w:color w:val="000000"/>
        </w:rPr>
        <w:t xml:space="preserve"> subgroups</w:t>
      </w:r>
      <w:r>
        <w:rPr>
          <w:rFonts w:cs="Times New Roman"/>
          <w:b/>
          <w:bCs/>
          <w:color w:val="000000"/>
        </w:rPr>
        <w:t xml:space="preserve"> (B)</w:t>
      </w:r>
      <w:r>
        <w:rPr>
          <w:rFonts w:cs="Times New Roman"/>
          <w:color w:val="000000" w:themeColor="text1"/>
        </w:rPr>
        <w:t>.</w:t>
      </w: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DA4BED">
      <w:pPr>
        <w:jc w:val="center"/>
        <w:rPr>
          <w:rFonts w:cs="Times New Roman"/>
          <w:b/>
        </w:rPr>
      </w:pPr>
      <w:r>
        <w:rPr>
          <w:rFonts w:cs="Times New Roman"/>
          <w:b/>
          <w:noProof/>
        </w:rPr>
        <w:lastRenderedPageBreak/>
        <w:drawing>
          <wp:inline distT="0" distB="0" distL="114300" distR="114300">
            <wp:extent cx="5274310" cy="6101080"/>
            <wp:effectExtent l="0" t="0" r="8890" b="7620"/>
            <wp:docPr id="10" name="图片 10" descr="figure-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-s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0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0A" w:rsidRDefault="00DA4BED">
      <w:pPr>
        <w:jc w:val="both"/>
        <w:rPr>
          <w:rFonts w:cs="Times New Roman"/>
          <w:bCs/>
        </w:rPr>
      </w:pPr>
      <w:r>
        <w:rPr>
          <w:rFonts w:cs="Times New Roman"/>
          <w:b/>
        </w:rPr>
        <w:t>Figure S4|</w:t>
      </w:r>
      <w:r>
        <w:rPr>
          <w:rFonts w:cs="Times New Roman"/>
          <w:bCs/>
        </w:rPr>
        <w:t xml:space="preserve">Correlation analysis between the expressions of ANO1 </w:t>
      </w:r>
      <w:r>
        <w:rPr>
          <w:rFonts w:cs="Times New Roman"/>
          <w:b/>
        </w:rPr>
        <w:t>(A)</w:t>
      </w:r>
      <w:r>
        <w:rPr>
          <w:rFonts w:cs="Times New Roman"/>
          <w:bCs/>
        </w:rPr>
        <w:t>, FAM83A</w:t>
      </w:r>
      <w:r>
        <w:rPr>
          <w:rFonts w:cs="Times New Roman"/>
          <w:b/>
        </w:rPr>
        <w:t xml:space="preserve"> (B)</w:t>
      </w:r>
      <w:r>
        <w:rPr>
          <w:rFonts w:cs="Times New Roman"/>
          <w:bCs/>
        </w:rPr>
        <w:t xml:space="preserve">, GPR87 </w:t>
      </w:r>
      <w:r>
        <w:rPr>
          <w:rFonts w:cs="Times New Roman"/>
          <w:b/>
        </w:rPr>
        <w:t>(C)</w:t>
      </w:r>
      <w:r>
        <w:rPr>
          <w:rFonts w:cs="Times New Roman"/>
          <w:bCs/>
        </w:rPr>
        <w:t>, ITGB6</w:t>
      </w:r>
      <w:r>
        <w:rPr>
          <w:rFonts w:cs="Times New Roman"/>
          <w:b/>
        </w:rPr>
        <w:t xml:space="preserve"> (D)</w:t>
      </w:r>
      <w:r>
        <w:rPr>
          <w:rFonts w:cs="Times New Roman"/>
          <w:bCs/>
        </w:rPr>
        <w:t>, KLK10</w:t>
      </w:r>
      <w:r>
        <w:rPr>
          <w:rFonts w:cs="Times New Roman"/>
          <w:b/>
        </w:rPr>
        <w:t xml:space="preserve"> (E)</w:t>
      </w:r>
      <w:r>
        <w:rPr>
          <w:rFonts w:cs="Times New Roman"/>
          <w:bCs/>
        </w:rPr>
        <w:t xml:space="preserve">, SMIM32 </w:t>
      </w:r>
      <w:r>
        <w:rPr>
          <w:rFonts w:cs="Times New Roman"/>
          <w:b/>
        </w:rPr>
        <w:t>(F)</w:t>
      </w:r>
      <w:r>
        <w:rPr>
          <w:rFonts w:cs="Times New Roman"/>
          <w:bCs/>
        </w:rPr>
        <w:t xml:space="preserve">, and SERPINE1 in pancreatic adenocarcinoma. </w:t>
      </w: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DA4BED">
      <w:pPr>
        <w:jc w:val="center"/>
        <w:rPr>
          <w:rFonts w:cs="Times New Roman"/>
          <w:b/>
        </w:rPr>
      </w:pPr>
      <w:r>
        <w:rPr>
          <w:rFonts w:cs="Times New Roman"/>
          <w:b/>
          <w:noProof/>
        </w:rPr>
        <w:lastRenderedPageBreak/>
        <w:drawing>
          <wp:inline distT="0" distB="0" distL="114300" distR="114300">
            <wp:extent cx="4789805" cy="6220460"/>
            <wp:effectExtent l="0" t="0" r="10795" b="2540"/>
            <wp:docPr id="11" name="图片 11" descr="figure-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-s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91578" cy="622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C0A" w:rsidRDefault="00DA4BED">
      <w:pPr>
        <w:jc w:val="both"/>
        <w:rPr>
          <w:rFonts w:cs="Times New Roman"/>
          <w:bCs/>
        </w:rPr>
      </w:pPr>
      <w:r>
        <w:rPr>
          <w:rFonts w:cs="Times New Roman"/>
          <w:b/>
        </w:rPr>
        <w:t>Figure S5|(A)</w:t>
      </w:r>
      <w:r>
        <w:rPr>
          <w:rFonts w:cs="Times New Roman"/>
          <w:bCs/>
        </w:rPr>
        <w:t xml:space="preserve"> The</w:t>
      </w:r>
      <w:r>
        <w:rPr>
          <w:rFonts w:cs="Times New Roman"/>
          <w:b/>
        </w:rPr>
        <w:t xml:space="preserve"> </w:t>
      </w:r>
      <w:proofErr w:type="spellStart"/>
      <w:r>
        <w:rPr>
          <w:rFonts w:cs="Times New Roman"/>
          <w:bCs/>
        </w:rPr>
        <w:t>cBioPortal</w:t>
      </w:r>
      <w:proofErr w:type="spellEnd"/>
      <w:r>
        <w:rPr>
          <w:rFonts w:cs="Times New Roman"/>
          <w:bCs/>
        </w:rPr>
        <w:t xml:space="preserve"> </w:t>
      </w:r>
      <w:proofErr w:type="spellStart"/>
      <w:r>
        <w:rPr>
          <w:rFonts w:cs="Times New Roman"/>
          <w:bCs/>
        </w:rPr>
        <w:t>oncoprint</w:t>
      </w:r>
      <w:proofErr w:type="spellEnd"/>
      <w:r>
        <w:rPr>
          <w:rFonts w:cs="Times New Roman"/>
          <w:bCs/>
        </w:rPr>
        <w:t xml:space="preserve"> and heatmap of the 7 LM-PS genes in the TCGA-PAAD cohort. </w:t>
      </w:r>
      <w:r>
        <w:rPr>
          <w:rFonts w:cs="Times New Roman"/>
          <w:b/>
        </w:rPr>
        <w:t>(B)</w:t>
      </w:r>
      <w:r>
        <w:rPr>
          <w:rFonts w:cs="Times New Roman"/>
          <w:bCs/>
        </w:rPr>
        <w:t xml:space="preserve"> OS comparison between patients with LM-PS genes altered (at least with one alteration of amplification/deletion/high mRNA) and those with no LM-PS gene altered</w:t>
      </w:r>
      <w:r>
        <w:rPr>
          <w:rFonts w:eastAsia="宋体" w:cs="Times New Roman" w:hint="eastAsia"/>
          <w:bCs/>
          <w:lang w:eastAsia="zh-CN"/>
        </w:rPr>
        <w:t xml:space="preserve"> in the TCGA-P</w:t>
      </w:r>
      <w:r>
        <w:rPr>
          <w:rFonts w:eastAsia="宋体" w:cs="Times New Roman" w:hint="eastAsia"/>
          <w:bCs/>
          <w:lang w:eastAsia="zh-CN"/>
        </w:rPr>
        <w:t>AAD dataset</w:t>
      </w:r>
      <w:r>
        <w:rPr>
          <w:rFonts w:cs="Times New Roman"/>
          <w:bCs/>
        </w:rPr>
        <w:t xml:space="preserve">. </w:t>
      </w:r>
      <w:r>
        <w:rPr>
          <w:rFonts w:cs="Times New Roman"/>
          <w:b/>
        </w:rPr>
        <w:t>(C)</w:t>
      </w:r>
      <w:r>
        <w:rPr>
          <w:rFonts w:cs="Times New Roman"/>
          <w:bCs/>
        </w:rPr>
        <w:t xml:space="preserve"> </w:t>
      </w:r>
      <w:r>
        <w:rPr>
          <w:rFonts w:eastAsia="宋体" w:cs="Times New Roman"/>
          <w:bCs/>
          <w:lang w:eastAsia="zh-CN"/>
        </w:rPr>
        <w:t xml:space="preserve">The </w:t>
      </w:r>
      <w:r>
        <w:rPr>
          <w:rFonts w:cs="Times New Roman"/>
          <w:bCs/>
        </w:rPr>
        <w:t xml:space="preserve">OS comparison between PAAD-TCGA patients with alteration of FAM83A and those without alteration. </w:t>
      </w:r>
      <w:r>
        <w:rPr>
          <w:rFonts w:cs="Times New Roman"/>
          <w:b/>
        </w:rPr>
        <w:t>(D)</w:t>
      </w:r>
      <w:r>
        <w:rPr>
          <w:rFonts w:cs="Times New Roman"/>
          <w:bCs/>
        </w:rPr>
        <w:t xml:space="preserve"> </w:t>
      </w:r>
      <w:r>
        <w:rPr>
          <w:rFonts w:eastAsia="宋体" w:cs="Times New Roman"/>
          <w:bCs/>
          <w:lang w:eastAsia="zh-CN"/>
        </w:rPr>
        <w:t xml:space="preserve">The </w:t>
      </w:r>
      <w:r>
        <w:rPr>
          <w:rFonts w:cs="Times New Roman"/>
          <w:bCs/>
        </w:rPr>
        <w:t xml:space="preserve">OS comparison between PAAD-TCGA patients with alteration of ITGB6 and those without alteration. </w:t>
      </w:r>
      <w:r>
        <w:rPr>
          <w:rFonts w:cs="Times New Roman"/>
          <w:b/>
        </w:rPr>
        <w:t>(E)</w:t>
      </w:r>
      <w:r>
        <w:rPr>
          <w:rFonts w:cs="Times New Roman"/>
          <w:bCs/>
        </w:rPr>
        <w:t xml:space="preserve"> </w:t>
      </w:r>
      <w:r>
        <w:rPr>
          <w:rFonts w:eastAsia="宋体" w:cs="Times New Roman"/>
          <w:bCs/>
          <w:lang w:eastAsia="zh-CN"/>
        </w:rPr>
        <w:t xml:space="preserve">The </w:t>
      </w:r>
      <w:r>
        <w:rPr>
          <w:rFonts w:cs="Times New Roman"/>
          <w:bCs/>
        </w:rPr>
        <w:t>OS comparison between PAAD</w:t>
      </w:r>
      <w:r>
        <w:rPr>
          <w:rFonts w:cs="Times New Roman"/>
          <w:bCs/>
        </w:rPr>
        <w:t xml:space="preserve">-TCGA patients with alteration of SMIM32 and those without alteration. </w:t>
      </w:r>
      <w:r>
        <w:rPr>
          <w:rFonts w:cs="Times New Roman"/>
          <w:b/>
        </w:rPr>
        <w:t>(F)</w:t>
      </w:r>
      <w:r>
        <w:rPr>
          <w:rFonts w:cs="Times New Roman"/>
          <w:bCs/>
        </w:rPr>
        <w:t xml:space="preserve"> Comparison of the most frequent altered genes between patients with at least one LM-PS gene alter</w:t>
      </w:r>
      <w:r>
        <w:rPr>
          <w:rFonts w:eastAsia="宋体" w:cs="Times New Roman" w:hint="eastAsia"/>
          <w:bCs/>
          <w:lang w:eastAsia="zh-CN"/>
        </w:rPr>
        <w:t>ed</w:t>
      </w:r>
      <w:r>
        <w:rPr>
          <w:rFonts w:cs="Times New Roman"/>
          <w:bCs/>
        </w:rPr>
        <w:t xml:space="preserve"> and those with no LM-PS gene altered</w:t>
      </w:r>
      <w:r>
        <w:rPr>
          <w:rFonts w:eastAsia="宋体" w:cs="Times New Roman" w:hint="eastAsia"/>
          <w:bCs/>
          <w:lang w:eastAsia="zh-CN"/>
        </w:rPr>
        <w:t xml:space="preserve"> in the TCGA-PAAD dataset</w:t>
      </w:r>
      <w:r>
        <w:rPr>
          <w:rFonts w:cs="Times New Roman"/>
          <w:bCs/>
        </w:rPr>
        <w:t>.</w:t>
      </w:r>
      <w:r>
        <w:rPr>
          <w:rFonts w:eastAsia="宋体" w:cs="Times New Roman"/>
          <w:bCs/>
          <w:lang w:eastAsia="zh-CN"/>
        </w:rPr>
        <w:t xml:space="preserve"> </w:t>
      </w:r>
      <w:r>
        <w:rPr>
          <w:rFonts w:cs="Times New Roman"/>
          <w:bCs/>
          <w:i/>
          <w:iCs/>
        </w:rPr>
        <w:t>LM-PS</w:t>
      </w:r>
      <w:r>
        <w:rPr>
          <w:rFonts w:cs="Times New Roman"/>
          <w:bCs/>
        </w:rPr>
        <w:t>, liver-metas</w:t>
      </w:r>
      <w:r>
        <w:rPr>
          <w:rFonts w:cs="Times New Roman"/>
          <w:bCs/>
        </w:rPr>
        <w:t xml:space="preserve">tasis-related prognostic signature; </w:t>
      </w:r>
      <w:r>
        <w:rPr>
          <w:rFonts w:cs="Times New Roman"/>
          <w:bCs/>
          <w:i/>
          <w:iCs/>
        </w:rPr>
        <w:t>TCGA</w:t>
      </w:r>
      <w:r>
        <w:rPr>
          <w:rFonts w:cs="Times New Roman"/>
          <w:bCs/>
        </w:rPr>
        <w:t xml:space="preserve">, The Cancer Genome Atlas; </w:t>
      </w:r>
      <w:r>
        <w:rPr>
          <w:rFonts w:cs="Times New Roman"/>
          <w:bCs/>
          <w:i/>
          <w:iCs/>
        </w:rPr>
        <w:t>PAAD</w:t>
      </w:r>
      <w:r>
        <w:rPr>
          <w:rFonts w:cs="Times New Roman"/>
          <w:bCs/>
        </w:rPr>
        <w:t xml:space="preserve">, pancreatic adenocarcinoma; </w:t>
      </w:r>
      <w:r>
        <w:rPr>
          <w:rFonts w:cs="Times New Roman"/>
          <w:bCs/>
          <w:i/>
          <w:iCs/>
        </w:rPr>
        <w:t>OS</w:t>
      </w:r>
      <w:r>
        <w:rPr>
          <w:rFonts w:cs="Times New Roman"/>
          <w:bCs/>
        </w:rPr>
        <w:t>, overall survival.</w:t>
      </w:r>
    </w:p>
    <w:p w:rsidR="000C5C0A" w:rsidRDefault="000C5C0A">
      <w:pPr>
        <w:jc w:val="both"/>
        <w:rPr>
          <w:rFonts w:cs="Times New Roman"/>
          <w:b/>
        </w:rPr>
      </w:pPr>
    </w:p>
    <w:p w:rsidR="000C5C0A" w:rsidRDefault="00DA4BED">
      <w:pPr>
        <w:pStyle w:val="1"/>
      </w:pPr>
      <w:r>
        <w:lastRenderedPageBreak/>
        <w:t xml:space="preserve">Supplementary Tables </w:t>
      </w:r>
    </w:p>
    <w:tbl>
      <w:tblPr>
        <w:tblW w:w="4658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42"/>
        <w:gridCol w:w="2712"/>
        <w:gridCol w:w="3454"/>
      </w:tblGrid>
      <w:tr w:rsidR="000C5C0A">
        <w:trPr>
          <w:trHeight w:val="325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bottom"/>
          </w:tcPr>
          <w:p w:rsidR="000C5C0A" w:rsidRDefault="00DA4BED">
            <w:pPr>
              <w:textAlignment w:val="bottom"/>
              <w:rPr>
                <w:rFonts w:eastAsia="等线" w:cs="Times New Roman"/>
                <w:b/>
                <w:color w:val="242021"/>
                <w:szCs w:val="24"/>
              </w:rPr>
            </w:pPr>
            <w:r>
              <w:rPr>
                <w:rFonts w:eastAsia="等线" w:cs="Times New Roman"/>
                <w:b/>
                <w:color w:val="242021"/>
                <w:szCs w:val="24"/>
                <w:lang w:eastAsia="zh-CN" w:bidi="ar"/>
              </w:rPr>
              <w:t>Table S1|</w:t>
            </w:r>
            <w:r>
              <w:rPr>
                <w:rStyle w:val="font11"/>
                <w:rFonts w:eastAsia="等线"/>
                <w:lang w:eastAsia="zh-CN" w:bidi="ar"/>
              </w:rPr>
              <w:t>The thirty-three prognostic mRNAs in the univariate Cox regression analysis.</w:t>
            </w:r>
          </w:p>
        </w:tc>
      </w:tr>
      <w:tr w:rsidR="000C5C0A">
        <w:trPr>
          <w:trHeight w:val="315"/>
          <w:jc w:val="center"/>
        </w:trPr>
        <w:tc>
          <w:tcPr>
            <w:tcW w:w="1615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b/>
                <w:color w:val="000000"/>
                <w:szCs w:val="24"/>
              </w:rPr>
            </w:pPr>
            <w:r>
              <w:rPr>
                <w:rFonts w:eastAsia="等线" w:cs="Times New Roman"/>
                <w:b/>
                <w:color w:val="000000"/>
                <w:szCs w:val="24"/>
                <w:lang w:eastAsia="zh-CN" w:bidi="ar"/>
              </w:rPr>
              <w:t>Gene Symbol</w:t>
            </w:r>
          </w:p>
        </w:tc>
        <w:tc>
          <w:tcPr>
            <w:tcW w:w="1489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b/>
                <w:i/>
                <w:color w:val="000000"/>
                <w:szCs w:val="24"/>
              </w:rPr>
            </w:pPr>
            <w:r>
              <w:rPr>
                <w:rFonts w:eastAsia="等线" w:cs="Times New Roman"/>
                <w:b/>
                <w:i/>
                <w:color w:val="000000"/>
                <w:szCs w:val="24"/>
                <w:lang w:eastAsia="zh-CN" w:bidi="ar"/>
              </w:rPr>
              <w:t>P</w:t>
            </w:r>
          </w:p>
        </w:tc>
        <w:tc>
          <w:tcPr>
            <w:tcW w:w="1894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bottom"/>
          </w:tcPr>
          <w:p w:rsidR="000C5C0A" w:rsidRDefault="00DA4BED">
            <w:pPr>
              <w:textAlignment w:val="bottom"/>
              <w:rPr>
                <w:rFonts w:eastAsia="等线" w:cs="Times New Roman"/>
                <w:b/>
                <w:color w:val="000000"/>
                <w:szCs w:val="24"/>
              </w:rPr>
            </w:pPr>
            <w:r>
              <w:rPr>
                <w:rFonts w:eastAsia="等线" w:cs="Times New Roman"/>
                <w:b/>
                <w:color w:val="000000"/>
                <w:szCs w:val="24"/>
                <w:lang w:eastAsia="zh-CN" w:bidi="ar"/>
              </w:rPr>
              <w:t xml:space="preserve">HR </w:t>
            </w:r>
            <w:r>
              <w:rPr>
                <w:rFonts w:eastAsia="等线" w:cs="Times New Roman"/>
                <w:b/>
                <w:color w:val="000000"/>
                <w:szCs w:val="24"/>
                <w:lang w:eastAsia="zh-CN" w:bidi="ar"/>
              </w:rPr>
              <w:t>(95% CI)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ANO1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3.45E-04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2.478 (1.508-4.073)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ANXA1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1.13E-03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1.743 (1.247-2.435)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ANXA8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1.21E-03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1.798 (1.260-2.564)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CDH3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3.63E-03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1.707 (1.191-2.448)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CLIC3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8.51E-03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1.359 (1.081-1.707)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CST6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2.25E-02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1.265 (1.034-1.548)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FAM83A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8.82E-05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 xml:space="preserve">1.593 </w:t>
            </w: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(1.262-2.011)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FGFBP1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1.47E-02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1.322 (1.056-1.654)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FN1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3.28E-03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1.331 (1.100-1.611)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GPR87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1.63E-04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1.771 (1.316-2.384)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ITGB4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2.27E-03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1.732 (1.217-2.465)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ITGB6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1.58E-04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1.677 (1.283-2.193)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KLK10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3.32E-03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1.486 (1.141-1.935)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KLK6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3.71E-03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 xml:space="preserve">1.316 </w:t>
            </w: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(1.093-1.585)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KRT6A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6.08E-04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1.317 (1.125-1.542)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LAMC2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5.46E-03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1.348 (1.092-1.664)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LYPD3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7.65E-03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1.546 (1.122-2.129)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lastRenderedPageBreak/>
              <w:t>MELTF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1.45E-02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1.478 (1.080-2.021)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MS4A8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9.32E-03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0.600 (0.408-0.882)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PLAU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8.12E-04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1.584 (1.210-2.073)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PMEPA1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1.51E-02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 xml:space="preserve">1.431 </w:t>
            </w: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(1.072-1.910)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PTGES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1.05E-02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1.375 (1.077-1.754)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S100A2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2.34E-03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1.314 (1.102-1.566)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SCEL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4.29E-04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1.629 (1.242-2.137)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SDC4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7.18E-03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1.577 (1.131-2.198)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SEMA3C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1.09E-03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1.656 (1.224-2.241)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SERPINE1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1.69E-02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1.289 (1.047-1.588)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SMIM32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6.80E-03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0.395 (0.201-0.774)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SNCG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1.33E-02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1.274 (1.052-1.544)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TGM2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3.39E-03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1.562 (1.159-2.104)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TNS4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1.44E-02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1.306 (1.055-1.616)</w:t>
            </w:r>
          </w:p>
        </w:tc>
      </w:tr>
      <w:tr w:rsidR="000C5C0A">
        <w:trPr>
          <w:trHeight w:val="310"/>
          <w:jc w:val="center"/>
        </w:trPr>
        <w:tc>
          <w:tcPr>
            <w:tcW w:w="16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TRIM29</w:t>
            </w:r>
          </w:p>
        </w:tc>
        <w:tc>
          <w:tcPr>
            <w:tcW w:w="14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5.55E-03</w:t>
            </w:r>
          </w:p>
        </w:tc>
        <w:tc>
          <w:tcPr>
            <w:tcW w:w="18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1.461 (1.118-1.910)</w:t>
            </w:r>
          </w:p>
        </w:tc>
      </w:tr>
      <w:tr w:rsidR="000C5C0A">
        <w:trPr>
          <w:trHeight w:val="325"/>
          <w:jc w:val="center"/>
        </w:trPr>
        <w:tc>
          <w:tcPr>
            <w:tcW w:w="1615" w:type="pc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ZNF185</w:t>
            </w:r>
          </w:p>
        </w:tc>
        <w:tc>
          <w:tcPr>
            <w:tcW w:w="1489" w:type="pc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0.000287075</w:t>
            </w:r>
          </w:p>
        </w:tc>
        <w:tc>
          <w:tcPr>
            <w:tcW w:w="1894" w:type="pc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1.826 (1.319-2.527)</w:t>
            </w:r>
          </w:p>
        </w:tc>
      </w:tr>
      <w:tr w:rsidR="000C5C0A">
        <w:trPr>
          <w:trHeight w:val="310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bottom"/>
          </w:tcPr>
          <w:p w:rsidR="000C5C0A" w:rsidRDefault="00DA4BED">
            <w:pPr>
              <w:textAlignment w:val="bottom"/>
              <w:rPr>
                <w:rFonts w:eastAsia="等线" w:cs="Times New Roman"/>
                <w:i/>
                <w:color w:val="000000"/>
                <w:szCs w:val="24"/>
              </w:rPr>
            </w:pPr>
            <w:r>
              <w:rPr>
                <w:rFonts w:eastAsia="等线" w:cs="Times New Roman"/>
                <w:i/>
                <w:color w:val="000000"/>
                <w:szCs w:val="24"/>
                <w:lang w:eastAsia="zh-CN" w:bidi="ar"/>
              </w:rPr>
              <w:t xml:space="preserve">HR, hazard ratio; CI, confidence </w:t>
            </w:r>
            <w:r>
              <w:rPr>
                <w:rFonts w:eastAsia="等线" w:cs="Times New Roman"/>
                <w:i/>
                <w:color w:val="000000"/>
                <w:szCs w:val="24"/>
                <w:lang w:eastAsia="zh-CN" w:bidi="ar"/>
              </w:rPr>
              <w:t>interval.</w:t>
            </w:r>
          </w:p>
        </w:tc>
      </w:tr>
    </w:tbl>
    <w:p w:rsidR="000C5C0A" w:rsidRDefault="000C5C0A">
      <w:pPr>
        <w:pStyle w:val="1"/>
        <w:numPr>
          <w:ilvl w:val="0"/>
          <w:numId w:val="0"/>
        </w:numPr>
      </w:pPr>
    </w:p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jc w:val="both"/>
        <w:rPr>
          <w:rFonts w:cs="Times New Roman"/>
          <w:b/>
        </w:rPr>
      </w:pPr>
      <w:bookmarkStart w:id="0" w:name="_GoBack"/>
      <w:bookmarkEnd w:id="0"/>
    </w:p>
    <w:tbl>
      <w:tblPr>
        <w:tblW w:w="9010" w:type="dxa"/>
        <w:jc w:val="center"/>
        <w:tblLook w:val="04A0" w:firstRow="1" w:lastRow="0" w:firstColumn="1" w:lastColumn="0" w:noHBand="0" w:noVBand="1"/>
      </w:tblPr>
      <w:tblGrid>
        <w:gridCol w:w="6230"/>
        <w:gridCol w:w="2780"/>
      </w:tblGrid>
      <w:tr w:rsidR="000C5C0A">
        <w:trPr>
          <w:trHeight w:val="315"/>
          <w:jc w:val="center"/>
        </w:trPr>
        <w:tc>
          <w:tcPr>
            <w:tcW w:w="90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b/>
                <w:bCs/>
                <w:color w:val="000000"/>
                <w:szCs w:val="24"/>
              </w:rPr>
            </w:pPr>
            <w:r>
              <w:rPr>
                <w:rFonts w:eastAsia="等线" w:cs="Times New Roman"/>
                <w:b/>
                <w:bCs/>
                <w:color w:val="000000"/>
                <w:szCs w:val="24"/>
                <w:lang w:eastAsia="zh-CN" w:bidi="ar"/>
              </w:rPr>
              <w:lastRenderedPageBreak/>
              <w:t>Table S2|Clinicopathological factors of the PAAD patients in GSE57495 dataset.</w:t>
            </w:r>
          </w:p>
        </w:tc>
      </w:tr>
      <w:tr w:rsidR="000C5C0A">
        <w:trPr>
          <w:trHeight w:val="325"/>
          <w:jc w:val="center"/>
        </w:trPr>
        <w:tc>
          <w:tcPr>
            <w:tcW w:w="0" w:type="auto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b/>
                <w:bCs/>
                <w:color w:val="000000"/>
                <w:szCs w:val="24"/>
              </w:rPr>
            </w:pPr>
            <w:r>
              <w:rPr>
                <w:rFonts w:eastAsia="等线" w:cs="Times New Roman"/>
                <w:b/>
                <w:bCs/>
                <w:color w:val="000000"/>
                <w:szCs w:val="24"/>
                <w:lang w:eastAsia="zh-CN" w:bidi="ar"/>
              </w:rPr>
              <w:t>Clinical features</w:t>
            </w:r>
          </w:p>
        </w:tc>
        <w:tc>
          <w:tcPr>
            <w:tcW w:w="0" w:type="auto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b/>
                <w:bCs/>
                <w:color w:val="000000"/>
                <w:szCs w:val="24"/>
              </w:rPr>
            </w:pPr>
            <w:r>
              <w:rPr>
                <w:rFonts w:eastAsia="等线" w:cs="Times New Roman"/>
                <w:b/>
                <w:bCs/>
                <w:color w:val="000000"/>
                <w:szCs w:val="24"/>
                <w:lang w:eastAsia="zh-CN" w:bidi="ar"/>
              </w:rPr>
              <w:t>n (%)</w:t>
            </w: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Survival status, n (%)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0A" w:rsidRDefault="000C5C0A">
            <w:pPr>
              <w:rPr>
                <w:rFonts w:ascii="等线" w:eastAsia="等线" w:hAnsi="等线" w:cs="等线"/>
                <w:color w:val="000000"/>
                <w:szCs w:val="24"/>
              </w:rPr>
            </w:pP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Alive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21 (33.3)</w:t>
            </w: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Dead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42 (66.7)</w:t>
            </w: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Pathologic stage, n (%)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0C5C0A">
            <w:pPr>
              <w:rPr>
                <w:rFonts w:eastAsia="等线" w:cs="Times New Roman"/>
                <w:color w:val="000000"/>
                <w:szCs w:val="24"/>
              </w:rPr>
            </w:pP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Stage 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 (1.6)</w:t>
            </w: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Stage IB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12 (19.0)</w:t>
            </w:r>
          </w:p>
        </w:tc>
      </w:tr>
      <w:tr w:rsidR="000C5C0A">
        <w:trPr>
          <w:trHeight w:val="31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Stage IIA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 xml:space="preserve">17 </w:t>
            </w: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(27.0)</w:t>
            </w:r>
          </w:p>
        </w:tc>
      </w:tr>
      <w:tr w:rsidR="000C5C0A">
        <w:trPr>
          <w:trHeight w:val="325"/>
          <w:jc w:val="center"/>
        </w:trPr>
        <w:tc>
          <w:tcPr>
            <w:tcW w:w="0" w:type="auto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jc w:val="center"/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Stage IIB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:rsidR="000C5C0A" w:rsidRDefault="00DA4BED">
            <w:pPr>
              <w:textAlignment w:val="center"/>
              <w:rPr>
                <w:rFonts w:eastAsia="等线" w:cs="Times New Roman"/>
                <w:color w:val="000000"/>
                <w:szCs w:val="24"/>
              </w:rPr>
            </w:pPr>
            <w:r>
              <w:rPr>
                <w:rFonts w:eastAsia="等线" w:cs="Times New Roman"/>
                <w:color w:val="000000"/>
                <w:szCs w:val="24"/>
                <w:lang w:eastAsia="zh-CN" w:bidi="ar"/>
              </w:rPr>
              <w:t>33 (52.5)</w:t>
            </w:r>
          </w:p>
        </w:tc>
      </w:tr>
    </w:tbl>
    <w:tbl>
      <w:tblPr>
        <w:tblpPr w:leftFromText="180" w:rightFromText="180" w:vertAnchor="text" w:horzAnchor="page" w:tblpXSpec="center" w:tblpY="811"/>
        <w:tblOverlap w:val="never"/>
        <w:tblW w:w="9865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85"/>
        <w:gridCol w:w="2844"/>
        <w:gridCol w:w="2591"/>
        <w:gridCol w:w="2145"/>
      </w:tblGrid>
      <w:tr w:rsidR="000C5C0A">
        <w:trPr>
          <w:trHeight w:val="325"/>
          <w:jc w:val="center"/>
        </w:trPr>
        <w:tc>
          <w:tcPr>
            <w:tcW w:w="986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/>
                <w:color w:val="000000"/>
                <w:lang w:bidi="ar"/>
              </w:rPr>
              <w:t>Table S</w:t>
            </w:r>
            <w:r>
              <w:rPr>
                <w:rFonts w:eastAsia="宋体" w:cs="Times New Roman" w:hint="eastAsia"/>
                <w:b/>
                <w:color w:val="000000"/>
                <w:lang w:eastAsia="zh-CN" w:bidi="ar"/>
              </w:rPr>
              <w:t>3</w:t>
            </w:r>
            <w:r>
              <w:rPr>
                <w:rFonts w:eastAsia="宋体" w:cs="Times New Roman"/>
                <w:b/>
                <w:color w:val="000000"/>
                <w:lang w:bidi="ar"/>
              </w:rPr>
              <w:t>|</w:t>
            </w: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Comparison of the genomic alteration frequency between </w:t>
            </w:r>
            <w:r>
              <w:rPr>
                <w:rFonts w:eastAsia="宋体" w:cs="Times New Roman"/>
                <w:bCs/>
                <w:color w:val="000000"/>
                <w:lang w:eastAsia="zh-CN" w:bidi="ar"/>
              </w:rPr>
              <w:t xml:space="preserve">the </w:t>
            </w:r>
            <w:r>
              <w:rPr>
                <w:rFonts w:eastAsia="宋体" w:cs="Times New Roman"/>
                <w:bCs/>
                <w:color w:val="000000"/>
                <w:lang w:bidi="ar"/>
              </w:rPr>
              <w:t>high- and low</w:t>
            </w:r>
            <w:r>
              <w:rPr>
                <w:rFonts w:eastAsia="宋体" w:cs="Times New Roman"/>
                <w:bCs/>
                <w:color w:val="000000"/>
                <w:lang w:eastAsia="zh-CN" w:bidi="ar"/>
              </w:rPr>
              <w:t>-</w:t>
            </w: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risk </w:t>
            </w:r>
            <w:r>
              <w:rPr>
                <w:rFonts w:eastAsia="宋体" w:cs="Times New Roman"/>
                <w:bCs/>
                <w:color w:val="000000"/>
                <w:lang w:eastAsia="zh-CN" w:bidi="ar"/>
              </w:rPr>
              <w:t>sub</w:t>
            </w:r>
            <w:r>
              <w:rPr>
                <w:rFonts w:eastAsia="宋体" w:cs="Times New Roman"/>
                <w:bCs/>
                <w:color w:val="000000"/>
                <w:lang w:bidi="ar"/>
              </w:rPr>
              <w:t>groups.</w:t>
            </w:r>
          </w:p>
        </w:tc>
      </w:tr>
      <w:tr w:rsidR="000C5C0A">
        <w:trPr>
          <w:trHeight w:val="325"/>
          <w:jc w:val="center"/>
        </w:trPr>
        <w:tc>
          <w:tcPr>
            <w:tcW w:w="22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/>
                <w:color w:val="000000"/>
              </w:rPr>
            </w:pPr>
            <w:bookmarkStart w:id="1" w:name="OLE_LINK1" w:colFirst="0" w:colLast="0"/>
            <w:r>
              <w:rPr>
                <w:rFonts w:eastAsia="宋体" w:cs="Times New Roman"/>
                <w:b/>
                <w:color w:val="000000"/>
                <w:lang w:bidi="ar"/>
              </w:rPr>
              <w:t>Genes</w:t>
            </w:r>
          </w:p>
        </w:tc>
        <w:tc>
          <w:tcPr>
            <w:tcW w:w="284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/>
                <w:color w:val="000000"/>
              </w:rPr>
            </w:pPr>
            <w:r>
              <w:rPr>
                <w:rFonts w:eastAsia="宋体" w:cs="Times New Roman"/>
                <w:b/>
                <w:color w:val="000000"/>
                <w:lang w:bidi="ar"/>
              </w:rPr>
              <w:t>High</w:t>
            </w:r>
            <w:r>
              <w:rPr>
                <w:rFonts w:eastAsia="宋体" w:cs="Times New Roman"/>
                <w:b/>
                <w:color w:val="000000"/>
                <w:lang w:eastAsia="zh-CN" w:bidi="ar"/>
              </w:rPr>
              <w:t>-</w:t>
            </w:r>
            <w:r>
              <w:rPr>
                <w:rFonts w:eastAsia="宋体" w:cs="Times New Roman"/>
                <w:b/>
                <w:color w:val="000000"/>
                <w:lang w:bidi="ar"/>
              </w:rPr>
              <w:t>risk (n = 31)</w:t>
            </w:r>
          </w:p>
        </w:tc>
        <w:tc>
          <w:tcPr>
            <w:tcW w:w="259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/>
                <w:color w:val="000000"/>
              </w:rPr>
            </w:pPr>
            <w:r>
              <w:rPr>
                <w:rFonts w:eastAsia="宋体" w:cs="Times New Roman"/>
                <w:b/>
                <w:color w:val="000000"/>
                <w:lang w:bidi="ar"/>
              </w:rPr>
              <w:t>Low</w:t>
            </w:r>
            <w:r>
              <w:rPr>
                <w:rFonts w:eastAsia="宋体" w:cs="Times New Roman"/>
                <w:b/>
                <w:color w:val="000000"/>
                <w:lang w:eastAsia="zh-CN" w:bidi="ar"/>
              </w:rPr>
              <w:t>-</w:t>
            </w:r>
            <w:r>
              <w:rPr>
                <w:rFonts w:eastAsia="宋体" w:cs="Times New Roman"/>
                <w:b/>
                <w:color w:val="000000"/>
                <w:lang w:bidi="ar"/>
              </w:rPr>
              <w:t>risk (n = 32)</w:t>
            </w:r>
          </w:p>
        </w:tc>
        <w:tc>
          <w:tcPr>
            <w:tcW w:w="214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/>
                <w:i/>
                <w:color w:val="000000"/>
              </w:rPr>
            </w:pPr>
            <w:r>
              <w:rPr>
                <w:rFonts w:eastAsia="宋体" w:cs="Times New Roman"/>
                <w:b/>
                <w:i/>
                <w:color w:val="000000"/>
                <w:lang w:bidi="ar"/>
              </w:rPr>
              <w:t>P</w:t>
            </w:r>
          </w:p>
        </w:tc>
      </w:tr>
      <w:tr w:rsidR="000C5C0A">
        <w:trPr>
          <w:trHeight w:val="533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ANO1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3(9.7)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0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0.067</w:t>
            </w:r>
          </w:p>
        </w:tc>
      </w:tr>
      <w:tr w:rsidR="000C5C0A">
        <w:trPr>
          <w:trHeight w:val="556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FAM83A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12(38.7)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2(6.1)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0.002</w:t>
            </w:r>
          </w:p>
        </w:tc>
      </w:tr>
      <w:tr w:rsidR="000C5C0A">
        <w:trPr>
          <w:trHeight w:val="310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GPR87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6(19.4)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1(3.0)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0.037 </w:t>
            </w:r>
          </w:p>
        </w:tc>
      </w:tr>
      <w:tr w:rsidR="000C5C0A">
        <w:trPr>
          <w:trHeight w:val="310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ITGB6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5(16.1)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1(3.0)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0.072 </w:t>
            </w:r>
          </w:p>
        </w:tc>
      </w:tr>
      <w:tr w:rsidR="000C5C0A">
        <w:trPr>
          <w:trHeight w:val="310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KLK10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4(12.9)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1(3.0)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0.141 </w:t>
            </w:r>
          </w:p>
        </w:tc>
      </w:tr>
      <w:tr w:rsidR="000C5C0A">
        <w:trPr>
          <w:trHeight w:val="310"/>
          <w:jc w:val="center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SERPINE1</w:t>
            </w:r>
          </w:p>
        </w:tc>
        <w:tc>
          <w:tcPr>
            <w:tcW w:w="2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4(12.9)</w:t>
            </w:r>
          </w:p>
        </w:tc>
        <w:tc>
          <w:tcPr>
            <w:tcW w:w="2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5(15.2)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0.796 </w:t>
            </w:r>
          </w:p>
        </w:tc>
      </w:tr>
      <w:tr w:rsidR="000C5C0A">
        <w:trPr>
          <w:trHeight w:val="325"/>
          <w:jc w:val="center"/>
        </w:trPr>
        <w:tc>
          <w:tcPr>
            <w:tcW w:w="22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lastRenderedPageBreak/>
              <w:t>SMIM32</w:t>
            </w:r>
          </w:p>
        </w:tc>
        <w:tc>
          <w:tcPr>
            <w:tcW w:w="284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0</w:t>
            </w:r>
          </w:p>
        </w:tc>
        <w:tc>
          <w:tcPr>
            <w:tcW w:w="259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>5(15.2)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 w:rsidR="000C5C0A" w:rsidRDefault="00DA4BED">
            <w:pPr>
              <w:jc w:val="both"/>
              <w:textAlignment w:val="center"/>
              <w:rPr>
                <w:rFonts w:eastAsia="宋体" w:cs="Times New Roman"/>
                <w:bCs/>
                <w:color w:val="000000"/>
              </w:rPr>
            </w:pPr>
            <w:r>
              <w:rPr>
                <w:rFonts w:eastAsia="宋体" w:cs="Times New Roman"/>
                <w:bCs/>
                <w:color w:val="000000"/>
                <w:lang w:bidi="ar"/>
              </w:rPr>
              <w:t xml:space="preserve">0.024 </w:t>
            </w:r>
          </w:p>
        </w:tc>
      </w:tr>
      <w:bookmarkEnd w:id="1"/>
    </w:tbl>
    <w:p w:rsidR="000C5C0A" w:rsidRDefault="000C5C0A">
      <w:pPr>
        <w:jc w:val="both"/>
        <w:rPr>
          <w:rFonts w:cs="Times New Roman"/>
          <w:b/>
        </w:rPr>
      </w:pPr>
    </w:p>
    <w:p w:rsidR="000C5C0A" w:rsidRDefault="000C5C0A">
      <w:pPr>
        <w:spacing w:before="240"/>
        <w:jc w:val="both"/>
        <w:rPr>
          <w:rFonts w:cs="Times New Roman"/>
        </w:rPr>
      </w:pPr>
    </w:p>
    <w:sectPr w:rsidR="000C5C0A">
      <w:headerReference w:type="even" r:id="rId14"/>
      <w:footerReference w:type="even" r:id="rId15"/>
      <w:footerReference w:type="default" r:id="rId16"/>
      <w:headerReference w:type="first" r:id="rId1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A4BED" w:rsidRDefault="00DA4BED">
      <w:pPr>
        <w:spacing w:before="0" w:after="0"/>
      </w:pPr>
      <w:r>
        <w:separator/>
      </w:r>
    </w:p>
  </w:endnote>
  <w:endnote w:type="continuationSeparator" w:id="0">
    <w:p w:rsidR="00DA4BED" w:rsidRDefault="00DA4BE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5C0A" w:rsidRDefault="00DA4BED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0C5C0A" w:rsidRDefault="00DA4BED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60288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" filled="f" stroked="f" strokeweight=".5pt">
              <v:textbox style="mso-fit-shape-to-text:t">
                <w:txbxContent>
                  <w:p w:rsidR="000C5C0A" w:rsidRDefault="00DA4BED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5C0A" w:rsidRDefault="00DA4BED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0C5C0A" w:rsidRDefault="00DA4BED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59264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HMe38HgIAAC4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:rsidR="000C5C0A" w:rsidRDefault="00DA4BED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A4BED" w:rsidRDefault="00DA4BED">
      <w:pPr>
        <w:spacing w:before="0" w:after="0"/>
      </w:pPr>
      <w:r>
        <w:separator/>
      </w:r>
    </w:p>
  </w:footnote>
  <w:footnote w:type="continuationSeparator" w:id="0">
    <w:p w:rsidR="00DA4BED" w:rsidRDefault="00DA4BED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5C0A" w:rsidRDefault="00DA4BED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5C0A" w:rsidRDefault="00DA4BED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attachedTemplate r:id="rId1"/>
  <w:defaultTabStop w:val="720"/>
  <w:evenAndOddHeaders/>
  <w:displayHorizontalDrawingGridEvery w:val="0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35DCE"/>
    <w:rsid w:val="00052A14"/>
    <w:rsid w:val="00077D53"/>
    <w:rsid w:val="000C5C0A"/>
    <w:rsid w:val="00105FD9"/>
    <w:rsid w:val="00117666"/>
    <w:rsid w:val="001549D3"/>
    <w:rsid w:val="00160065"/>
    <w:rsid w:val="0017435D"/>
    <w:rsid w:val="00177D84"/>
    <w:rsid w:val="00267D18"/>
    <w:rsid w:val="00274347"/>
    <w:rsid w:val="002868E2"/>
    <w:rsid w:val="002869C3"/>
    <w:rsid w:val="002936E4"/>
    <w:rsid w:val="002950D1"/>
    <w:rsid w:val="002B4A57"/>
    <w:rsid w:val="002C74CA"/>
    <w:rsid w:val="00302631"/>
    <w:rsid w:val="003123F4"/>
    <w:rsid w:val="00331F76"/>
    <w:rsid w:val="003544FB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7146"/>
    <w:rsid w:val="00817DD6"/>
    <w:rsid w:val="0083759F"/>
    <w:rsid w:val="00885156"/>
    <w:rsid w:val="008C5D33"/>
    <w:rsid w:val="009151AA"/>
    <w:rsid w:val="0093429D"/>
    <w:rsid w:val="00943573"/>
    <w:rsid w:val="00964134"/>
    <w:rsid w:val="00970F7D"/>
    <w:rsid w:val="00994A3D"/>
    <w:rsid w:val="009C2B12"/>
    <w:rsid w:val="00A174D9"/>
    <w:rsid w:val="00A34417"/>
    <w:rsid w:val="00A425D0"/>
    <w:rsid w:val="00AA4D24"/>
    <w:rsid w:val="00AB6715"/>
    <w:rsid w:val="00B1671E"/>
    <w:rsid w:val="00B25EB8"/>
    <w:rsid w:val="00B37F4D"/>
    <w:rsid w:val="00BE1B54"/>
    <w:rsid w:val="00BF3DEC"/>
    <w:rsid w:val="00C029FE"/>
    <w:rsid w:val="00C52A7B"/>
    <w:rsid w:val="00C56BAF"/>
    <w:rsid w:val="00C679AA"/>
    <w:rsid w:val="00C75972"/>
    <w:rsid w:val="00CD066B"/>
    <w:rsid w:val="00CE4FEE"/>
    <w:rsid w:val="00D060CF"/>
    <w:rsid w:val="00DA4BED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ED3355"/>
    <w:rsid w:val="00F135CE"/>
    <w:rsid w:val="00F31568"/>
    <w:rsid w:val="00F36304"/>
    <w:rsid w:val="00F422EC"/>
    <w:rsid w:val="00F46900"/>
    <w:rsid w:val="00F61D89"/>
    <w:rsid w:val="020520C9"/>
    <w:rsid w:val="02125AAD"/>
    <w:rsid w:val="03055182"/>
    <w:rsid w:val="035A505D"/>
    <w:rsid w:val="05193053"/>
    <w:rsid w:val="05D94767"/>
    <w:rsid w:val="08096D9F"/>
    <w:rsid w:val="09B404BC"/>
    <w:rsid w:val="0C591609"/>
    <w:rsid w:val="0D5F08F3"/>
    <w:rsid w:val="0E142E89"/>
    <w:rsid w:val="12021E15"/>
    <w:rsid w:val="125A3EEB"/>
    <w:rsid w:val="176508B6"/>
    <w:rsid w:val="18420D4D"/>
    <w:rsid w:val="1A2F0297"/>
    <w:rsid w:val="1C9B4196"/>
    <w:rsid w:val="1E540660"/>
    <w:rsid w:val="20A71A64"/>
    <w:rsid w:val="256535C2"/>
    <w:rsid w:val="26CE3A21"/>
    <w:rsid w:val="2B537512"/>
    <w:rsid w:val="2E512531"/>
    <w:rsid w:val="2FC955B8"/>
    <w:rsid w:val="30847598"/>
    <w:rsid w:val="30F31CCB"/>
    <w:rsid w:val="32EE418F"/>
    <w:rsid w:val="34AB1798"/>
    <w:rsid w:val="34C370B0"/>
    <w:rsid w:val="3B736735"/>
    <w:rsid w:val="3CE31BEE"/>
    <w:rsid w:val="3DA93971"/>
    <w:rsid w:val="49E76A89"/>
    <w:rsid w:val="4A32257B"/>
    <w:rsid w:val="4CE810EA"/>
    <w:rsid w:val="4D143A6D"/>
    <w:rsid w:val="4D9F3023"/>
    <w:rsid w:val="51187C5C"/>
    <w:rsid w:val="513B388E"/>
    <w:rsid w:val="5186074B"/>
    <w:rsid w:val="51BA3641"/>
    <w:rsid w:val="52C32120"/>
    <w:rsid w:val="55955DAE"/>
    <w:rsid w:val="588D3039"/>
    <w:rsid w:val="591D4BA3"/>
    <w:rsid w:val="59AF406D"/>
    <w:rsid w:val="5B205900"/>
    <w:rsid w:val="5DED778C"/>
    <w:rsid w:val="5DF64B5D"/>
    <w:rsid w:val="604632A3"/>
    <w:rsid w:val="66075382"/>
    <w:rsid w:val="66F178B4"/>
    <w:rsid w:val="69DD0D1C"/>
    <w:rsid w:val="6ABB55C7"/>
    <w:rsid w:val="6BAE63DD"/>
    <w:rsid w:val="6E6C4D02"/>
    <w:rsid w:val="732B5441"/>
    <w:rsid w:val="7399568A"/>
    <w:rsid w:val="76DD27E1"/>
    <w:rsid w:val="771C2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899D84F"/>
  <w15:docId w15:val="{9DA91F1A-1DF9-4369-8D24-4AAC58F4D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pPr>
      <w:spacing w:before="120" w:after="240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0"/>
    <w:link w:val="10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eastAsiaTheme="minorHAnsi" w:cstheme="minorBidi"/>
      <w:sz w:val="24"/>
      <w:szCs w:val="22"/>
      <w:lang w:eastAsia="en-US"/>
    </w:rPr>
  </w:style>
  <w:style w:type="paragraph" w:styleId="a6">
    <w:name w:val="annotation text"/>
    <w:basedOn w:val="a0"/>
    <w:link w:val="a7"/>
    <w:uiPriority w:val="99"/>
    <w:semiHidden/>
    <w:unhideWhenUsed/>
    <w:qFormat/>
    <w:rPr>
      <w:sz w:val="20"/>
      <w:szCs w:val="20"/>
    </w:rPr>
  </w:style>
  <w:style w:type="paragraph" w:styleId="a8">
    <w:name w:val="endnote text"/>
    <w:basedOn w:val="a0"/>
    <w:link w:val="a9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a">
    <w:name w:val="Balloon Text"/>
    <w:basedOn w:val="a0"/>
    <w:link w:val="ab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ac">
    <w:name w:val="footer"/>
    <w:basedOn w:val="a0"/>
    <w:link w:val="ad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ae">
    <w:name w:val="header"/>
    <w:basedOn w:val="a0"/>
    <w:link w:val="af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af0">
    <w:name w:val="Subtitle"/>
    <w:basedOn w:val="a0"/>
    <w:next w:val="a0"/>
    <w:link w:val="af1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f2">
    <w:name w:val="footnote text"/>
    <w:basedOn w:val="a0"/>
    <w:link w:val="af3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f4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5">
    <w:name w:val="Title"/>
    <w:basedOn w:val="a0"/>
    <w:next w:val="a0"/>
    <w:link w:val="af6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7">
    <w:name w:val="annotation subject"/>
    <w:basedOn w:val="a6"/>
    <w:next w:val="a6"/>
    <w:link w:val="af8"/>
    <w:uiPriority w:val="99"/>
    <w:semiHidden/>
    <w:unhideWhenUsed/>
    <w:qFormat/>
    <w:rPr>
      <w:b/>
      <w:bCs/>
    </w:rPr>
  </w:style>
  <w:style w:type="table" w:styleId="af9">
    <w:name w:val="Table Grid"/>
    <w:basedOn w:val="a2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b">
    <w:name w:val="endnote reference"/>
    <w:basedOn w:val="a1"/>
    <w:uiPriority w:val="99"/>
    <w:semiHidden/>
    <w:unhideWhenUsed/>
    <w:qFormat/>
    <w:rPr>
      <w:vertAlign w:val="superscript"/>
    </w:rPr>
  </w:style>
  <w:style w:type="character" w:styleId="afc">
    <w:name w:val="FollowedHyperlink"/>
    <w:basedOn w:val="a1"/>
    <w:uiPriority w:val="99"/>
    <w:semiHidden/>
    <w:unhideWhenUsed/>
    <w:qFormat/>
    <w:rPr>
      <w:color w:val="800080" w:themeColor="followedHyperlink"/>
      <w:u w:val="single"/>
    </w:rPr>
  </w:style>
  <w:style w:type="character" w:styleId="afd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e">
    <w:name w:val="line number"/>
    <w:basedOn w:val="a1"/>
    <w:uiPriority w:val="99"/>
    <w:semiHidden/>
    <w:unhideWhenUsed/>
    <w:qFormat/>
  </w:style>
  <w:style w:type="character" w:styleId="aff">
    <w:name w:val="Hyperlink"/>
    <w:basedOn w:val="a1"/>
    <w:uiPriority w:val="99"/>
    <w:unhideWhenUsed/>
    <w:qFormat/>
    <w:rPr>
      <w:color w:val="0000FF"/>
      <w:u w:val="single"/>
    </w:rPr>
  </w:style>
  <w:style w:type="character" w:styleId="aff0">
    <w:name w:val="annotation reference"/>
    <w:basedOn w:val="a1"/>
    <w:uiPriority w:val="99"/>
    <w:semiHidden/>
    <w:unhideWhenUsed/>
    <w:qFormat/>
    <w:rPr>
      <w:sz w:val="16"/>
      <w:szCs w:val="16"/>
    </w:rPr>
  </w:style>
  <w:style w:type="character" w:styleId="aff1">
    <w:name w:val="footnote reference"/>
    <w:basedOn w:val="a1"/>
    <w:uiPriority w:val="99"/>
    <w:semiHidden/>
    <w:unhideWhenUsed/>
    <w:qFormat/>
    <w:rPr>
      <w:vertAlign w:val="superscript"/>
    </w:rPr>
  </w:style>
  <w:style w:type="character" w:customStyle="1" w:styleId="10">
    <w:name w:val="标题 1 字符"/>
    <w:basedOn w:val="a1"/>
    <w:link w:val="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af1">
    <w:name w:val="副标题 字符"/>
    <w:basedOn w:val="a1"/>
    <w:link w:val="af0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f0"/>
    <w:next w:val="a0"/>
    <w:uiPriority w:val="1"/>
    <w:qFormat/>
  </w:style>
  <w:style w:type="character" w:customStyle="1" w:styleId="ab">
    <w:name w:val="批注框文本 字符"/>
    <w:basedOn w:val="a1"/>
    <w:link w:val="aa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1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a7">
    <w:name w:val="批注文字 字符"/>
    <w:basedOn w:val="a1"/>
    <w:link w:val="a6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f8">
    <w:name w:val="批注主题 字符"/>
    <w:basedOn w:val="a7"/>
    <w:link w:val="af7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a9">
    <w:name w:val="尾注文本 字符"/>
    <w:basedOn w:val="a1"/>
    <w:link w:val="a8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d">
    <w:name w:val="页脚 字符"/>
    <w:basedOn w:val="a1"/>
    <w:link w:val="ac"/>
    <w:uiPriority w:val="99"/>
    <w:qFormat/>
    <w:rPr>
      <w:rFonts w:ascii="Times New Roman" w:hAnsi="Times New Roman"/>
      <w:sz w:val="24"/>
    </w:rPr>
  </w:style>
  <w:style w:type="character" w:customStyle="1" w:styleId="af3">
    <w:name w:val="脚注文本 字符"/>
    <w:basedOn w:val="a1"/>
    <w:link w:val="af2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f">
    <w:name w:val="页眉 字符"/>
    <w:basedOn w:val="a1"/>
    <w:link w:val="ae"/>
    <w:uiPriority w:val="99"/>
    <w:qFormat/>
    <w:rPr>
      <w:rFonts w:ascii="Times New Roman" w:hAnsi="Times New Roman"/>
      <w:b/>
      <w:sz w:val="24"/>
    </w:rPr>
  </w:style>
  <w:style w:type="character" w:customStyle="1" w:styleId="12">
    <w:name w:val="明显强调1"/>
    <w:basedOn w:val="a1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13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0">
    <w:name w:val="标题 3 字符"/>
    <w:basedOn w:val="a1"/>
    <w:link w:val="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2">
    <w:name w:val="Quote"/>
    <w:basedOn w:val="a0"/>
    <w:next w:val="a0"/>
    <w:link w:val="aff3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3">
    <w:name w:val="引用 字符"/>
    <w:basedOn w:val="a1"/>
    <w:link w:val="aff2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4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af6">
    <w:name w:val="标题 字符"/>
    <w:basedOn w:val="a1"/>
    <w:link w:val="af5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5"/>
    <w:next w:val="af5"/>
    <w:qFormat/>
    <w:pPr>
      <w:spacing w:after="120"/>
    </w:pPr>
    <w:rPr>
      <w:i/>
    </w:rPr>
  </w:style>
  <w:style w:type="character" w:customStyle="1" w:styleId="font11">
    <w:name w:val="font11"/>
    <w:basedOn w:val="a1"/>
    <w:qFormat/>
    <w:rPr>
      <w:rFonts w:ascii="Times New Roman" w:hAnsi="Times New Roman" w:cs="Times New Roman" w:hint="default"/>
      <w:color w:val="242021"/>
      <w:sz w:val="24"/>
      <w:szCs w:val="24"/>
      <w:u w:val="none"/>
    </w:rPr>
  </w:style>
  <w:style w:type="character" w:customStyle="1" w:styleId="font21">
    <w:name w:val="font21"/>
    <w:basedOn w:val="a1"/>
    <w:qFormat/>
    <w:rPr>
      <w:rFonts w:ascii="Times New Roman" w:hAnsi="Times New Roman" w:cs="Times New Roman" w:hint="default"/>
      <w:color w:val="000000"/>
      <w:sz w:val="24"/>
      <w:szCs w:val="24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9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1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CAD060A-E075-4B65-9C7A-4CB1728631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10</TotalTime>
  <Pages>9</Pages>
  <Words>622</Words>
  <Characters>3552</Characters>
  <Application>Microsoft Office Word</Application>
  <DocSecurity>0</DocSecurity>
  <Lines>29</Lines>
  <Paragraphs>8</Paragraphs>
  <ScaleCrop>false</ScaleCrop>
  <Company/>
  <LinksUpToDate>false</LinksUpToDate>
  <CharactersWithSpaces>4166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Dong Yinlei</cp:lastModifiedBy>
  <cp:revision>18</cp:revision>
  <cp:lastPrinted>2013-10-03T12:51:00Z</cp:lastPrinted>
  <dcterms:created xsi:type="dcterms:W3CDTF">2018-11-23T08:58:00Z</dcterms:created>
  <dcterms:modified xsi:type="dcterms:W3CDTF">2021-06-10T09:14:00Z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3FCB442F468648798B215F952AD68AFE</vt:lpwstr>
  </property>
</Properties>
</file>