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sz w:val="24"/>
          <w:szCs w:val="24"/>
          <w:lang w:val="en-US" w:eastAsia="zh-CN"/>
        </w:rPr>
        <w:t>Table S1. Summary of mice used in the present study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8"/>
        <w:gridCol w:w="730"/>
        <w:gridCol w:w="3933"/>
        <w:gridCol w:w="675"/>
        <w:gridCol w:w="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>
              <w:rPr>
                <w:rFonts w:hint="eastAsia" w:ascii="Times New Roman" w:hAnsi="Times New Roman" w:cs="Times New Roman"/>
                <w:lang w:eastAsia="zh-CN"/>
              </w:rPr>
              <w:instrText xml:space="preserve">ADDIN CNKISM.UserStyle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>Group of mice</w:t>
            </w: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SN</w:t>
            </w:r>
          </w:p>
        </w:tc>
        <w:tc>
          <w:tcPr>
            <w:tcW w:w="3933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OVXN</w:t>
            </w:r>
          </w:p>
        </w:tc>
        <w:tc>
          <w:tcPr>
            <w:tcW w:w="675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SH</w:t>
            </w:r>
          </w:p>
        </w:tc>
        <w:tc>
          <w:tcPr>
            <w:tcW w:w="856" w:type="dxa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OVXH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Numbers of mice</w:t>
            </w:r>
          </w:p>
        </w:tc>
        <w:tc>
          <w:tcPr>
            <w:tcW w:w="730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3933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675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856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Histological staining</w:t>
            </w:r>
          </w:p>
        </w:tc>
        <w:tc>
          <w:tcPr>
            <w:tcW w:w="73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933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675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56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Transcriptome analysis</w:t>
            </w:r>
          </w:p>
        </w:tc>
        <w:tc>
          <w:tcPr>
            <w:tcW w:w="730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3933" w:type="dxa"/>
            <w:vAlign w:val="top"/>
          </w:tcPr>
          <w:p>
            <w:pPr>
              <w:tabs>
                <w:tab w:val="right" w:pos="2831"/>
              </w:tabs>
              <w:ind w:firstLine="210" w:firstLineChars="100"/>
              <w:jc w:val="center"/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for OVXN-Gly</w:t>
            </w:r>
          </w:p>
          <w:p>
            <w:pPr>
              <w:ind w:firstLine="210" w:firstLineChars="100"/>
              <w:jc w:val="center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3 for OVXN-TG</w:t>
            </w:r>
          </w:p>
        </w:tc>
        <w:tc>
          <w:tcPr>
            <w:tcW w:w="67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5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qRT-PCR</w:t>
            </w:r>
          </w:p>
        </w:tc>
        <w:tc>
          <w:tcPr>
            <w:tcW w:w="730" w:type="dxa"/>
            <w:vAlign w:val="top"/>
          </w:tcPr>
          <w:p>
            <w:pPr>
              <w:spacing w:line="36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3933" w:type="dxa"/>
            <w:vAlign w:val="top"/>
          </w:tcPr>
          <w:p>
            <w:pPr>
              <w:tabs>
                <w:tab w:val="right" w:pos="283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for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OVXN-Gly</w:t>
            </w:r>
          </w:p>
          <w:p>
            <w:pPr>
              <w:tabs>
                <w:tab w:val="right" w:pos="2831"/>
              </w:tabs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(Repeat twice)</w:t>
            </w:r>
          </w:p>
          <w:p>
            <w:pPr>
              <w:tabs>
                <w:tab w:val="right" w:pos="2831"/>
              </w:tabs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for OVXN-TG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</w:t>
            </w: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Repeat twice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67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85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Western blot</w:t>
            </w:r>
          </w:p>
        </w:tc>
        <w:tc>
          <w:tcPr>
            <w:tcW w:w="730" w:type="dxa"/>
            <w:vAlign w:val="top"/>
          </w:tcPr>
          <w:p>
            <w:pPr>
              <w:spacing w:line="48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3933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 for OVXN-Gly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(Repeat twice)</w:t>
            </w:r>
          </w:p>
          <w:p>
            <w:pPr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for OVXN-TG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(One sample was rep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ea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ted)</w:t>
            </w:r>
          </w:p>
        </w:tc>
        <w:tc>
          <w:tcPr>
            <w:tcW w:w="675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856" w:type="dxa"/>
            <w:vAlign w:val="top"/>
          </w:tcPr>
          <w:p>
            <w:pPr>
              <w:spacing w:line="480" w:lineRule="auto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28" w:type="dxa"/>
            <w:vAlign w:val="top"/>
          </w:tcPr>
          <w:p>
            <w:pPr>
              <w:spacing w:line="360" w:lineRule="auto"/>
              <w:rPr>
                <w:vertAlign w:val="baseline"/>
              </w:rPr>
            </w:pPr>
            <w:r>
              <w:rPr>
                <w:rFonts w:ascii="Times New Roman" w:hAnsi="Times New Roman" w:cs="Times New Roman"/>
              </w:rPr>
              <w:t>16S rDNA gene analysis</w:t>
            </w:r>
          </w:p>
        </w:tc>
        <w:tc>
          <w:tcPr>
            <w:tcW w:w="730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3933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675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856" w:type="dxa"/>
            <w:vAlign w:val="top"/>
          </w:tcPr>
          <w:p>
            <w:pPr>
              <w:spacing w:line="360" w:lineRule="auto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E226F"/>
    <w:rsid w:val="03C90883"/>
    <w:rsid w:val="233E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浅色底纹 - 着色 1"/>
    <w:basedOn w:val="2"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Calibri" w:cs="Times New Roman"/>
      <w:color w:val="2F5496"/>
      <w:sz w:val="22"/>
      <w:szCs w:val="20"/>
    </w:rPr>
    <w:tblPr>
      <w:tblBorders>
        <w:top w:val="single" w:color="4472C4" w:sz="8" w:space="0"/>
        <w:bottom w:val="single" w:color="4472C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4472C4" w:sz="8" w:space="0"/>
        <w:left w:val="nil"/>
        <w:bottom w:val="single" w:color="4472C4" w:sz="8" w:space="0"/>
        <w:right w:val="nil"/>
      </w:tcBorders>
    </w:tcPr>
    <w:tblStylePr w:type="firstRow">
      <w:pPr>
        <w:spacing w:before="0" w:beforeAutospacing="0" w:after="0" w:afterAutospacing="0" w:line="240" w:lineRule="auto"/>
      </w:pPr>
      <w:rPr>
        <w:b/>
        <w:bCs/>
      </w:rPr>
      <w:tcPr>
        <w:tcBorders>
          <w:top w:val="single" w:color="4472C4" w:sz="8" w:space="0"/>
          <w:left w:val="nil"/>
          <w:bottom w:val="single" w:color="4472C4" w:sz="8" w:space="0"/>
          <w:right w:val="nil"/>
        </w:tcBorders>
      </w:tcPr>
    </w:tblStylePr>
    <w:tblStylePr w:type="lastRow">
      <w:pPr>
        <w:spacing w:before="0" w:beforeAutospacing="0" w:after="0" w:afterAutospacing="0" w:line="240" w:lineRule="auto"/>
      </w:pPr>
      <w:rPr>
        <w:b/>
        <w:bCs/>
      </w:rPr>
      <w:tcPr>
        <w:tcBorders>
          <w:top w:val="single" w:color="4472C4" w:sz="8" w:space="0"/>
          <w:left w:val="nil"/>
          <w:bottom w:val="single" w:color="4472C4" w:sz="8" w:space="0"/>
          <w:right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</w:tcBorders>
        <w:shd w:val="clear" w:color="auto" w:fill="D0DBF0"/>
      </w:tcPr>
    </w:tblStylePr>
    <w:tblStylePr w:type="band1Horz">
      <w:tcPr>
        <w:tcBorders>
          <w:left w:val="nil"/>
          <w:right w:val="nil"/>
        </w:tcBorders>
        <w:shd w:val="clear" w:color="auto" w:fill="D0DBF0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2021-06-09T15:25:00Z</dcterms:created>
  <dc:creator>1</dc:creator>
  <cp:lastModifiedBy>1</cp:lastModifiedBy>
  <dcterms:modified xsi:type="dcterms:W3CDTF">2021-06-09T15:52:07Z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41E58FE42ECE4F3F89F141CD910BB01B</vt:lpwstr>
  </property>
</Properties>
</file>