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F9AAC" w14:textId="77777777" w:rsidR="0017350D" w:rsidRDefault="0017350D" w:rsidP="0017350D">
      <w:pPr>
        <w:spacing w:line="480" w:lineRule="auto"/>
        <w:rPr>
          <w:rFonts w:ascii="Arial" w:hAnsi="Arial" w:cs="Arial"/>
          <w:b/>
          <w:szCs w:val="22"/>
        </w:rPr>
      </w:pPr>
      <w:bookmarkStart w:id="0" w:name="_Hlk67378494"/>
      <w:r>
        <w:rPr>
          <w:rFonts w:ascii="Arial" w:hAnsi="Arial" w:cs="Arial"/>
          <w:b/>
          <w:szCs w:val="22"/>
        </w:rPr>
        <w:t>Complement plays a critical role in inflammation-induced immunoprophylaxis failure in mice</w:t>
      </w:r>
    </w:p>
    <w:bookmarkEnd w:id="0"/>
    <w:p w14:paraId="519D685D" w14:textId="77777777" w:rsidR="0017350D" w:rsidRDefault="0017350D" w:rsidP="0017350D">
      <w:pPr>
        <w:spacing w:line="480" w:lineRule="auto"/>
        <w:rPr>
          <w:rFonts w:ascii="Arial" w:hAnsi="Arial" w:cs="Arial"/>
          <w:b/>
          <w:szCs w:val="22"/>
        </w:rPr>
      </w:pPr>
    </w:p>
    <w:p w14:paraId="1EB99440" w14:textId="77777777" w:rsidR="0017350D" w:rsidRPr="00DC35C6" w:rsidRDefault="0017350D" w:rsidP="0017350D">
      <w:pPr>
        <w:spacing w:line="480" w:lineRule="auto"/>
        <w:rPr>
          <w:rFonts w:ascii="Arial" w:hAnsi="Arial" w:cs="Arial"/>
          <w:sz w:val="22"/>
          <w:szCs w:val="22"/>
        </w:rPr>
      </w:pPr>
      <w:bookmarkStart w:id="1" w:name="_Hlk67378642"/>
    </w:p>
    <w:p w14:paraId="50791FBC" w14:textId="77777777" w:rsidR="0017350D" w:rsidRDefault="0017350D" w:rsidP="0017350D">
      <w:pPr>
        <w:spacing w:line="480" w:lineRule="auto"/>
        <w:rPr>
          <w:rFonts w:ascii="Arial" w:hAnsi="Arial" w:cs="Arial"/>
          <w:sz w:val="22"/>
          <w:szCs w:val="22"/>
          <w:vertAlign w:val="superscript"/>
        </w:rPr>
      </w:pPr>
      <w:r w:rsidRPr="00DC35C6">
        <w:rPr>
          <w:rFonts w:ascii="Arial" w:hAnsi="Arial" w:cs="Arial"/>
          <w:sz w:val="22"/>
          <w:szCs w:val="22"/>
        </w:rPr>
        <w:t>Vicente Escamilla-Rivera</w:t>
      </w:r>
      <w:r w:rsidRPr="00DC35C6">
        <w:rPr>
          <w:rFonts w:ascii="Arial" w:hAnsi="Arial" w:cs="Arial"/>
          <w:sz w:val="22"/>
          <w:szCs w:val="22"/>
          <w:vertAlign w:val="superscript"/>
        </w:rPr>
        <w:t>1</w:t>
      </w:r>
      <w:r w:rsidRPr="00DC35C6">
        <w:rPr>
          <w:rFonts w:ascii="Arial" w:hAnsi="Arial" w:cs="Arial"/>
          <w:sz w:val="22"/>
          <w:szCs w:val="22"/>
        </w:rPr>
        <w:t>, Manjula Santhanakrishnan</w:t>
      </w:r>
      <w:r w:rsidRPr="00DC35C6">
        <w:rPr>
          <w:rFonts w:ascii="Arial" w:hAnsi="Arial" w:cs="Arial"/>
          <w:sz w:val="22"/>
          <w:szCs w:val="22"/>
          <w:vertAlign w:val="superscript"/>
        </w:rPr>
        <w:t>1</w:t>
      </w:r>
      <w:r w:rsidRPr="00DC35C6">
        <w:rPr>
          <w:rFonts w:ascii="Arial" w:hAnsi="Arial" w:cs="Arial"/>
          <w:sz w:val="22"/>
          <w:szCs w:val="22"/>
        </w:rPr>
        <w:t>, Jingchun Liu</w:t>
      </w:r>
      <w:r w:rsidRPr="00DC35C6">
        <w:rPr>
          <w:rFonts w:ascii="Arial" w:hAnsi="Arial" w:cs="Arial"/>
          <w:sz w:val="22"/>
          <w:szCs w:val="22"/>
          <w:vertAlign w:val="superscript"/>
        </w:rPr>
        <w:t>1</w:t>
      </w:r>
      <w:r w:rsidRPr="00DC35C6">
        <w:rPr>
          <w:rFonts w:ascii="Arial" w:hAnsi="Arial" w:cs="Arial"/>
          <w:sz w:val="22"/>
          <w:szCs w:val="22"/>
        </w:rPr>
        <w:t>, David R. Gibb</w:t>
      </w:r>
      <w:r w:rsidRPr="00DC35C6">
        <w:rPr>
          <w:rFonts w:ascii="Arial" w:hAnsi="Arial" w:cs="Arial"/>
          <w:sz w:val="22"/>
          <w:szCs w:val="22"/>
          <w:vertAlign w:val="superscript"/>
        </w:rPr>
        <w:t>2</w:t>
      </w:r>
      <w:r w:rsidRPr="00DC35C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James E. Forsmo</w:t>
      </w:r>
      <w:r w:rsidRPr="000F3FC4">
        <w:rPr>
          <w:rFonts w:ascii="Arial" w:hAnsi="Arial" w:cs="Arial"/>
          <w:sz w:val="22"/>
          <w:szCs w:val="22"/>
          <w:vertAlign w:val="superscript"/>
        </w:rPr>
        <w:t>1</w:t>
      </w:r>
      <w:r>
        <w:rPr>
          <w:rFonts w:ascii="Arial" w:hAnsi="Arial" w:cs="Arial"/>
          <w:sz w:val="22"/>
          <w:szCs w:val="22"/>
          <w:vertAlign w:val="superscript"/>
        </w:rPr>
        <w:t>,3</w:t>
      </w:r>
      <w:r>
        <w:rPr>
          <w:rFonts w:ascii="Arial" w:hAnsi="Arial" w:cs="Arial"/>
          <w:sz w:val="22"/>
          <w:szCs w:val="22"/>
        </w:rPr>
        <w:t>, Ellen F. Foxman</w:t>
      </w:r>
      <w:r>
        <w:rPr>
          <w:rFonts w:ascii="Arial" w:hAnsi="Arial" w:cs="Arial"/>
          <w:sz w:val="22"/>
          <w:szCs w:val="22"/>
          <w:vertAlign w:val="superscript"/>
        </w:rPr>
        <w:t>1,4</w:t>
      </w:r>
      <w:r>
        <w:rPr>
          <w:rFonts w:ascii="Arial" w:hAnsi="Arial" w:cs="Arial"/>
          <w:sz w:val="22"/>
          <w:szCs w:val="22"/>
        </w:rPr>
        <w:t xml:space="preserve">, </w:t>
      </w:r>
      <w:r w:rsidRPr="00DC35C6">
        <w:rPr>
          <w:rFonts w:ascii="Arial" w:hAnsi="Arial" w:cs="Arial"/>
          <w:sz w:val="22"/>
          <w:szCs w:val="22"/>
        </w:rPr>
        <w:t>Stephanie C. Eisenbarth</w:t>
      </w:r>
      <w:r>
        <w:rPr>
          <w:rFonts w:ascii="Arial" w:hAnsi="Arial" w:cs="Arial"/>
          <w:sz w:val="22"/>
          <w:szCs w:val="22"/>
          <w:vertAlign w:val="superscript"/>
        </w:rPr>
        <w:t>1,4</w:t>
      </w:r>
      <w:r w:rsidRPr="00DC35C6">
        <w:rPr>
          <w:rFonts w:ascii="Arial" w:hAnsi="Arial" w:cs="Arial"/>
          <w:sz w:val="22"/>
          <w:szCs w:val="22"/>
        </w:rPr>
        <w:t>, C. John Luckey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 w:rsidRPr="00DC35C6">
        <w:rPr>
          <w:rFonts w:ascii="Arial" w:hAnsi="Arial" w:cs="Arial"/>
          <w:sz w:val="22"/>
          <w:szCs w:val="22"/>
        </w:rPr>
        <w:t>, James C. Zimring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 w:rsidRPr="00DC35C6">
        <w:rPr>
          <w:rFonts w:ascii="Arial" w:hAnsi="Arial" w:cs="Arial"/>
          <w:sz w:val="22"/>
          <w:szCs w:val="22"/>
        </w:rPr>
        <w:t>, Krystalyn E. Hudson</w:t>
      </w:r>
      <w:r>
        <w:rPr>
          <w:rFonts w:ascii="Arial" w:hAnsi="Arial" w:cs="Arial"/>
          <w:sz w:val="22"/>
          <w:szCs w:val="22"/>
          <w:vertAlign w:val="superscript"/>
        </w:rPr>
        <w:t>6</w:t>
      </w:r>
      <w:r w:rsidRPr="00DC35C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Sean R. Stowell</w:t>
      </w:r>
      <w:r>
        <w:rPr>
          <w:rFonts w:ascii="Arial" w:hAnsi="Arial" w:cs="Arial"/>
          <w:sz w:val="22"/>
          <w:szCs w:val="22"/>
          <w:vertAlign w:val="superscript"/>
        </w:rPr>
        <w:t>7,8</w:t>
      </w:r>
      <w:r>
        <w:rPr>
          <w:rFonts w:ascii="Arial" w:hAnsi="Arial" w:cs="Arial"/>
          <w:sz w:val="22"/>
          <w:szCs w:val="22"/>
        </w:rPr>
        <w:t xml:space="preserve">, </w:t>
      </w:r>
      <w:r w:rsidRPr="00DC35C6">
        <w:rPr>
          <w:rFonts w:ascii="Arial" w:hAnsi="Arial" w:cs="Arial"/>
          <w:sz w:val="22"/>
          <w:szCs w:val="22"/>
        </w:rPr>
        <w:t>and Jeanne E. Hendrickson</w:t>
      </w:r>
      <w:r w:rsidRPr="00DC35C6">
        <w:rPr>
          <w:rFonts w:ascii="Arial" w:hAnsi="Arial" w:cs="Arial"/>
          <w:sz w:val="22"/>
          <w:szCs w:val="22"/>
          <w:vertAlign w:val="superscript"/>
        </w:rPr>
        <w:t>1,</w:t>
      </w:r>
      <w:r>
        <w:rPr>
          <w:rFonts w:ascii="Arial" w:hAnsi="Arial" w:cs="Arial"/>
          <w:sz w:val="22"/>
          <w:szCs w:val="22"/>
          <w:vertAlign w:val="superscript"/>
        </w:rPr>
        <w:t>9</w:t>
      </w:r>
    </w:p>
    <w:p w14:paraId="51C349E2" w14:textId="77777777" w:rsidR="004702D5" w:rsidRDefault="004702D5" w:rsidP="0017350D">
      <w:pPr>
        <w:spacing w:line="480" w:lineRule="auto"/>
        <w:rPr>
          <w:rFonts w:ascii="Arial" w:hAnsi="Arial" w:cs="Arial"/>
          <w:sz w:val="22"/>
          <w:szCs w:val="22"/>
          <w:vertAlign w:val="superscript"/>
        </w:rPr>
      </w:pPr>
    </w:p>
    <w:p w14:paraId="4BF65418" w14:textId="77777777" w:rsidR="004702D5" w:rsidRPr="00DC35C6" w:rsidRDefault="004702D5" w:rsidP="0017350D">
      <w:pPr>
        <w:spacing w:line="480" w:lineRule="auto"/>
        <w:rPr>
          <w:rFonts w:ascii="Arial" w:hAnsi="Arial" w:cs="Arial"/>
          <w:sz w:val="22"/>
          <w:szCs w:val="22"/>
          <w:vertAlign w:val="superscript"/>
        </w:rPr>
      </w:pPr>
    </w:p>
    <w:bookmarkEnd w:id="1"/>
    <w:p w14:paraId="4404F343" w14:textId="77777777" w:rsidR="004702D5" w:rsidRDefault="004702D5" w:rsidP="004702D5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</w:rPr>
      </w:pPr>
      <w:r w:rsidRPr="00DC35C6">
        <w:rPr>
          <w:rFonts w:ascii="Arial" w:hAnsi="Arial" w:cs="Arial"/>
        </w:rPr>
        <w:t>Yale University School of Medicine, Department of Laboratory Medicine, New Haven, CT</w:t>
      </w:r>
    </w:p>
    <w:p w14:paraId="0CF52351" w14:textId="77777777" w:rsidR="004702D5" w:rsidRDefault="004702D5" w:rsidP="004702D5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</w:rPr>
      </w:pPr>
      <w:r w:rsidRPr="00DC35C6">
        <w:rPr>
          <w:rFonts w:ascii="Arial" w:hAnsi="Arial" w:cs="Arial"/>
        </w:rPr>
        <w:t>Cedars-Sinai Medical Center, Department of Pathology &amp; Laboratory Medicine, Los Angeles, CA</w:t>
      </w:r>
    </w:p>
    <w:p w14:paraId="335882F7" w14:textId="77777777" w:rsidR="004702D5" w:rsidRDefault="004702D5" w:rsidP="004702D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91539">
        <w:rPr>
          <w:rFonts w:ascii="Arial" w:hAnsi="Arial" w:cs="Arial"/>
        </w:rPr>
        <w:t>Georgia Institute of Technology, Department of Bio</w:t>
      </w:r>
      <w:r>
        <w:rPr>
          <w:rFonts w:ascii="Arial" w:hAnsi="Arial" w:cs="Arial"/>
        </w:rPr>
        <w:t>medical Engineering, Atlanta, GA</w:t>
      </w:r>
    </w:p>
    <w:p w14:paraId="65A4FB78" w14:textId="77777777" w:rsidR="004702D5" w:rsidRPr="00A91539" w:rsidRDefault="004702D5" w:rsidP="004702D5">
      <w:pPr>
        <w:pStyle w:val="ListParagraph"/>
        <w:ind w:left="360"/>
        <w:rPr>
          <w:rFonts w:ascii="Arial" w:hAnsi="Arial" w:cs="Arial"/>
        </w:rPr>
      </w:pPr>
    </w:p>
    <w:p w14:paraId="05501E36" w14:textId="77777777" w:rsidR="004702D5" w:rsidRDefault="004702D5" w:rsidP="004702D5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</w:rPr>
      </w:pPr>
      <w:r w:rsidRPr="00DC35C6">
        <w:rPr>
          <w:rFonts w:ascii="Arial" w:hAnsi="Arial" w:cs="Arial"/>
        </w:rPr>
        <w:t>Yale University School of Medicine, Department of Immunobiology, New Haven, CT</w:t>
      </w:r>
    </w:p>
    <w:p w14:paraId="6DA3BB81" w14:textId="77777777" w:rsidR="004702D5" w:rsidRPr="000F3FC4" w:rsidRDefault="004702D5" w:rsidP="004702D5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University of Virginia, Department of Pathology, Charlottesville, VA</w:t>
      </w:r>
    </w:p>
    <w:p w14:paraId="3D5D456A" w14:textId="77777777" w:rsidR="004702D5" w:rsidRDefault="004702D5" w:rsidP="004702D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C35C6">
        <w:rPr>
          <w:rFonts w:ascii="Arial" w:hAnsi="Arial" w:cs="Arial"/>
        </w:rPr>
        <w:t>Columbia University Irving Medical Center, Department of Pathology and Cell Biology, New York, NY</w:t>
      </w:r>
    </w:p>
    <w:p w14:paraId="3E3CCF98" w14:textId="77777777" w:rsidR="004702D5" w:rsidRPr="000F3FC4" w:rsidRDefault="004702D5" w:rsidP="004702D5">
      <w:pPr>
        <w:pStyle w:val="ListParagraph"/>
        <w:ind w:left="360"/>
        <w:rPr>
          <w:rFonts w:ascii="Arial" w:hAnsi="Arial" w:cs="Arial"/>
        </w:rPr>
      </w:pPr>
    </w:p>
    <w:p w14:paraId="3DF4DD20" w14:textId="77777777" w:rsidR="004702D5" w:rsidRDefault="004702D5" w:rsidP="004702D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Harvard Medical School, Joint Program in Transfusion Medicine, Brigham and Women’s Hospital, Department of Pathology, Boston, MA</w:t>
      </w:r>
    </w:p>
    <w:p w14:paraId="75D3E578" w14:textId="77777777" w:rsidR="004702D5" w:rsidRDefault="004702D5" w:rsidP="004702D5">
      <w:pPr>
        <w:pStyle w:val="ListParagraph"/>
        <w:ind w:left="360"/>
        <w:rPr>
          <w:rFonts w:ascii="Arial" w:hAnsi="Arial" w:cs="Arial"/>
        </w:rPr>
      </w:pPr>
    </w:p>
    <w:p w14:paraId="5D172C6C" w14:textId="77777777" w:rsidR="004702D5" w:rsidRPr="00DC35C6" w:rsidRDefault="004702D5" w:rsidP="004702D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Harvard Medical School, Harvard Glycomics Center, Beth Israel Deaconess Medical Center, Boston, MA</w:t>
      </w:r>
    </w:p>
    <w:p w14:paraId="5D100094" w14:textId="77777777" w:rsidR="004702D5" w:rsidRPr="00DC35C6" w:rsidRDefault="004702D5" w:rsidP="004702D5">
      <w:pPr>
        <w:pStyle w:val="ListParagraph"/>
        <w:ind w:left="360"/>
        <w:rPr>
          <w:rFonts w:ascii="Arial" w:hAnsi="Arial" w:cs="Arial"/>
        </w:rPr>
      </w:pPr>
    </w:p>
    <w:p w14:paraId="49F30355" w14:textId="77777777" w:rsidR="004702D5" w:rsidRPr="00DC35C6" w:rsidRDefault="004702D5" w:rsidP="004702D5">
      <w:pPr>
        <w:pStyle w:val="ListParagraph"/>
        <w:numPr>
          <w:ilvl w:val="0"/>
          <w:numId w:val="1"/>
        </w:numPr>
        <w:spacing w:after="0" w:line="480" w:lineRule="auto"/>
        <w:rPr>
          <w:rFonts w:ascii="Arial" w:hAnsi="Arial" w:cs="Arial"/>
        </w:rPr>
      </w:pPr>
      <w:r w:rsidRPr="00DC35C6">
        <w:rPr>
          <w:rFonts w:ascii="Arial" w:hAnsi="Arial" w:cs="Arial"/>
        </w:rPr>
        <w:t>Yale University School of Medicine, Department of Pediatrics, New Haven, CT</w:t>
      </w:r>
    </w:p>
    <w:p w14:paraId="0AD3BE5B" w14:textId="77777777" w:rsidR="004702D5" w:rsidRPr="004702D5" w:rsidRDefault="004702D5" w:rsidP="004702D5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783A60CD" w14:textId="77777777" w:rsidR="004702D5" w:rsidRPr="004702D5" w:rsidRDefault="004702D5" w:rsidP="004702D5">
      <w:pPr>
        <w:spacing w:after="160" w:line="259" w:lineRule="auto"/>
        <w:rPr>
          <w:rFonts w:ascii="Arial" w:hAnsi="Arial" w:cs="Arial"/>
          <w:sz w:val="22"/>
          <w:szCs w:val="22"/>
        </w:rPr>
      </w:pPr>
      <w:r w:rsidRPr="004702D5">
        <w:rPr>
          <w:rFonts w:ascii="Arial" w:hAnsi="Arial" w:cs="Arial"/>
          <w:sz w:val="22"/>
          <w:szCs w:val="22"/>
        </w:rPr>
        <w:t>Corresponding author: Jeanne E. Hendrickson, MD; Yale University Departments of Laboratory Medicine and Pediatrics, 330 Cedar Street, Clinic Building 405, PO Box 208035, New Haven, CT 06520-8035; email:  jeanne.hendrickson@yale.edu;   phone:  (203) 737-8316;     fax:  (203) 785-5029</w:t>
      </w:r>
    </w:p>
    <w:p w14:paraId="72A09E11" w14:textId="77777777" w:rsidR="00A95B2A" w:rsidRDefault="00A95B2A">
      <w:pPr>
        <w:spacing w:after="160" w:line="259" w:lineRule="auto"/>
      </w:pPr>
      <w:r>
        <w:br w:type="page"/>
      </w:r>
    </w:p>
    <w:p w14:paraId="5001866F" w14:textId="3D89A622" w:rsidR="00E7152A" w:rsidRDefault="00F64773" w:rsidP="00F64773">
      <w:pPr>
        <w:spacing w:after="16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Supplemental Figure 1. KEL RBC clearance patterns </w:t>
      </w:r>
      <w:r w:rsidR="00E7152A">
        <w:rPr>
          <w:rFonts w:ascii="Arial" w:hAnsi="Arial" w:cs="Arial"/>
          <w:b/>
          <w:bCs/>
          <w:sz w:val="22"/>
          <w:szCs w:val="22"/>
        </w:rPr>
        <w:t xml:space="preserve">after </w:t>
      </w:r>
      <w:proofErr w:type="spellStart"/>
      <w:r w:rsidR="00E7152A">
        <w:rPr>
          <w:rFonts w:ascii="Arial" w:hAnsi="Arial" w:cs="Arial"/>
          <w:b/>
          <w:bCs/>
          <w:sz w:val="22"/>
          <w:szCs w:val="22"/>
        </w:rPr>
        <w:t>KELIg</w:t>
      </w:r>
      <w:proofErr w:type="spellEnd"/>
      <w:r w:rsidR="001F726B">
        <w:rPr>
          <w:rFonts w:ascii="Arial" w:hAnsi="Arial" w:cs="Arial"/>
          <w:b/>
          <w:bCs/>
          <w:sz w:val="22"/>
          <w:szCs w:val="22"/>
        </w:rPr>
        <w:t xml:space="preserve">, </w:t>
      </w:r>
      <w:r w:rsidR="00E7152A">
        <w:rPr>
          <w:rFonts w:ascii="Arial" w:hAnsi="Arial" w:cs="Arial"/>
          <w:b/>
          <w:bCs/>
          <w:sz w:val="22"/>
          <w:szCs w:val="22"/>
        </w:rPr>
        <w:t xml:space="preserve">in the absence of poly(I:C). </w:t>
      </w:r>
      <w:r w:rsidRPr="00F64773">
        <w:t xml:space="preserve"> </w:t>
      </w:r>
      <w:r w:rsidRPr="00F64773">
        <w:rPr>
          <w:rFonts w:ascii="Arial" w:hAnsi="Arial" w:cs="Arial"/>
          <w:sz w:val="22"/>
          <w:szCs w:val="22"/>
        </w:rPr>
        <w:t xml:space="preserve">KEL RBCs were labeled with </w:t>
      </w:r>
      <w:proofErr w:type="spellStart"/>
      <w:r w:rsidRPr="00F64773">
        <w:rPr>
          <w:rFonts w:ascii="Arial" w:hAnsi="Arial" w:cs="Arial"/>
          <w:sz w:val="22"/>
          <w:szCs w:val="22"/>
        </w:rPr>
        <w:t>DiO</w:t>
      </w:r>
      <w:proofErr w:type="spellEnd"/>
      <w:r w:rsidRPr="00F64773">
        <w:rPr>
          <w:rFonts w:ascii="Arial" w:hAnsi="Arial" w:cs="Arial"/>
          <w:sz w:val="22"/>
          <w:szCs w:val="22"/>
        </w:rPr>
        <w:t xml:space="preserve"> and mixed with wild type RBCs labeled with </w:t>
      </w:r>
      <w:proofErr w:type="spellStart"/>
      <w:r w:rsidRPr="00F64773">
        <w:rPr>
          <w:rFonts w:ascii="Arial" w:hAnsi="Arial" w:cs="Arial"/>
          <w:sz w:val="22"/>
          <w:szCs w:val="22"/>
        </w:rPr>
        <w:t>DiI</w:t>
      </w:r>
      <w:proofErr w:type="spellEnd"/>
      <w:r w:rsidRPr="00F64773">
        <w:rPr>
          <w:rFonts w:ascii="Arial" w:hAnsi="Arial" w:cs="Arial"/>
          <w:sz w:val="22"/>
          <w:szCs w:val="22"/>
        </w:rPr>
        <w:t xml:space="preserve">; this mixture was transfused into recipients that had been infused with </w:t>
      </w:r>
      <w:proofErr w:type="spellStart"/>
      <w:r w:rsidRPr="00F64773">
        <w:rPr>
          <w:rFonts w:ascii="Arial" w:hAnsi="Arial" w:cs="Arial"/>
          <w:sz w:val="22"/>
          <w:szCs w:val="22"/>
        </w:rPr>
        <w:t>KELIg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="0056357F">
        <w:rPr>
          <w:rFonts w:ascii="Arial" w:hAnsi="Arial" w:cs="Arial"/>
          <w:sz w:val="22"/>
          <w:szCs w:val="22"/>
        </w:rPr>
        <w:t>(</w:t>
      </w:r>
      <w:r w:rsidR="0056357F" w:rsidRPr="0056357F">
        <w:rPr>
          <w:rFonts w:ascii="Arial" w:hAnsi="Arial" w:cs="Arial"/>
          <w:b/>
          <w:bCs/>
          <w:sz w:val="22"/>
          <w:szCs w:val="22"/>
        </w:rPr>
        <w:t>A</w:t>
      </w:r>
      <w:r w:rsidR="0056357F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Wild type and C3</w:t>
      </w:r>
      <w:r w:rsidRPr="00F64773">
        <w:rPr>
          <w:rFonts w:ascii="Arial" w:hAnsi="Arial" w:cs="Arial"/>
          <w:sz w:val="22"/>
          <w:szCs w:val="22"/>
          <w:vertAlign w:val="superscript"/>
        </w:rPr>
        <w:t xml:space="preserve">-/- </w:t>
      </w:r>
      <w:r>
        <w:rPr>
          <w:rFonts w:ascii="Arial" w:hAnsi="Arial" w:cs="Arial"/>
          <w:sz w:val="22"/>
          <w:szCs w:val="22"/>
        </w:rPr>
        <w:t>recipients are shown</w:t>
      </w:r>
      <w:r w:rsidR="0056357F">
        <w:rPr>
          <w:rFonts w:ascii="Arial" w:hAnsi="Arial" w:cs="Arial"/>
          <w:sz w:val="22"/>
          <w:szCs w:val="22"/>
        </w:rPr>
        <w:t>; (</w:t>
      </w:r>
      <w:r w:rsidR="0056357F" w:rsidRPr="0056357F">
        <w:rPr>
          <w:rFonts w:ascii="Arial" w:hAnsi="Arial" w:cs="Arial"/>
          <w:b/>
          <w:bCs/>
          <w:sz w:val="22"/>
          <w:szCs w:val="22"/>
        </w:rPr>
        <w:t>B</w:t>
      </w:r>
      <w:r w:rsidR="0056357F">
        <w:rPr>
          <w:rFonts w:ascii="Arial" w:hAnsi="Arial" w:cs="Arial"/>
          <w:sz w:val="22"/>
          <w:szCs w:val="22"/>
        </w:rPr>
        <w:t>) Wild type and C1q</w:t>
      </w:r>
      <w:r w:rsidR="0056357F" w:rsidRPr="0056357F">
        <w:rPr>
          <w:rFonts w:ascii="Arial" w:hAnsi="Arial" w:cs="Arial"/>
          <w:sz w:val="22"/>
          <w:szCs w:val="22"/>
          <w:vertAlign w:val="superscript"/>
        </w:rPr>
        <w:t>-/-</w:t>
      </w:r>
      <w:r w:rsidR="0056357F">
        <w:rPr>
          <w:rFonts w:ascii="Arial" w:hAnsi="Arial" w:cs="Arial"/>
          <w:sz w:val="22"/>
          <w:szCs w:val="22"/>
        </w:rPr>
        <w:t xml:space="preserve"> recipients are shown.</w:t>
      </w:r>
    </w:p>
    <w:p w14:paraId="003A8C6A" w14:textId="61295F1A" w:rsidR="00E70A60" w:rsidRPr="009B6B07" w:rsidRDefault="009B6B07" w:rsidP="00F64773">
      <w:pPr>
        <w:spacing w:after="160" w:line="480" w:lineRule="auto"/>
        <w:rPr>
          <w:rFonts w:ascii="Arial" w:hAnsi="Arial" w:cs="Arial"/>
          <w:b/>
          <w:bCs/>
          <w:sz w:val="22"/>
          <w:szCs w:val="22"/>
        </w:rPr>
      </w:pPr>
      <w:r w:rsidRPr="009B6B07">
        <w:rPr>
          <w:rFonts w:ascii="Arial" w:hAnsi="Arial" w:cs="Arial"/>
          <w:b/>
          <w:bCs/>
          <w:sz w:val="22"/>
          <w:szCs w:val="22"/>
        </w:rPr>
        <w:t>A.</w:t>
      </w:r>
    </w:p>
    <w:p w14:paraId="3D0D9A88" w14:textId="77777777" w:rsidR="009B6B07" w:rsidRDefault="00E7152A" w:rsidP="00F64773">
      <w:pPr>
        <w:spacing w:after="160" w:line="480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8F51AA2" wp14:editId="31D15DF0">
            <wp:extent cx="4802588" cy="21929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36" cy="220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33B8" w14:textId="593FDB2B" w:rsidR="00F64773" w:rsidRDefault="00E70A60" w:rsidP="00F64773">
      <w:pPr>
        <w:spacing w:after="160" w:line="480" w:lineRule="auto"/>
        <w:rPr>
          <w:rFonts w:ascii="Arial" w:hAnsi="Arial" w:cs="Arial"/>
          <w:b/>
          <w:bCs/>
          <w:sz w:val="22"/>
          <w:szCs w:val="22"/>
        </w:rPr>
      </w:pPr>
      <w:r w:rsidRPr="00E70A60">
        <w:rPr>
          <w:rFonts w:ascii="Arial" w:hAnsi="Arial" w:cs="Arial"/>
          <w:b/>
          <w:bCs/>
          <w:sz w:val="22"/>
          <w:szCs w:val="22"/>
        </w:rPr>
        <w:t>B.</w:t>
      </w:r>
    </w:p>
    <w:p w14:paraId="01C7E52E" w14:textId="16D2D901" w:rsidR="00E70A60" w:rsidRPr="00E70A60" w:rsidRDefault="00E70A60" w:rsidP="00F64773">
      <w:pPr>
        <w:spacing w:after="160" w:line="480" w:lineRule="auto"/>
        <w:rPr>
          <w:rFonts w:ascii="Arial" w:hAnsi="Arial" w:cs="Arial"/>
          <w:b/>
          <w:bCs/>
          <w:sz w:val="22"/>
          <w:szCs w:val="22"/>
        </w:rPr>
      </w:pPr>
      <w:r w:rsidRPr="00E70A60">
        <w:drawing>
          <wp:inline distT="0" distB="0" distL="0" distR="0" wp14:anchorId="61FF0675" wp14:editId="06BEEC7E">
            <wp:extent cx="4937760" cy="22320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39" cy="225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D5CF" w14:textId="77777777" w:rsidR="00E70A60" w:rsidRPr="009B6B07" w:rsidRDefault="00E70A60" w:rsidP="00F64773">
      <w:pPr>
        <w:spacing w:after="160" w:line="480" w:lineRule="auto"/>
        <w:rPr>
          <w:rFonts w:ascii="Arial" w:hAnsi="Arial" w:cs="Arial"/>
          <w:b/>
          <w:bCs/>
          <w:sz w:val="22"/>
          <w:szCs w:val="22"/>
        </w:rPr>
      </w:pPr>
    </w:p>
    <w:p w14:paraId="46F979F4" w14:textId="77777777" w:rsidR="00E70A60" w:rsidRDefault="00E70A60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16DCED49" w14:textId="4B8EF929" w:rsidR="00A95B2A" w:rsidRDefault="00A95B2A" w:rsidP="00A95B2A">
      <w:pPr>
        <w:spacing w:line="480" w:lineRule="auto"/>
        <w:contextualSpacing/>
        <w:rPr>
          <w:rFonts w:ascii="Arial" w:hAnsi="Arial" w:cs="Arial"/>
          <w:bCs/>
          <w:sz w:val="22"/>
          <w:szCs w:val="22"/>
        </w:rPr>
      </w:pPr>
      <w:r w:rsidRPr="00AA7ED0">
        <w:rPr>
          <w:rFonts w:ascii="Arial" w:hAnsi="Arial" w:cs="Arial"/>
          <w:b/>
          <w:bCs/>
          <w:sz w:val="22"/>
          <w:szCs w:val="22"/>
        </w:rPr>
        <w:lastRenderedPageBreak/>
        <w:t xml:space="preserve">Supplemental Figure </w:t>
      </w:r>
      <w:r w:rsidR="00F64773"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>.</w:t>
      </w:r>
      <w:r w:rsidRPr="00161A58">
        <w:rPr>
          <w:rFonts w:ascii="Arial" w:hAnsi="Arial" w:cs="Arial"/>
          <w:b/>
          <w:bCs/>
          <w:sz w:val="22"/>
          <w:szCs w:val="22"/>
        </w:rPr>
        <w:t xml:space="preserve"> Gating strategy for splenocytes</w:t>
      </w:r>
      <w:r>
        <w:rPr>
          <w:rFonts w:ascii="Arial" w:hAnsi="Arial" w:cs="Arial"/>
          <w:bCs/>
          <w:sz w:val="22"/>
          <w:szCs w:val="22"/>
        </w:rPr>
        <w:t xml:space="preserve">.  </w:t>
      </w:r>
      <w:r w:rsidRPr="00161A58">
        <w:rPr>
          <w:rFonts w:ascii="Arial" w:hAnsi="Arial" w:cs="Arial"/>
          <w:bCs/>
          <w:sz w:val="22"/>
          <w:szCs w:val="22"/>
        </w:rPr>
        <w:t>After gating on si</w:t>
      </w:r>
      <w:r>
        <w:rPr>
          <w:rFonts w:ascii="Arial" w:hAnsi="Arial" w:cs="Arial"/>
          <w:bCs/>
          <w:sz w:val="22"/>
          <w:szCs w:val="22"/>
        </w:rPr>
        <w:t>ngle cells, live cells, and non-</w:t>
      </w:r>
      <w:r w:rsidRPr="00161A58">
        <w:rPr>
          <w:rFonts w:ascii="Arial" w:hAnsi="Arial" w:cs="Arial"/>
          <w:bCs/>
          <w:sz w:val="22"/>
          <w:szCs w:val="22"/>
        </w:rPr>
        <w:t>T-cells/non</w:t>
      </w:r>
      <w:r>
        <w:rPr>
          <w:rFonts w:ascii="Arial" w:hAnsi="Arial" w:cs="Arial"/>
          <w:bCs/>
          <w:sz w:val="22"/>
          <w:szCs w:val="22"/>
        </w:rPr>
        <w:t xml:space="preserve">-B-cells/non-RBCs, </w:t>
      </w:r>
      <w:r w:rsidRPr="00161A58">
        <w:rPr>
          <w:rFonts w:ascii="Arial" w:hAnsi="Arial" w:cs="Arial"/>
          <w:bCs/>
          <w:sz w:val="22"/>
          <w:szCs w:val="22"/>
        </w:rPr>
        <w:t>splenic red pulp macrophages, dendritic cells (CD8α and CD11b and plasmacytoid), resident and inflammatory monocyt</w:t>
      </w:r>
      <w:r>
        <w:rPr>
          <w:rFonts w:ascii="Arial" w:hAnsi="Arial" w:cs="Arial"/>
          <w:bCs/>
          <w:sz w:val="22"/>
          <w:szCs w:val="22"/>
        </w:rPr>
        <w:t>es, and neutrophils were evaluated.</w:t>
      </w:r>
    </w:p>
    <w:p w14:paraId="3487CDC8" w14:textId="77777777" w:rsidR="00A95B2A" w:rsidRDefault="00A95B2A" w:rsidP="00A95B2A">
      <w:pPr>
        <w:spacing w:line="480" w:lineRule="auto"/>
        <w:contextualSpacing/>
        <w:rPr>
          <w:rFonts w:ascii="Arial" w:hAnsi="Arial" w:cs="Arial"/>
          <w:bCs/>
          <w:sz w:val="22"/>
          <w:szCs w:val="22"/>
        </w:rPr>
      </w:pPr>
    </w:p>
    <w:p w14:paraId="58EE3757" w14:textId="77777777" w:rsidR="00A95B2A" w:rsidRDefault="00A95B2A" w:rsidP="00A95B2A">
      <w:pPr>
        <w:spacing w:line="480" w:lineRule="auto"/>
        <w:contextualSpacing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3B9DBC1F" wp14:editId="2D46CFE6">
            <wp:extent cx="5943600" cy="5657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Figure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DB99" w14:textId="77777777" w:rsidR="00A95B2A" w:rsidRDefault="00A95B2A">
      <w:pPr>
        <w:spacing w:after="160" w:line="259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br w:type="page"/>
      </w:r>
    </w:p>
    <w:p w14:paraId="056E5201" w14:textId="23E251EA" w:rsidR="00A95B2A" w:rsidRPr="00DC35C6" w:rsidRDefault="00A95B2A" w:rsidP="00A95B2A">
      <w:pPr>
        <w:spacing w:line="480" w:lineRule="auto"/>
        <w:contextualSpacing/>
        <w:rPr>
          <w:rFonts w:ascii="Arial" w:hAnsi="Arial" w:cs="Arial"/>
          <w:bCs/>
          <w:color w:val="FF0000"/>
          <w:sz w:val="22"/>
          <w:szCs w:val="22"/>
        </w:rPr>
      </w:pPr>
      <w:bookmarkStart w:id="2" w:name="_Hlk74231852"/>
      <w:r w:rsidRPr="00161A58">
        <w:rPr>
          <w:rFonts w:ascii="Arial" w:hAnsi="Arial" w:cs="Arial"/>
          <w:b/>
          <w:bCs/>
          <w:sz w:val="22"/>
          <w:szCs w:val="22"/>
        </w:rPr>
        <w:lastRenderedPageBreak/>
        <w:t xml:space="preserve">Supplemental Figure </w:t>
      </w:r>
      <w:r w:rsidR="00F64773"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Cs/>
          <w:sz w:val="22"/>
          <w:szCs w:val="22"/>
        </w:rPr>
        <w:t xml:space="preserve">.  </w:t>
      </w:r>
      <w:r w:rsidRPr="00161A58">
        <w:rPr>
          <w:rFonts w:ascii="Arial" w:hAnsi="Arial" w:cs="Arial"/>
          <w:b/>
          <w:bCs/>
          <w:sz w:val="22"/>
          <w:szCs w:val="22"/>
        </w:rPr>
        <w:t>Poly (I:C) and KELIg immunoprophylaxis result in increased transfused KEL RBC consumption by peripheral blood inflammatory monocytes in wild type compared with C3</w:t>
      </w:r>
      <w:r w:rsidRPr="00161A58">
        <w:rPr>
          <w:rFonts w:ascii="Arial" w:hAnsi="Arial" w:cs="Arial"/>
          <w:b/>
          <w:bCs/>
          <w:sz w:val="22"/>
          <w:szCs w:val="22"/>
          <w:vertAlign w:val="superscript"/>
        </w:rPr>
        <w:t>-/-</w:t>
      </w:r>
      <w:r w:rsidRPr="00161A58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mice</w:t>
      </w:r>
      <w:r w:rsidRPr="00161A58">
        <w:rPr>
          <w:rFonts w:ascii="Arial" w:hAnsi="Arial" w:cs="Arial"/>
          <w:b/>
          <w:bCs/>
          <w:sz w:val="22"/>
          <w:szCs w:val="22"/>
        </w:rPr>
        <w:t>.</w:t>
      </w:r>
      <w:r w:rsidRPr="00161A58">
        <w:t xml:space="preserve"> </w:t>
      </w:r>
      <w:r w:rsidRPr="00161A58">
        <w:rPr>
          <w:rFonts w:ascii="Arial" w:hAnsi="Arial" w:cs="Arial"/>
          <w:bCs/>
          <w:sz w:val="22"/>
          <w:szCs w:val="22"/>
        </w:rPr>
        <w:t xml:space="preserve">DiO labeled KEL RBCs were transfused to </w:t>
      </w:r>
      <w:r>
        <w:rPr>
          <w:rFonts w:ascii="Arial" w:hAnsi="Arial" w:cs="Arial"/>
          <w:bCs/>
          <w:sz w:val="22"/>
          <w:szCs w:val="22"/>
        </w:rPr>
        <w:t>wild type or C3</w:t>
      </w:r>
      <w:r w:rsidRPr="00BC1FA6">
        <w:rPr>
          <w:rFonts w:ascii="Arial" w:hAnsi="Arial" w:cs="Arial"/>
          <w:bCs/>
          <w:sz w:val="22"/>
          <w:szCs w:val="22"/>
          <w:vertAlign w:val="superscript"/>
        </w:rPr>
        <w:t>-/-</w:t>
      </w:r>
      <w:r>
        <w:rPr>
          <w:rFonts w:ascii="Arial" w:hAnsi="Arial" w:cs="Arial"/>
          <w:bCs/>
          <w:sz w:val="22"/>
          <w:szCs w:val="22"/>
        </w:rPr>
        <w:t xml:space="preserve"> mice</w:t>
      </w:r>
      <w:r w:rsidRPr="00161A58">
        <w:rPr>
          <w:rFonts w:ascii="Arial" w:hAnsi="Arial" w:cs="Arial"/>
          <w:bCs/>
          <w:sz w:val="22"/>
          <w:szCs w:val="22"/>
        </w:rPr>
        <w:t xml:space="preserve"> treated with KELIg in the presence or a</w:t>
      </w:r>
      <w:r>
        <w:rPr>
          <w:rFonts w:ascii="Arial" w:hAnsi="Arial" w:cs="Arial"/>
          <w:bCs/>
          <w:sz w:val="22"/>
          <w:szCs w:val="22"/>
        </w:rPr>
        <w:t>bsence of poly (I:C), and the percent of non-T/non-RBC peripheral blood cells were evaluated at one hour (</w:t>
      </w:r>
      <w:r w:rsidRPr="00BC1FA6"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bCs/>
          <w:sz w:val="22"/>
          <w:szCs w:val="22"/>
        </w:rPr>
        <w:t>) and 16 hours (</w:t>
      </w:r>
      <w:r w:rsidRPr="00BC1FA6">
        <w:rPr>
          <w:rFonts w:ascii="Arial" w:hAnsi="Arial" w:cs="Arial"/>
          <w:b/>
          <w:bCs/>
          <w:sz w:val="22"/>
          <w:szCs w:val="22"/>
        </w:rPr>
        <w:t>B</w:t>
      </w:r>
      <w:r>
        <w:rPr>
          <w:rFonts w:ascii="Arial" w:hAnsi="Arial" w:cs="Arial"/>
          <w:bCs/>
          <w:sz w:val="22"/>
          <w:szCs w:val="22"/>
        </w:rPr>
        <w:t xml:space="preserve">) post-transfusion. These cell subsets were then evaluated for DiO fluorescence patterns, after first excluding TER119 positive RBCs on the surface of the WBCs; </w:t>
      </w:r>
      <w:r>
        <w:rPr>
          <w:rFonts w:ascii="Arial" w:hAnsi="Arial" w:cs="Arial"/>
          <w:b/>
          <w:bCs/>
          <w:sz w:val="22"/>
          <w:szCs w:val="22"/>
        </w:rPr>
        <w:t xml:space="preserve">(C) </w:t>
      </w:r>
      <w:r>
        <w:rPr>
          <w:rFonts w:ascii="Arial" w:hAnsi="Arial" w:cs="Arial"/>
          <w:bCs/>
          <w:sz w:val="22"/>
          <w:szCs w:val="22"/>
        </w:rPr>
        <w:t>shows the one hour and (</w:t>
      </w:r>
      <w:r w:rsidRPr="00CF354D"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bCs/>
          <w:sz w:val="22"/>
          <w:szCs w:val="22"/>
        </w:rPr>
        <w:t>) shows the 16-hour time point</w:t>
      </w:r>
      <w:r w:rsidRPr="00161A58">
        <w:rPr>
          <w:rFonts w:ascii="Arial" w:hAnsi="Arial" w:cs="Arial"/>
          <w:bCs/>
          <w:sz w:val="22"/>
          <w:szCs w:val="22"/>
        </w:rPr>
        <w:t>. Thes</w:t>
      </w:r>
      <w:r>
        <w:rPr>
          <w:rFonts w:ascii="Arial" w:hAnsi="Arial" w:cs="Arial"/>
          <w:bCs/>
          <w:sz w:val="22"/>
          <w:szCs w:val="22"/>
        </w:rPr>
        <w:t>e data are representative of 2</w:t>
      </w:r>
      <w:r w:rsidRPr="00161A58">
        <w:rPr>
          <w:rFonts w:ascii="Arial" w:hAnsi="Arial" w:cs="Arial"/>
          <w:bCs/>
          <w:sz w:val="22"/>
          <w:szCs w:val="22"/>
        </w:rPr>
        <w:t xml:space="preserve"> independent experiments with 3 </w:t>
      </w:r>
      <w:bookmarkEnd w:id="2"/>
      <w:r>
        <w:rPr>
          <w:rFonts w:ascii="Arial" w:hAnsi="Arial" w:cs="Arial"/>
          <w:bCs/>
          <w:sz w:val="22"/>
          <w:szCs w:val="22"/>
        </w:rPr>
        <w:t>m</w:t>
      </w:r>
      <w:r w:rsidRPr="00161A58">
        <w:rPr>
          <w:rFonts w:ascii="Arial" w:hAnsi="Arial" w:cs="Arial"/>
          <w:bCs/>
          <w:sz w:val="22"/>
          <w:szCs w:val="22"/>
        </w:rPr>
        <w:t>ice/group/experiment; error bars indicate standard deviation between mice.</w:t>
      </w:r>
      <w:r>
        <w:rPr>
          <w:rFonts w:ascii="Arial" w:hAnsi="Arial" w:cs="Arial"/>
          <w:bCs/>
          <w:noProof/>
          <w:color w:val="FF0000"/>
          <w:sz w:val="22"/>
          <w:szCs w:val="22"/>
        </w:rPr>
        <w:drawing>
          <wp:inline distT="0" distB="0" distL="0" distR="0" wp14:anchorId="10A26DD8" wp14:editId="425CAF4A">
            <wp:extent cx="5943600" cy="47224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plemental Fig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A689" w14:textId="2D56E5E7" w:rsidR="00950ECC" w:rsidRDefault="00950ECC">
      <w:pPr>
        <w:spacing w:after="160" w:line="259" w:lineRule="auto"/>
      </w:pPr>
      <w:r>
        <w:br w:type="page"/>
      </w:r>
    </w:p>
    <w:p w14:paraId="14E54F75" w14:textId="1CB67DE5" w:rsidR="00004E99" w:rsidRDefault="00950ECC" w:rsidP="001239D6">
      <w:pPr>
        <w:spacing w:line="480" w:lineRule="auto"/>
        <w:rPr>
          <w:rFonts w:ascii="Arial" w:hAnsi="Arial" w:cs="Arial"/>
          <w:bCs/>
          <w:sz w:val="22"/>
          <w:szCs w:val="22"/>
        </w:rPr>
      </w:pPr>
      <w:r w:rsidRPr="00161A58">
        <w:rPr>
          <w:rFonts w:ascii="Arial" w:hAnsi="Arial" w:cs="Arial"/>
          <w:b/>
          <w:bCs/>
          <w:sz w:val="22"/>
          <w:szCs w:val="22"/>
        </w:rPr>
        <w:lastRenderedPageBreak/>
        <w:t xml:space="preserve">Supplemental Figure </w:t>
      </w:r>
      <w:r>
        <w:rPr>
          <w:rFonts w:ascii="Arial" w:hAnsi="Arial" w:cs="Arial"/>
          <w:b/>
          <w:bCs/>
          <w:sz w:val="22"/>
          <w:szCs w:val="22"/>
        </w:rPr>
        <w:t>4</w:t>
      </w:r>
      <w:r>
        <w:rPr>
          <w:rFonts w:ascii="Arial" w:hAnsi="Arial" w:cs="Arial"/>
          <w:bCs/>
          <w:sz w:val="22"/>
          <w:szCs w:val="22"/>
        </w:rPr>
        <w:t xml:space="preserve">. </w:t>
      </w:r>
      <w:r w:rsidR="001239D6">
        <w:rPr>
          <w:rFonts w:ascii="Arial" w:hAnsi="Arial" w:cs="Arial"/>
          <w:b/>
          <w:sz w:val="22"/>
          <w:szCs w:val="22"/>
        </w:rPr>
        <w:t xml:space="preserve">Negative control conditions for </w:t>
      </w:r>
      <w:r w:rsidR="001239D6" w:rsidRPr="0071335F">
        <w:rPr>
          <w:rFonts w:ascii="Arial" w:hAnsi="Arial" w:cs="Arial"/>
          <w:b/>
          <w:bCs/>
          <w:i/>
          <w:sz w:val="22"/>
          <w:szCs w:val="22"/>
        </w:rPr>
        <w:t>in vitro</w:t>
      </w:r>
      <w:r w:rsidR="001239D6" w:rsidRPr="001146EE">
        <w:rPr>
          <w:rFonts w:ascii="Arial" w:hAnsi="Arial" w:cs="Arial"/>
          <w:b/>
          <w:bCs/>
          <w:sz w:val="22"/>
          <w:szCs w:val="22"/>
        </w:rPr>
        <w:t xml:space="preserve"> </w:t>
      </w:r>
      <w:r w:rsidR="001239D6">
        <w:rPr>
          <w:rFonts w:ascii="Arial" w:hAnsi="Arial" w:cs="Arial"/>
          <w:b/>
          <w:bCs/>
          <w:sz w:val="22"/>
          <w:szCs w:val="22"/>
        </w:rPr>
        <w:t xml:space="preserve">B-cell assays. </w:t>
      </w:r>
      <w:r w:rsidRPr="00950ECC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950ECC">
        <w:rPr>
          <w:rFonts w:ascii="Arial" w:hAnsi="Arial" w:cs="Arial"/>
          <w:bCs/>
          <w:sz w:val="22"/>
          <w:szCs w:val="22"/>
        </w:rPr>
        <w:t>DiO</w:t>
      </w:r>
      <w:proofErr w:type="spellEnd"/>
      <w:r w:rsidRPr="00950ECC">
        <w:rPr>
          <w:rFonts w:ascii="Arial" w:hAnsi="Arial" w:cs="Arial"/>
          <w:bCs/>
          <w:sz w:val="22"/>
          <w:szCs w:val="22"/>
        </w:rPr>
        <w:t xml:space="preserve"> labeled KEL </w:t>
      </w:r>
      <w:r w:rsidR="001239D6">
        <w:rPr>
          <w:rFonts w:ascii="Arial" w:hAnsi="Arial" w:cs="Arial"/>
          <w:bCs/>
          <w:sz w:val="22"/>
          <w:szCs w:val="22"/>
        </w:rPr>
        <w:t xml:space="preserve">or wild type </w:t>
      </w:r>
      <w:r w:rsidRPr="00950ECC">
        <w:rPr>
          <w:rFonts w:ascii="Arial" w:hAnsi="Arial" w:cs="Arial"/>
          <w:bCs/>
          <w:sz w:val="22"/>
          <w:szCs w:val="22"/>
        </w:rPr>
        <w:t xml:space="preserve">RBCs were incubated with </w:t>
      </w:r>
      <w:proofErr w:type="spellStart"/>
      <w:r w:rsidRPr="00950ECC">
        <w:rPr>
          <w:rFonts w:ascii="Arial" w:hAnsi="Arial" w:cs="Arial"/>
          <w:bCs/>
          <w:sz w:val="22"/>
          <w:szCs w:val="22"/>
        </w:rPr>
        <w:t>KELIg</w:t>
      </w:r>
      <w:proofErr w:type="spellEnd"/>
      <w:r w:rsidRPr="00950ECC">
        <w:rPr>
          <w:rFonts w:ascii="Arial" w:hAnsi="Arial" w:cs="Arial"/>
          <w:bCs/>
          <w:sz w:val="22"/>
          <w:szCs w:val="22"/>
        </w:rPr>
        <w:t xml:space="preserve"> </w:t>
      </w:r>
      <w:r w:rsidR="001239D6">
        <w:rPr>
          <w:rFonts w:ascii="Arial" w:hAnsi="Arial" w:cs="Arial"/>
          <w:bCs/>
          <w:sz w:val="22"/>
          <w:szCs w:val="22"/>
        </w:rPr>
        <w:t xml:space="preserve">(or not) </w:t>
      </w:r>
      <w:r w:rsidRPr="00950ECC">
        <w:rPr>
          <w:rFonts w:ascii="Arial" w:hAnsi="Arial" w:cs="Arial"/>
          <w:bCs/>
          <w:sz w:val="22"/>
          <w:szCs w:val="22"/>
        </w:rPr>
        <w:t xml:space="preserve">in the presence </w:t>
      </w:r>
      <w:r w:rsidR="001239D6">
        <w:rPr>
          <w:rFonts w:ascii="Arial" w:hAnsi="Arial" w:cs="Arial"/>
          <w:bCs/>
          <w:sz w:val="22"/>
          <w:szCs w:val="22"/>
        </w:rPr>
        <w:t xml:space="preserve">(or absence) </w:t>
      </w:r>
      <w:r w:rsidRPr="00950ECC">
        <w:rPr>
          <w:rFonts w:ascii="Arial" w:hAnsi="Arial" w:cs="Arial"/>
          <w:bCs/>
          <w:sz w:val="22"/>
          <w:szCs w:val="22"/>
        </w:rPr>
        <w:t xml:space="preserve">of sera, followed by incubation with peripheral blood derived WBCs from </w:t>
      </w:r>
      <w:r w:rsidR="001239D6">
        <w:rPr>
          <w:rFonts w:ascii="Arial" w:hAnsi="Arial" w:cs="Arial"/>
          <w:bCs/>
          <w:sz w:val="22"/>
          <w:szCs w:val="22"/>
        </w:rPr>
        <w:t xml:space="preserve">wild type </w:t>
      </w:r>
      <w:r w:rsidRPr="00950ECC">
        <w:rPr>
          <w:rFonts w:ascii="Arial" w:hAnsi="Arial" w:cs="Arial"/>
          <w:bCs/>
          <w:sz w:val="22"/>
          <w:szCs w:val="22"/>
        </w:rPr>
        <w:t>donor mice.  (</w:t>
      </w:r>
      <w:r w:rsidRPr="001239D6">
        <w:rPr>
          <w:rFonts w:ascii="Arial" w:hAnsi="Arial" w:cs="Arial"/>
          <w:b/>
          <w:sz w:val="22"/>
          <w:szCs w:val="22"/>
        </w:rPr>
        <w:t>A</w:t>
      </w:r>
      <w:r w:rsidRPr="00950ECC">
        <w:rPr>
          <w:rFonts w:ascii="Arial" w:hAnsi="Arial" w:cs="Arial"/>
          <w:bCs/>
          <w:sz w:val="22"/>
          <w:szCs w:val="22"/>
        </w:rPr>
        <w:t xml:space="preserve">) In wells using </w:t>
      </w:r>
      <w:r w:rsidR="00D47C0B" w:rsidRPr="000E49CC">
        <w:rPr>
          <w:rFonts w:ascii="Arial" w:hAnsi="Arial" w:cs="Arial"/>
          <w:bCs/>
          <w:i/>
          <w:iCs/>
          <w:sz w:val="22"/>
          <w:szCs w:val="22"/>
        </w:rPr>
        <w:t>wild type</w:t>
      </w:r>
      <w:r w:rsidR="00D47C0B">
        <w:rPr>
          <w:rFonts w:ascii="Arial" w:hAnsi="Arial" w:cs="Arial"/>
          <w:bCs/>
          <w:sz w:val="22"/>
          <w:szCs w:val="22"/>
        </w:rPr>
        <w:t xml:space="preserve"> RBCs, </w:t>
      </w:r>
      <w:proofErr w:type="spellStart"/>
      <w:r w:rsidR="00D47C0B">
        <w:rPr>
          <w:rFonts w:ascii="Arial" w:hAnsi="Arial" w:cs="Arial"/>
          <w:bCs/>
          <w:sz w:val="22"/>
          <w:szCs w:val="22"/>
        </w:rPr>
        <w:t>KELIg</w:t>
      </w:r>
      <w:proofErr w:type="spellEnd"/>
      <w:r w:rsidR="00D47C0B">
        <w:rPr>
          <w:rFonts w:ascii="Arial" w:hAnsi="Arial" w:cs="Arial"/>
          <w:bCs/>
          <w:sz w:val="22"/>
          <w:szCs w:val="22"/>
        </w:rPr>
        <w:t xml:space="preserve">, sera, and </w:t>
      </w:r>
      <w:r w:rsidRPr="00950ECC">
        <w:rPr>
          <w:rFonts w:ascii="Arial" w:hAnsi="Arial" w:cs="Arial"/>
          <w:bCs/>
          <w:sz w:val="22"/>
          <w:szCs w:val="22"/>
        </w:rPr>
        <w:t>WBCs from wild type donor mice, B220</w:t>
      </w:r>
      <w:r w:rsidR="00BB1E55">
        <w:rPr>
          <w:rFonts w:ascii="Arial" w:hAnsi="Arial" w:cs="Arial"/>
          <w:bCs/>
          <w:sz w:val="22"/>
          <w:szCs w:val="22"/>
        </w:rPr>
        <w:t>+</w:t>
      </w:r>
      <w:r w:rsidRPr="00950ECC">
        <w:rPr>
          <w:rFonts w:ascii="Arial" w:hAnsi="Arial" w:cs="Arial"/>
          <w:bCs/>
          <w:sz w:val="22"/>
          <w:szCs w:val="22"/>
        </w:rPr>
        <w:t xml:space="preserve"> B-cells cells were separated by </w:t>
      </w:r>
      <w:proofErr w:type="spellStart"/>
      <w:r w:rsidRPr="00950ECC">
        <w:rPr>
          <w:rFonts w:ascii="Arial" w:hAnsi="Arial" w:cs="Arial"/>
          <w:bCs/>
          <w:sz w:val="22"/>
          <w:szCs w:val="22"/>
        </w:rPr>
        <w:t>DiO</w:t>
      </w:r>
      <w:proofErr w:type="spellEnd"/>
      <w:r w:rsidRPr="00950ECC">
        <w:rPr>
          <w:rFonts w:ascii="Arial" w:hAnsi="Arial" w:cs="Arial"/>
          <w:bCs/>
          <w:sz w:val="22"/>
          <w:szCs w:val="22"/>
        </w:rPr>
        <w:t xml:space="preserve"> positivity</w:t>
      </w:r>
      <w:r w:rsidR="00D47C0B">
        <w:rPr>
          <w:rFonts w:ascii="Arial" w:hAnsi="Arial" w:cs="Arial"/>
          <w:bCs/>
          <w:sz w:val="22"/>
          <w:szCs w:val="22"/>
        </w:rPr>
        <w:t xml:space="preserve">; </w:t>
      </w:r>
      <w:r w:rsidRPr="00950ECC">
        <w:rPr>
          <w:rFonts w:ascii="Arial" w:hAnsi="Arial" w:cs="Arial"/>
          <w:bCs/>
          <w:sz w:val="22"/>
          <w:szCs w:val="22"/>
        </w:rPr>
        <w:t xml:space="preserve">the </w:t>
      </w:r>
      <w:proofErr w:type="spellStart"/>
      <w:r w:rsidRPr="00950ECC">
        <w:rPr>
          <w:rFonts w:ascii="Arial" w:hAnsi="Arial" w:cs="Arial"/>
          <w:bCs/>
          <w:sz w:val="22"/>
          <w:szCs w:val="22"/>
        </w:rPr>
        <w:t>DiO</w:t>
      </w:r>
      <w:proofErr w:type="spellEnd"/>
      <w:r w:rsidRPr="00950ECC">
        <w:rPr>
          <w:rFonts w:ascii="Arial" w:hAnsi="Arial" w:cs="Arial"/>
          <w:bCs/>
          <w:sz w:val="22"/>
          <w:szCs w:val="22"/>
        </w:rPr>
        <w:t xml:space="preserve"> positive and negative populations were then evaluated for their C3 positivity.  Shaded histograms are the </w:t>
      </w:r>
      <w:proofErr w:type="spellStart"/>
      <w:r w:rsidRPr="00950ECC">
        <w:rPr>
          <w:rFonts w:ascii="Arial" w:hAnsi="Arial" w:cs="Arial"/>
          <w:bCs/>
          <w:sz w:val="22"/>
          <w:szCs w:val="22"/>
        </w:rPr>
        <w:t>DiO</w:t>
      </w:r>
      <w:proofErr w:type="spellEnd"/>
      <w:r w:rsidRPr="00950ECC">
        <w:rPr>
          <w:rFonts w:ascii="Arial" w:hAnsi="Arial" w:cs="Arial"/>
          <w:bCs/>
          <w:sz w:val="22"/>
          <w:szCs w:val="22"/>
        </w:rPr>
        <w:t xml:space="preserve"> positive population, open histograms are the </w:t>
      </w:r>
      <w:proofErr w:type="spellStart"/>
      <w:r w:rsidRPr="00950ECC">
        <w:rPr>
          <w:rFonts w:ascii="Arial" w:hAnsi="Arial" w:cs="Arial"/>
          <w:bCs/>
          <w:sz w:val="22"/>
          <w:szCs w:val="22"/>
        </w:rPr>
        <w:t>DiO</w:t>
      </w:r>
      <w:proofErr w:type="spellEnd"/>
      <w:r w:rsidRPr="00950ECC">
        <w:rPr>
          <w:rFonts w:ascii="Arial" w:hAnsi="Arial" w:cs="Arial"/>
          <w:bCs/>
          <w:sz w:val="22"/>
          <w:szCs w:val="22"/>
        </w:rPr>
        <w:t xml:space="preserve"> negative population.  (</w:t>
      </w:r>
      <w:r w:rsidRPr="001239D6">
        <w:rPr>
          <w:rFonts w:ascii="Arial" w:hAnsi="Arial" w:cs="Arial"/>
          <w:b/>
          <w:sz w:val="22"/>
          <w:szCs w:val="22"/>
        </w:rPr>
        <w:t>B</w:t>
      </w:r>
      <w:r w:rsidRPr="00950ECC">
        <w:rPr>
          <w:rFonts w:ascii="Arial" w:hAnsi="Arial" w:cs="Arial"/>
          <w:bCs/>
          <w:sz w:val="22"/>
          <w:szCs w:val="22"/>
        </w:rPr>
        <w:t xml:space="preserve">) In wells using </w:t>
      </w:r>
      <w:r w:rsidR="00D47C0B">
        <w:rPr>
          <w:rFonts w:ascii="Arial" w:hAnsi="Arial" w:cs="Arial"/>
          <w:bCs/>
          <w:sz w:val="22"/>
          <w:szCs w:val="22"/>
        </w:rPr>
        <w:t xml:space="preserve">KEL RBCs, </w:t>
      </w:r>
      <w:r w:rsidR="009F7845" w:rsidRPr="009F7845">
        <w:rPr>
          <w:rFonts w:ascii="Arial" w:hAnsi="Arial" w:cs="Arial"/>
          <w:bCs/>
          <w:i/>
          <w:iCs/>
          <w:sz w:val="22"/>
          <w:szCs w:val="22"/>
        </w:rPr>
        <w:t xml:space="preserve">no </w:t>
      </w:r>
      <w:proofErr w:type="spellStart"/>
      <w:r w:rsidR="00D47C0B" w:rsidRPr="009F7845">
        <w:rPr>
          <w:rFonts w:ascii="Arial" w:hAnsi="Arial" w:cs="Arial"/>
          <w:bCs/>
          <w:i/>
          <w:iCs/>
          <w:sz w:val="22"/>
          <w:szCs w:val="22"/>
        </w:rPr>
        <w:t>KELIg</w:t>
      </w:r>
      <w:proofErr w:type="spellEnd"/>
      <w:r w:rsidR="00D47C0B">
        <w:rPr>
          <w:rFonts w:ascii="Arial" w:hAnsi="Arial" w:cs="Arial"/>
          <w:bCs/>
          <w:sz w:val="22"/>
          <w:szCs w:val="22"/>
        </w:rPr>
        <w:t>,</w:t>
      </w:r>
      <w:r w:rsidR="00D47C0B" w:rsidRPr="000E49C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D47C0B" w:rsidRPr="009F7845">
        <w:rPr>
          <w:rFonts w:ascii="Arial" w:hAnsi="Arial" w:cs="Arial"/>
          <w:bCs/>
          <w:sz w:val="22"/>
          <w:szCs w:val="22"/>
        </w:rPr>
        <w:t>sera</w:t>
      </w:r>
      <w:r w:rsidR="00D47C0B">
        <w:rPr>
          <w:rFonts w:ascii="Arial" w:hAnsi="Arial" w:cs="Arial"/>
          <w:bCs/>
          <w:sz w:val="22"/>
          <w:szCs w:val="22"/>
        </w:rPr>
        <w:t>, and WBCs from wild type donor mice, the same gating was completed.  (</w:t>
      </w:r>
      <w:r w:rsidR="00D47C0B" w:rsidRPr="00FD5158">
        <w:rPr>
          <w:rFonts w:ascii="Arial" w:hAnsi="Arial" w:cs="Arial"/>
          <w:b/>
          <w:sz w:val="22"/>
          <w:szCs w:val="22"/>
        </w:rPr>
        <w:t>C</w:t>
      </w:r>
      <w:r w:rsidR="00D47C0B">
        <w:rPr>
          <w:rFonts w:ascii="Arial" w:hAnsi="Arial" w:cs="Arial"/>
          <w:bCs/>
          <w:sz w:val="22"/>
          <w:szCs w:val="22"/>
        </w:rPr>
        <w:t xml:space="preserve">) </w:t>
      </w:r>
      <w:r w:rsidR="00FD5158">
        <w:rPr>
          <w:rFonts w:ascii="Arial" w:hAnsi="Arial" w:cs="Arial"/>
          <w:bCs/>
          <w:sz w:val="22"/>
          <w:szCs w:val="22"/>
        </w:rPr>
        <w:t>I</w:t>
      </w:r>
      <w:r w:rsidR="00D47C0B">
        <w:rPr>
          <w:rFonts w:ascii="Arial" w:hAnsi="Arial" w:cs="Arial"/>
          <w:bCs/>
          <w:sz w:val="22"/>
          <w:szCs w:val="22"/>
        </w:rPr>
        <w:t xml:space="preserve">n wells using KEL RBCs, </w:t>
      </w:r>
      <w:proofErr w:type="spellStart"/>
      <w:r w:rsidR="00D47C0B" w:rsidRPr="009F7845">
        <w:rPr>
          <w:rFonts w:ascii="Arial" w:hAnsi="Arial" w:cs="Arial"/>
          <w:bCs/>
          <w:sz w:val="22"/>
          <w:szCs w:val="22"/>
        </w:rPr>
        <w:t>KELIg</w:t>
      </w:r>
      <w:proofErr w:type="spellEnd"/>
      <w:r w:rsidR="00D47C0B" w:rsidRPr="009F7845">
        <w:rPr>
          <w:rFonts w:ascii="Arial" w:hAnsi="Arial" w:cs="Arial"/>
          <w:bCs/>
          <w:sz w:val="22"/>
          <w:szCs w:val="22"/>
        </w:rPr>
        <w:t>,</w:t>
      </w:r>
      <w:r w:rsidR="00D47C0B">
        <w:rPr>
          <w:rFonts w:ascii="Arial" w:hAnsi="Arial" w:cs="Arial"/>
          <w:bCs/>
          <w:sz w:val="22"/>
          <w:szCs w:val="22"/>
        </w:rPr>
        <w:t xml:space="preserve"> </w:t>
      </w:r>
      <w:r w:rsidR="009F7845" w:rsidRPr="009F7845">
        <w:rPr>
          <w:rFonts w:ascii="Arial" w:hAnsi="Arial" w:cs="Arial"/>
          <w:bCs/>
          <w:i/>
          <w:iCs/>
          <w:sz w:val="22"/>
          <w:szCs w:val="22"/>
        </w:rPr>
        <w:t xml:space="preserve">no </w:t>
      </w:r>
      <w:r w:rsidR="00D47C0B" w:rsidRPr="009F7845">
        <w:rPr>
          <w:rFonts w:ascii="Arial" w:hAnsi="Arial" w:cs="Arial"/>
          <w:bCs/>
          <w:i/>
          <w:iCs/>
          <w:sz w:val="22"/>
          <w:szCs w:val="22"/>
        </w:rPr>
        <w:t>sera</w:t>
      </w:r>
      <w:r w:rsidR="00D47C0B">
        <w:rPr>
          <w:rFonts w:ascii="Arial" w:hAnsi="Arial" w:cs="Arial"/>
          <w:bCs/>
          <w:sz w:val="22"/>
          <w:szCs w:val="22"/>
        </w:rPr>
        <w:t>, and WBCs from wild type donor mice, the same gating was completed.</w:t>
      </w:r>
      <w:r w:rsidR="00C61859" w:rsidRPr="00C61859">
        <w:t xml:space="preserve"> </w:t>
      </w:r>
      <w:r w:rsidR="00C61859" w:rsidRPr="00C61859">
        <w:rPr>
          <w:rFonts w:ascii="Arial" w:hAnsi="Arial" w:cs="Arial"/>
          <w:bCs/>
          <w:sz w:val="22"/>
          <w:szCs w:val="22"/>
        </w:rPr>
        <w:t>These data are representative of 3 independent experiments.</w:t>
      </w:r>
    </w:p>
    <w:p w14:paraId="472B2210" w14:textId="4A50A166" w:rsidR="00004E99" w:rsidRDefault="00004E99">
      <w:pPr>
        <w:spacing w:after="160" w:line="259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0719000C" wp14:editId="237937A2">
            <wp:extent cx="4162097" cy="490981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3" r="16827"/>
                    <a:stretch/>
                  </pic:blipFill>
                  <pic:spPr bwMode="auto">
                    <a:xfrm>
                      <a:off x="0" y="0"/>
                      <a:ext cx="4246348" cy="50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4E9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89E56" w14:textId="77777777" w:rsidR="00F6310B" w:rsidRDefault="00F6310B" w:rsidP="004702D5">
      <w:r>
        <w:separator/>
      </w:r>
    </w:p>
  </w:endnote>
  <w:endnote w:type="continuationSeparator" w:id="0">
    <w:p w14:paraId="41E64586" w14:textId="77777777" w:rsidR="00F6310B" w:rsidRDefault="00F6310B" w:rsidP="00470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81678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A77071" w14:textId="77777777" w:rsidR="004702D5" w:rsidRDefault="004702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915F44" w14:textId="77777777" w:rsidR="004702D5" w:rsidRDefault="004702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43FD3" w14:textId="77777777" w:rsidR="00F6310B" w:rsidRDefault="00F6310B" w:rsidP="004702D5">
      <w:r>
        <w:separator/>
      </w:r>
    </w:p>
  </w:footnote>
  <w:footnote w:type="continuationSeparator" w:id="0">
    <w:p w14:paraId="4BBABB25" w14:textId="77777777" w:rsidR="00F6310B" w:rsidRDefault="00F6310B" w:rsidP="004702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564DE"/>
    <w:multiLevelType w:val="hybridMultilevel"/>
    <w:tmpl w:val="111003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50D"/>
    <w:rsid w:val="00004E99"/>
    <w:rsid w:val="000A3BDB"/>
    <w:rsid w:val="000E49CC"/>
    <w:rsid w:val="001239D6"/>
    <w:rsid w:val="0017350D"/>
    <w:rsid w:val="0017665F"/>
    <w:rsid w:val="001F726B"/>
    <w:rsid w:val="002B1B5D"/>
    <w:rsid w:val="004702D5"/>
    <w:rsid w:val="004F4726"/>
    <w:rsid w:val="00511F91"/>
    <w:rsid w:val="0056357F"/>
    <w:rsid w:val="00950ECC"/>
    <w:rsid w:val="009B6B07"/>
    <w:rsid w:val="009D142C"/>
    <w:rsid w:val="009F7845"/>
    <w:rsid w:val="00A12693"/>
    <w:rsid w:val="00A53D66"/>
    <w:rsid w:val="00A95B2A"/>
    <w:rsid w:val="00AF4420"/>
    <w:rsid w:val="00BB1E55"/>
    <w:rsid w:val="00C336EA"/>
    <w:rsid w:val="00C61859"/>
    <w:rsid w:val="00D47C0B"/>
    <w:rsid w:val="00D80A03"/>
    <w:rsid w:val="00DE79E1"/>
    <w:rsid w:val="00E70A60"/>
    <w:rsid w:val="00E7152A"/>
    <w:rsid w:val="00F21E53"/>
    <w:rsid w:val="00F6310B"/>
    <w:rsid w:val="00F64773"/>
    <w:rsid w:val="00FD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C04CB"/>
  <w15:chartTrackingRefBased/>
  <w15:docId w15:val="{A65A7E50-4C6A-4175-8E1E-3F62542A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5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2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2D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702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2D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702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Hendrickson, Jeanne</dc:creator>
  <cp:keywords/>
  <dc:description/>
  <cp:lastModifiedBy>Hendrickson, Jeanne</cp:lastModifiedBy>
  <cp:revision>2</cp:revision>
  <dcterms:created xsi:type="dcterms:W3CDTF">2021-06-11T13:02:00Z</dcterms:created>
  <dcterms:modified xsi:type="dcterms:W3CDTF">2021-06-11T13:02:00Z</dcterms:modified>
</cp:coreProperties>
</file>