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D0FD" w14:textId="77777777" w:rsidR="005E36F1" w:rsidRDefault="005E36F1" w:rsidP="005E36F1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en-US" w:eastAsia="de-DE"/>
        </w:rPr>
      </w:pPr>
      <w:r>
        <w:rPr>
          <w:rFonts w:ascii="Times New Roman" w:hAnsi="Times New Roman"/>
          <w:b/>
          <w:sz w:val="24"/>
          <w:szCs w:val="24"/>
          <w:lang w:val="en-US" w:eastAsia="de-DE"/>
        </w:rPr>
        <w:t>Supplementary Material</w:t>
      </w:r>
    </w:p>
    <w:p w14:paraId="219C4AAF" w14:textId="77777777" w:rsidR="005E36F1" w:rsidRPr="006523F2" w:rsidRDefault="005E36F1" w:rsidP="005E36F1">
      <w:pPr>
        <w:spacing w:after="160" w:line="259" w:lineRule="auto"/>
        <w:jc w:val="both"/>
        <w:rPr>
          <w:rFonts w:ascii="Times New Roman" w:eastAsia="Calibri" w:hAnsi="Times New Roman"/>
          <w:sz w:val="20"/>
          <w:szCs w:val="24"/>
          <w:lang w:val="en-US" w:eastAsia="de-DE"/>
        </w:rPr>
      </w:pPr>
      <w:r>
        <w:rPr>
          <w:rFonts w:ascii="Times New Roman" w:eastAsia="Calibri" w:hAnsi="Times New Roman"/>
          <w:b/>
          <w:sz w:val="20"/>
          <w:szCs w:val="24"/>
          <w:lang w:val="en-US" w:eastAsia="de-DE"/>
        </w:rPr>
        <w:t>Table</w:t>
      </w:r>
      <w:r w:rsidRPr="006523F2">
        <w:rPr>
          <w:rFonts w:ascii="Times New Roman" w:eastAsia="Calibri" w:hAnsi="Times New Roman"/>
          <w:b/>
          <w:sz w:val="20"/>
          <w:szCs w:val="24"/>
          <w:lang w:val="en-US" w:eastAsia="de-DE"/>
        </w:rPr>
        <w:t xml:space="preserve"> S1 </w:t>
      </w:r>
      <w:r w:rsidRPr="00C52E54">
        <w:rPr>
          <w:rStyle w:val="Kommentarzeichen"/>
          <w:rFonts w:ascii="Times New Roman" w:hAnsi="Times New Roman"/>
          <w:b/>
          <w:sz w:val="20"/>
          <w:szCs w:val="20"/>
          <w:lang w:val="en-GB"/>
        </w:rPr>
        <w:t>M</w:t>
      </w:r>
      <w:r>
        <w:rPr>
          <w:rFonts w:ascii="Times New Roman" w:eastAsia="Calibri" w:hAnsi="Times New Roman"/>
          <w:b/>
          <w:sz w:val="20"/>
          <w:szCs w:val="24"/>
          <w:lang w:val="en-US" w:eastAsia="de-DE"/>
        </w:rPr>
        <w:t xml:space="preserve">ean concentrations as naturally found in pollen and stimulus concentrations of amino acids (AA). 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Essential amino acids according to 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begin"/>
      </w:r>
      <w:r>
        <w:rPr>
          <w:rFonts w:ascii="Times New Roman" w:eastAsia="Calibri" w:hAnsi="Times New Roman"/>
          <w:sz w:val="20"/>
          <w:szCs w:val="24"/>
          <w:lang w:val="en-US" w:eastAsia="de-DE"/>
        </w:rPr>
        <w:instrText xml:space="preserve"> ADDIN EN.CITE &lt;EndNote&gt;&lt;Cite AuthorYear="1"&gt;&lt;Author&gt;DeGroot&lt;/Author&gt;&lt;Year&gt;1953&lt;/Year&gt;&lt;RecNum&gt;463&lt;/RecNum&gt;&lt;DisplayText&gt;DeGroot (1953)&lt;/DisplayText&gt;&lt;record&gt;&lt;rec-number&gt;463&lt;/rec-number&gt;&lt;foreign-keys&gt;&lt;key app="EN" db-id="99zw2zx2hrwd5wer0s8pv0pue922ffpparrp" timestamp="1573049703"&gt;463&lt;/key&gt;&lt;/foreign-keys&gt;&lt;ref-type name="Journal Article"&gt;17&lt;/ref-type&gt;&lt;contributors&gt;&lt;authors&gt;&lt;author&gt;DeGroot, A.P.&lt;/author&gt;&lt;/authors&gt;&lt;/contributors&gt;&lt;titles&gt;&lt;title&gt;&lt;style face="normal" font="default" size="100%"&gt;Protein and amino acid requirements of the honey bee (&lt;/style&gt;&lt;style face="italic" font="default" size="100%"&gt;Apis mellifica&lt;/style&gt;&lt;style face="normal" font="default" size="100%"&gt; L.)&lt;/style&gt;&lt;/title&gt;&lt;secondary-title&gt;Physiologia comparata et oecologia&lt;/secondary-title&gt;&lt;/titles&gt;&lt;periodical&gt;&lt;full-title&gt;Physiologia comparata et oecologia&lt;/full-title&gt;&lt;/periodical&gt;&lt;pages&gt;197-285&lt;/pages&gt;&lt;volume&gt;3&lt;/volume&gt;&lt;dates&gt;&lt;year&gt;1953&lt;/year&gt;&lt;/dates&gt;&lt;urls&gt;&lt;/urls&gt;&lt;/record&gt;&lt;/Cite&gt;&lt;/EndNote&gt;</w:instrTex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separate"/>
      </w:r>
      <w:r>
        <w:rPr>
          <w:rFonts w:ascii="Times New Roman" w:eastAsia="Calibri" w:hAnsi="Times New Roman"/>
          <w:noProof/>
          <w:sz w:val="20"/>
          <w:szCs w:val="24"/>
          <w:lang w:val="en-US" w:eastAsia="de-DE"/>
        </w:rPr>
        <w:t>DeGroot (1953)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end"/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are marked in bold. 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 xml:space="preserve">For the final concentration, we added ten times the 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mean 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>natural concentration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(Concentration natural)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 xml:space="preserve"> 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>and 26 ml of de-ionized water to 24 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>g of the pollen mix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(10x AA)</w:t>
      </w:r>
      <w:r w:rsidRPr="00D04B5B">
        <w:rPr>
          <w:rFonts w:ascii="Times New Roman" w:eastAsia="Calibri" w:hAnsi="Times New Roman"/>
          <w:sz w:val="20"/>
          <w:szCs w:val="24"/>
          <w:lang w:val="en-US" w:eastAsia="de-DE"/>
        </w:rPr>
        <w:t xml:space="preserve"> to create the stimulus for chemotactile proboscis extension response (PER) conditioning.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Concentrations of amino acids as found in pollen of 142 plant species were obtained from 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begin">
          <w:fldData xml:space="preserve">PEVuZE5vdGU+PENpdGUgQXV0aG9yWWVhcj0iMSI+PEF1dGhvcj5XZWluZXI8L0F1dGhvcj48WWVh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</w:fldData>
        </w:fldChar>
      </w:r>
      <w:r>
        <w:rPr>
          <w:rFonts w:ascii="Times New Roman" w:eastAsia="Calibri" w:hAnsi="Times New Roman"/>
          <w:sz w:val="20"/>
          <w:szCs w:val="24"/>
          <w:lang w:val="en-US" w:eastAsia="de-DE"/>
        </w:rPr>
        <w:instrText xml:space="preserve"> ADDIN EN.CITE </w:instrTex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begin">
          <w:fldData xml:space="preserve">PEVuZE5vdGU+PENpdGUgQXV0aG9yWWVhcj0iMSI+PEF1dGhvcj5XZWluZXI8L0F1dGhvcj48WWVh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</w:fldData>
        </w:fldChar>
      </w:r>
      <w:r>
        <w:rPr>
          <w:rFonts w:ascii="Times New Roman" w:eastAsia="Calibri" w:hAnsi="Times New Roman"/>
          <w:sz w:val="20"/>
          <w:szCs w:val="24"/>
          <w:lang w:val="en-US" w:eastAsia="de-DE"/>
        </w:rPr>
        <w:instrText xml:space="preserve"> ADDIN EN.CITE.DATA </w:instrText>
      </w:r>
      <w:r>
        <w:rPr>
          <w:rFonts w:ascii="Times New Roman" w:eastAsia="Calibri" w:hAnsi="Times New Roman"/>
          <w:sz w:val="20"/>
          <w:szCs w:val="24"/>
          <w:lang w:val="en-US" w:eastAsia="de-DE"/>
        </w:rPr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end"/>
      </w:r>
      <w:r>
        <w:rPr>
          <w:rFonts w:ascii="Times New Roman" w:eastAsia="Calibri" w:hAnsi="Times New Roman"/>
          <w:sz w:val="20"/>
          <w:szCs w:val="24"/>
          <w:lang w:val="en-US" w:eastAsia="de-DE"/>
        </w:rPr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separate"/>
      </w:r>
      <w:r>
        <w:rPr>
          <w:rFonts w:ascii="Times New Roman" w:eastAsia="Calibri" w:hAnsi="Times New Roman"/>
          <w:noProof/>
          <w:sz w:val="20"/>
          <w:szCs w:val="24"/>
          <w:lang w:val="en-US" w:eastAsia="de-DE"/>
        </w:rPr>
        <w:t>Weiner et al. (2010)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fldChar w:fldCharType="end"/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and averaged to calculate the mean natural concentration. </w:t>
      </w:r>
      <w:r w:rsidRPr="006523F2">
        <w:rPr>
          <w:rFonts w:ascii="Times New Roman" w:eastAsia="Calibri" w:hAnsi="Times New Roman"/>
          <w:sz w:val="20"/>
          <w:szCs w:val="24"/>
          <w:lang w:val="en-US" w:eastAsia="de-DE"/>
        </w:rPr>
        <w:t>All</w:t>
      </w:r>
      <w:r>
        <w:rPr>
          <w:rFonts w:ascii="Times New Roman" w:eastAsia="Calibri" w:hAnsi="Times New Roman"/>
          <w:sz w:val="20"/>
          <w:szCs w:val="24"/>
          <w:lang w:val="en-US" w:eastAsia="de-DE"/>
        </w:rPr>
        <w:t xml:space="preserve"> amino acids </w:t>
      </w:r>
      <w:r w:rsidRPr="006523F2">
        <w:rPr>
          <w:rFonts w:ascii="Times New Roman" w:eastAsia="Calibri" w:hAnsi="Times New Roman"/>
          <w:sz w:val="20"/>
          <w:szCs w:val="24"/>
          <w:lang w:val="en-US" w:eastAsia="de-DE"/>
        </w:rPr>
        <w:t>were purchased from Sigma-Aldrich, Taufkirchen, Germany.</w:t>
      </w:r>
    </w:p>
    <w:tbl>
      <w:tblPr>
        <w:tblStyle w:val="TabellemithellemGitternetz1"/>
        <w:tblW w:w="46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</w:tblGrid>
      <w:tr w:rsidR="005E36F1" w:rsidRPr="009C4B97" w14:paraId="2CA122CD" w14:textId="77777777" w:rsidTr="00ED3164">
        <w:trPr>
          <w:trHeight w:val="137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3E9EE13" w14:textId="77777777" w:rsidR="005E36F1" w:rsidRPr="00F6043A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6043A">
              <w:rPr>
                <w:rFonts w:ascii="Times New Roman" w:eastAsia="Calibri" w:hAnsi="Times New Roman"/>
                <w:b/>
                <w:color w:val="000000"/>
              </w:rPr>
              <w:t>Amino acid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05F01DB" w14:textId="77777777" w:rsidR="005E36F1" w:rsidRPr="00F6043A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</w:rPr>
            </w:pPr>
            <w:r w:rsidRPr="00F6043A">
              <w:rPr>
                <w:rFonts w:ascii="Times New Roman" w:eastAsia="Calibri" w:hAnsi="Times New Roman" w:cs="Calibri"/>
                <w:b/>
                <w:color w:val="000000"/>
              </w:rPr>
              <w:t xml:space="preserve">Concentration </w:t>
            </w:r>
            <w:r>
              <w:rPr>
                <w:rFonts w:ascii="Times New Roman" w:eastAsia="Calibri" w:hAnsi="Times New Roman" w:cs="Calibri"/>
                <w:b/>
                <w:color w:val="000000"/>
              </w:rPr>
              <w:t xml:space="preserve">natural </w:t>
            </w:r>
            <w:r w:rsidRPr="00F6043A">
              <w:rPr>
                <w:rFonts w:ascii="Times New Roman" w:eastAsia="Calibri" w:hAnsi="Times New Roman" w:cs="Calibri"/>
                <w:b/>
                <w:color w:val="000000"/>
              </w:rPr>
              <w:t>[mg/g]</w:t>
            </w:r>
          </w:p>
        </w:tc>
        <w:tc>
          <w:tcPr>
            <w:tcW w:w="1559" w:type="dxa"/>
            <w:shd w:val="clear" w:color="auto" w:fill="E7E6E6" w:themeFill="background2"/>
          </w:tcPr>
          <w:p w14:paraId="17D6F5D1" w14:textId="77777777" w:rsidR="005E36F1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Concentration 10x AA [mg/g]</w:t>
            </w:r>
          </w:p>
        </w:tc>
      </w:tr>
      <w:tr w:rsidR="005E36F1" w:rsidRPr="006523F2" w14:paraId="51DCD2A3" w14:textId="77777777" w:rsidTr="00ED3164">
        <w:trPr>
          <w:trHeight w:val="137"/>
          <w:jc w:val="center"/>
        </w:trPr>
        <w:tc>
          <w:tcPr>
            <w:tcW w:w="1560" w:type="dxa"/>
          </w:tcPr>
          <w:p w14:paraId="3CC0DE13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Alanine</w:t>
            </w:r>
          </w:p>
        </w:tc>
        <w:tc>
          <w:tcPr>
            <w:tcW w:w="1559" w:type="dxa"/>
          </w:tcPr>
          <w:p w14:paraId="4E14634E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1.353</w:t>
            </w:r>
          </w:p>
        </w:tc>
        <w:tc>
          <w:tcPr>
            <w:tcW w:w="1559" w:type="dxa"/>
          </w:tcPr>
          <w:p w14:paraId="7F329075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14.883</w:t>
            </w:r>
          </w:p>
        </w:tc>
      </w:tr>
      <w:tr w:rsidR="005E36F1" w:rsidRPr="006523F2" w14:paraId="27A68910" w14:textId="77777777" w:rsidTr="00ED3164">
        <w:trPr>
          <w:trHeight w:val="137"/>
          <w:jc w:val="center"/>
        </w:trPr>
        <w:tc>
          <w:tcPr>
            <w:tcW w:w="1560" w:type="dxa"/>
          </w:tcPr>
          <w:p w14:paraId="1F89940E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Asparagine</w:t>
            </w:r>
          </w:p>
        </w:tc>
        <w:tc>
          <w:tcPr>
            <w:tcW w:w="1559" w:type="dxa"/>
          </w:tcPr>
          <w:p w14:paraId="7C019295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0.846</w:t>
            </w:r>
          </w:p>
        </w:tc>
        <w:tc>
          <w:tcPr>
            <w:tcW w:w="1559" w:type="dxa"/>
          </w:tcPr>
          <w:p w14:paraId="6361527E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9.306</w:t>
            </w:r>
          </w:p>
        </w:tc>
      </w:tr>
      <w:tr w:rsidR="005E36F1" w:rsidRPr="006523F2" w14:paraId="6A1041FF" w14:textId="77777777" w:rsidTr="00ED3164">
        <w:trPr>
          <w:trHeight w:val="99"/>
          <w:jc w:val="center"/>
        </w:trPr>
        <w:tc>
          <w:tcPr>
            <w:tcW w:w="1560" w:type="dxa"/>
          </w:tcPr>
          <w:p w14:paraId="3AE4E3C2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Cysteine</w:t>
            </w:r>
          </w:p>
        </w:tc>
        <w:tc>
          <w:tcPr>
            <w:tcW w:w="1559" w:type="dxa"/>
          </w:tcPr>
          <w:p w14:paraId="7A02651C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0.036</w:t>
            </w:r>
          </w:p>
        </w:tc>
        <w:tc>
          <w:tcPr>
            <w:tcW w:w="1559" w:type="dxa"/>
          </w:tcPr>
          <w:p w14:paraId="48EDE8FE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0.369</w:t>
            </w:r>
          </w:p>
        </w:tc>
      </w:tr>
      <w:tr w:rsidR="005E36F1" w:rsidRPr="006523F2" w14:paraId="43093D9A" w14:textId="77777777" w:rsidTr="00ED3164">
        <w:trPr>
          <w:trHeight w:val="99"/>
          <w:jc w:val="center"/>
        </w:trPr>
        <w:tc>
          <w:tcPr>
            <w:tcW w:w="1560" w:type="dxa"/>
          </w:tcPr>
          <w:p w14:paraId="0CC0B8CB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Glutamic acid</w:t>
            </w:r>
          </w:p>
        </w:tc>
        <w:tc>
          <w:tcPr>
            <w:tcW w:w="1559" w:type="dxa"/>
          </w:tcPr>
          <w:p w14:paraId="587DFF76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1.037</w:t>
            </w:r>
          </w:p>
        </w:tc>
        <w:tc>
          <w:tcPr>
            <w:tcW w:w="1559" w:type="dxa"/>
          </w:tcPr>
          <w:p w14:paraId="74BE4926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11.407</w:t>
            </w:r>
          </w:p>
        </w:tc>
      </w:tr>
      <w:tr w:rsidR="005E36F1" w:rsidRPr="006523F2" w14:paraId="6BD25E01" w14:textId="77777777" w:rsidTr="00ED3164">
        <w:trPr>
          <w:trHeight w:val="99"/>
          <w:jc w:val="center"/>
        </w:trPr>
        <w:tc>
          <w:tcPr>
            <w:tcW w:w="1560" w:type="dxa"/>
          </w:tcPr>
          <w:p w14:paraId="548D0E17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Hydroxyproline</w:t>
            </w:r>
          </w:p>
        </w:tc>
        <w:tc>
          <w:tcPr>
            <w:tcW w:w="1559" w:type="dxa"/>
          </w:tcPr>
          <w:p w14:paraId="42627DB1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1.473</w:t>
            </w:r>
          </w:p>
        </w:tc>
        <w:tc>
          <w:tcPr>
            <w:tcW w:w="1559" w:type="dxa"/>
          </w:tcPr>
          <w:p w14:paraId="577CDA5F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15.807</w:t>
            </w:r>
          </w:p>
        </w:tc>
      </w:tr>
      <w:tr w:rsidR="005E36F1" w:rsidRPr="006523F2" w14:paraId="54372D3E" w14:textId="77777777" w:rsidTr="00ED3164">
        <w:trPr>
          <w:trHeight w:val="99"/>
          <w:jc w:val="center"/>
        </w:trPr>
        <w:tc>
          <w:tcPr>
            <w:tcW w:w="1560" w:type="dxa"/>
          </w:tcPr>
          <w:p w14:paraId="006D30FF" w14:textId="77777777" w:rsidR="005E36F1" w:rsidRPr="00C23237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23237">
              <w:rPr>
                <w:rFonts w:ascii="Times New Roman" w:eastAsia="Calibri" w:hAnsi="Times New Roman"/>
                <w:b/>
                <w:color w:val="000000"/>
              </w:rPr>
              <w:t>Leucine</w:t>
            </w:r>
          </w:p>
        </w:tc>
        <w:tc>
          <w:tcPr>
            <w:tcW w:w="1559" w:type="dxa"/>
          </w:tcPr>
          <w:p w14:paraId="77FD5803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0.797</w:t>
            </w:r>
          </w:p>
        </w:tc>
        <w:tc>
          <w:tcPr>
            <w:tcW w:w="1559" w:type="dxa"/>
          </w:tcPr>
          <w:p w14:paraId="4D265FD4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8.767</w:t>
            </w:r>
          </w:p>
        </w:tc>
      </w:tr>
      <w:tr w:rsidR="005E36F1" w:rsidRPr="006523F2" w14:paraId="3055EF94" w14:textId="77777777" w:rsidTr="00ED3164">
        <w:trPr>
          <w:trHeight w:val="99"/>
          <w:jc w:val="center"/>
        </w:trPr>
        <w:tc>
          <w:tcPr>
            <w:tcW w:w="1560" w:type="dxa"/>
          </w:tcPr>
          <w:p w14:paraId="63CF8C92" w14:textId="77777777" w:rsidR="005E36F1" w:rsidRPr="00C23237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23237">
              <w:rPr>
                <w:rFonts w:ascii="Times New Roman" w:eastAsia="Calibri" w:hAnsi="Times New Roman"/>
                <w:b/>
                <w:color w:val="000000"/>
              </w:rPr>
              <w:t>Lysine</w:t>
            </w:r>
          </w:p>
        </w:tc>
        <w:tc>
          <w:tcPr>
            <w:tcW w:w="1559" w:type="dxa"/>
          </w:tcPr>
          <w:p w14:paraId="2C50B035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1.007</w:t>
            </w:r>
          </w:p>
        </w:tc>
        <w:tc>
          <w:tcPr>
            <w:tcW w:w="1559" w:type="dxa"/>
          </w:tcPr>
          <w:p w14:paraId="2E849BB3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11.077</w:t>
            </w:r>
          </w:p>
        </w:tc>
      </w:tr>
      <w:tr w:rsidR="005E36F1" w:rsidRPr="006523F2" w14:paraId="2A96284C" w14:textId="77777777" w:rsidTr="00ED3164">
        <w:trPr>
          <w:trHeight w:val="99"/>
          <w:jc w:val="center"/>
        </w:trPr>
        <w:tc>
          <w:tcPr>
            <w:tcW w:w="1560" w:type="dxa"/>
          </w:tcPr>
          <w:p w14:paraId="6BD4DA87" w14:textId="77777777" w:rsidR="005E36F1" w:rsidRPr="00C23237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23237">
              <w:rPr>
                <w:rFonts w:ascii="Times New Roman" w:eastAsia="Calibri" w:hAnsi="Times New Roman"/>
                <w:b/>
                <w:color w:val="000000"/>
              </w:rPr>
              <w:t>Phenylalanine</w:t>
            </w:r>
          </w:p>
        </w:tc>
        <w:tc>
          <w:tcPr>
            <w:tcW w:w="1559" w:type="dxa"/>
          </w:tcPr>
          <w:p w14:paraId="5FD05E1C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0.502</w:t>
            </w:r>
          </w:p>
        </w:tc>
        <w:tc>
          <w:tcPr>
            <w:tcW w:w="1559" w:type="dxa"/>
          </w:tcPr>
          <w:p w14:paraId="57B735C2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5.522</w:t>
            </w:r>
          </w:p>
        </w:tc>
      </w:tr>
      <w:tr w:rsidR="005E36F1" w:rsidRPr="006523F2" w14:paraId="7FB2871A" w14:textId="77777777" w:rsidTr="00ED3164">
        <w:trPr>
          <w:trHeight w:val="99"/>
          <w:jc w:val="center"/>
        </w:trPr>
        <w:tc>
          <w:tcPr>
            <w:tcW w:w="1560" w:type="dxa"/>
          </w:tcPr>
          <w:p w14:paraId="5D94B6C3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Proline</w:t>
            </w:r>
          </w:p>
        </w:tc>
        <w:tc>
          <w:tcPr>
            <w:tcW w:w="1559" w:type="dxa"/>
          </w:tcPr>
          <w:p w14:paraId="2D3437CC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12.975</w:t>
            </w:r>
          </w:p>
        </w:tc>
        <w:tc>
          <w:tcPr>
            <w:tcW w:w="1559" w:type="dxa"/>
          </w:tcPr>
          <w:p w14:paraId="474D6899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142.725</w:t>
            </w:r>
          </w:p>
        </w:tc>
      </w:tr>
      <w:tr w:rsidR="005E36F1" w:rsidRPr="006523F2" w14:paraId="0ADBC1AD" w14:textId="77777777" w:rsidTr="00ED3164">
        <w:trPr>
          <w:trHeight w:val="99"/>
          <w:jc w:val="center"/>
        </w:trPr>
        <w:tc>
          <w:tcPr>
            <w:tcW w:w="1560" w:type="dxa"/>
          </w:tcPr>
          <w:p w14:paraId="7EF5E242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Serine</w:t>
            </w:r>
          </w:p>
        </w:tc>
        <w:tc>
          <w:tcPr>
            <w:tcW w:w="1559" w:type="dxa"/>
          </w:tcPr>
          <w:p w14:paraId="39F5FAE2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1.001</w:t>
            </w:r>
          </w:p>
        </w:tc>
        <w:tc>
          <w:tcPr>
            <w:tcW w:w="1559" w:type="dxa"/>
          </w:tcPr>
          <w:p w14:paraId="2CA68226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11.011</w:t>
            </w:r>
          </w:p>
        </w:tc>
      </w:tr>
      <w:tr w:rsidR="005E36F1" w:rsidRPr="006523F2" w14:paraId="0A1976ED" w14:textId="77777777" w:rsidTr="00ED3164">
        <w:trPr>
          <w:trHeight w:val="99"/>
          <w:jc w:val="center"/>
        </w:trPr>
        <w:tc>
          <w:tcPr>
            <w:tcW w:w="1560" w:type="dxa"/>
          </w:tcPr>
          <w:p w14:paraId="2BA1C378" w14:textId="77777777" w:rsidR="005E36F1" w:rsidRPr="00C23237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23237">
              <w:rPr>
                <w:rFonts w:ascii="Times New Roman" w:eastAsia="Calibri" w:hAnsi="Times New Roman"/>
                <w:b/>
                <w:color w:val="000000"/>
              </w:rPr>
              <w:t>Valine</w:t>
            </w:r>
          </w:p>
        </w:tc>
        <w:tc>
          <w:tcPr>
            <w:tcW w:w="1559" w:type="dxa"/>
          </w:tcPr>
          <w:p w14:paraId="77D4A037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6523F2">
              <w:rPr>
                <w:rFonts w:ascii="Times New Roman" w:eastAsia="Calibri" w:hAnsi="Times New Roman"/>
                <w:color w:val="000000"/>
              </w:rPr>
              <w:t>0.705</w:t>
            </w:r>
          </w:p>
        </w:tc>
        <w:tc>
          <w:tcPr>
            <w:tcW w:w="1559" w:type="dxa"/>
          </w:tcPr>
          <w:p w14:paraId="33136514" w14:textId="77777777" w:rsidR="005E36F1" w:rsidRPr="006523F2" w:rsidRDefault="005E36F1" w:rsidP="00ED3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7.755</w:t>
            </w:r>
          </w:p>
        </w:tc>
      </w:tr>
    </w:tbl>
    <w:p w14:paraId="011C52E6" w14:textId="159BB55C" w:rsidR="00967139" w:rsidRDefault="00967139">
      <w:bookmarkStart w:id="0" w:name="_GoBack"/>
      <w:bookmarkEnd w:id="0"/>
    </w:p>
    <w:sectPr w:rsidR="00967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1"/>
    <w:rsid w:val="005E36F1"/>
    <w:rsid w:val="00967139"/>
    <w:rsid w:val="009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6B39"/>
  <w15:chartTrackingRefBased/>
  <w15:docId w15:val="{0B33FB47-F1AB-45B3-BBA1-0A851FB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6F1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5E36F1"/>
    <w:rPr>
      <w:sz w:val="16"/>
    </w:rPr>
  </w:style>
  <w:style w:type="table" w:customStyle="1" w:styleId="TabellemithellemGitternetz1">
    <w:name w:val="Tabelle mit hellem Gitternetz1"/>
    <w:rsid w:val="005E36F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1">
    <w:name w:val="Tabelle mit hellem Gitternetz11"/>
    <w:rsid w:val="005E36F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Rüdenauer</dc:creator>
  <cp:keywords/>
  <dc:description/>
  <cp:lastModifiedBy>Fabian Rüdenauer</cp:lastModifiedBy>
  <cp:revision>2</cp:revision>
  <dcterms:created xsi:type="dcterms:W3CDTF">2021-06-08T07:28:00Z</dcterms:created>
  <dcterms:modified xsi:type="dcterms:W3CDTF">2021-06-08T07:28:00Z</dcterms:modified>
</cp:coreProperties>
</file>