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6C38" w14:textId="40023176" w:rsidR="004C3232" w:rsidRPr="00CE7A5C" w:rsidRDefault="00B727C2" w:rsidP="00957901">
      <w:pPr>
        <w:pStyle w:val="Body"/>
        <w:widowControl w:val="0"/>
        <w:spacing w:before="120" w:after="120" w:line="360" w:lineRule="auto"/>
        <w:jc w:val="both"/>
        <w:rPr>
          <w:rFonts w:cs="Arial"/>
          <w:b/>
          <w:bCs/>
          <w:sz w:val="22"/>
          <w:szCs w:val="22"/>
        </w:rPr>
      </w:pPr>
      <w:r w:rsidRPr="00CE7A5C">
        <w:rPr>
          <w:rFonts w:cs="Arial"/>
          <w:b/>
          <w:bCs/>
          <w:sz w:val="22"/>
          <w:szCs w:val="22"/>
        </w:rPr>
        <w:t>Title</w:t>
      </w:r>
    </w:p>
    <w:p w14:paraId="219BCC77" w14:textId="14A44B8B" w:rsidR="00CB5E7F" w:rsidRPr="00CE7A5C" w:rsidRDefault="00CB5E7F" w:rsidP="00957901">
      <w:pPr>
        <w:spacing w:line="360" w:lineRule="auto"/>
        <w:rPr>
          <w:rFonts w:ascii="Arial" w:hAnsi="Arial" w:cs="Arial"/>
          <w:b/>
          <w:sz w:val="22"/>
          <w:szCs w:val="22"/>
          <w:lang w:val="en-AU"/>
        </w:rPr>
      </w:pPr>
      <w:bookmarkStart w:id="0" w:name="_Hlk57062185"/>
      <w:r w:rsidRPr="00CE7A5C">
        <w:rPr>
          <w:rFonts w:ascii="Arial" w:hAnsi="Arial" w:cs="Arial"/>
          <w:b/>
          <w:sz w:val="22"/>
          <w:szCs w:val="22"/>
          <w:lang w:val="en-AU"/>
        </w:rPr>
        <w:t>Optimising treatment outcomes for children and adults through rapid genome</w:t>
      </w:r>
      <w:r w:rsidR="008472E7">
        <w:rPr>
          <w:rFonts w:ascii="Arial" w:hAnsi="Arial" w:cs="Arial"/>
          <w:b/>
          <w:sz w:val="22"/>
          <w:szCs w:val="22"/>
          <w:lang w:val="en-AU"/>
        </w:rPr>
        <w:t xml:space="preserve"> sequencing of sepsis pathogens. A study protocol for a prospective, multi-centre trial </w:t>
      </w:r>
      <w:r w:rsidRPr="00CE7A5C">
        <w:rPr>
          <w:rFonts w:ascii="Arial" w:hAnsi="Arial" w:cs="Arial"/>
          <w:b/>
          <w:sz w:val="22"/>
          <w:szCs w:val="22"/>
          <w:lang w:val="en-AU"/>
        </w:rPr>
        <w:t>(DIRECT)</w:t>
      </w:r>
    </w:p>
    <w:bookmarkEnd w:id="0"/>
    <w:p w14:paraId="4827966F" w14:textId="77777777" w:rsidR="004C3232" w:rsidRPr="00CE7A5C" w:rsidRDefault="004C3232" w:rsidP="00957901">
      <w:pPr>
        <w:pStyle w:val="Body"/>
        <w:widowControl w:val="0"/>
        <w:spacing w:line="360" w:lineRule="auto"/>
        <w:rPr>
          <w:rFonts w:cs="Arial"/>
          <w:sz w:val="22"/>
          <w:szCs w:val="22"/>
        </w:rPr>
      </w:pPr>
    </w:p>
    <w:p w14:paraId="393F84DD" w14:textId="6117C5AC" w:rsidR="004C3232" w:rsidRPr="00CE7A5C" w:rsidRDefault="00B727C2" w:rsidP="00957901">
      <w:pPr>
        <w:pStyle w:val="Body"/>
        <w:widowControl w:val="0"/>
        <w:spacing w:line="360" w:lineRule="auto"/>
        <w:rPr>
          <w:rFonts w:cs="Arial"/>
          <w:b/>
          <w:bCs/>
          <w:sz w:val="22"/>
          <w:szCs w:val="22"/>
          <w:lang w:val="en-US"/>
        </w:rPr>
      </w:pPr>
      <w:r w:rsidRPr="00CE7A5C">
        <w:rPr>
          <w:rFonts w:cs="Arial"/>
          <w:b/>
          <w:bCs/>
          <w:sz w:val="22"/>
          <w:szCs w:val="22"/>
          <w:lang w:val="en-US"/>
        </w:rPr>
        <w:t>Administrative information</w:t>
      </w:r>
    </w:p>
    <w:p w14:paraId="1B8DB749" w14:textId="63CCE2BC" w:rsidR="005F3317" w:rsidRPr="00CE7A5C" w:rsidRDefault="005F3317" w:rsidP="00957901">
      <w:pPr>
        <w:pStyle w:val="Body"/>
        <w:widowControl w:val="0"/>
        <w:spacing w:line="360" w:lineRule="auto"/>
        <w:rPr>
          <w:rFonts w:cs="Arial"/>
          <w:color w:val="auto"/>
          <w:sz w:val="22"/>
          <w:szCs w:val="22"/>
        </w:rPr>
      </w:pPr>
      <w:r w:rsidRPr="00CE7A5C">
        <w:rPr>
          <w:rFonts w:cs="Arial"/>
          <w:color w:val="auto"/>
          <w:sz w:val="22"/>
          <w:szCs w:val="22"/>
        </w:rPr>
        <w:t>Note: the numbers in curly brackets in this protocol refer to SPIRIT checklist item numbers.</w:t>
      </w:r>
      <w:r w:rsidR="009D3669">
        <w:rPr>
          <w:rFonts w:cs="Arial"/>
          <w:color w:val="auto"/>
          <w:sz w:val="22"/>
          <w:szCs w:val="22"/>
        </w:rPr>
        <w:fldChar w:fldCharType="begin"/>
      </w:r>
      <w:r w:rsidR="00692189">
        <w:rPr>
          <w:rFonts w:cs="Arial"/>
          <w:color w:val="auto"/>
          <w:sz w:val="22"/>
          <w:szCs w:val="22"/>
        </w:rPr>
        <w:instrText xml:space="preserve"> ADDIN ZOTERO_ITEM CSL_CITATION {"citationID":"UrRVt7Eo","properties":{"formattedCitation":"\\super 1\\nosupersub{}","plainCitation":"1","noteIndex":0},"citationItems":[{"id":30406,"uris":["http://zotero.org/users/5768096/items/UDCPBAVM"],"uri":["http://zotero.org/users/5768096/items/UDCPBAVM"],"itemData":{"id":30406,"type":"article-journal","container-title":"Annals of Internal Medicine","DOI":"10.7326/0003-4819-158-3-201302050-00583","ISSN":"0003-4819","issue":"3","journalAbbreviation":"Ann Intern Med","language":"en","page":"200","source":"DOI.org (Crossref)","title":"SPIRIT 2013 Statement: Defining Standard Protocol Items for Clinical Trials","title-short":"SPIRIT 2013 Statement","volume":"158","author":[{"family":"Chan","given":"An-Wen"},{"family":"Tetzlaff","given":"Jennifer M."},{"family":"Altman","given":"Douglas G."},{"family":"Laupacis","given":"Andreas"},{"family":"Gøtzsche","given":"Peter C."},{"family":"Krleža-Jerić","given":"Karmela"},{"family":"Hróbjartsson","given":"Asbjørn"},{"family":"Mann","given":"Howard"},{"family":"Dickersin","given":"Kay"},{"family":"Berlin","given":"Jesse A."},{"family":"Doré","given":"Caroline J."},{"family":"Parulekar","given":"Wendy R."},{"family":"Summerskill","given":"William S.M."},{"family":"Groves","given":"Trish"},{"family":"Schulz","given":"Kenneth F."},{"family":"Sox","given":"Harold C."},{"family":"Rockhold","given":"Frank W."},{"family":"Rennie","given":"Drummond"},{"family":"Moher","given":"David"}],"issued":{"date-parts":[["2013",2,5]]}}}],"schema":"https://github.com/citation-style-language/schema/raw/master/csl-citation.json"} </w:instrText>
      </w:r>
      <w:r w:rsidR="009D3669">
        <w:rPr>
          <w:rFonts w:cs="Arial"/>
          <w:color w:val="auto"/>
          <w:sz w:val="22"/>
          <w:szCs w:val="22"/>
        </w:rPr>
        <w:fldChar w:fldCharType="separate"/>
      </w:r>
      <w:r w:rsidR="00692189" w:rsidRPr="00692189">
        <w:rPr>
          <w:rFonts w:cs="Arial"/>
          <w:sz w:val="22"/>
          <w:szCs w:val="24"/>
          <w:vertAlign w:val="superscript"/>
        </w:rPr>
        <w:t>1</w:t>
      </w:r>
      <w:r w:rsidR="009D3669">
        <w:rPr>
          <w:rFonts w:cs="Arial"/>
          <w:color w:val="auto"/>
          <w:sz w:val="22"/>
          <w:szCs w:val="22"/>
        </w:rPr>
        <w:fldChar w:fldCharType="end"/>
      </w:r>
      <w:r w:rsidRPr="00CE7A5C">
        <w:rPr>
          <w:rFonts w:cs="Arial"/>
          <w:color w:val="auto"/>
          <w:sz w:val="22"/>
          <w:szCs w:val="22"/>
        </w:rPr>
        <w:t xml:space="preserve"> The order of the items has been modified to group similar items (see </w:t>
      </w:r>
      <w:hyperlink r:id="rId11" w:history="1">
        <w:r w:rsidRPr="00CE7A5C">
          <w:rPr>
            <w:rStyle w:val="Hyperlink"/>
            <w:rFonts w:cs="Arial"/>
            <w:color w:val="auto"/>
            <w:sz w:val="22"/>
            <w:szCs w:val="22"/>
          </w:rPr>
          <w:t>http://www.equator-network.org/reporting-guidelines/spirit-2013-statement-defining-standard-protocol-items-for-clinical-trials/</w:t>
        </w:r>
      </w:hyperlink>
      <w:r w:rsidRPr="00CE7A5C">
        <w:rPr>
          <w:rFonts w:cs="Arial"/>
          <w:color w:val="auto"/>
          <w:sz w:val="22"/>
          <w:szCs w:val="22"/>
        </w:rPr>
        <w:t>).</w:t>
      </w:r>
    </w:p>
    <w:p w14:paraId="41C074BB" w14:textId="371E2C13" w:rsidR="005F3317" w:rsidRPr="00CE7A5C" w:rsidRDefault="005F3317" w:rsidP="00957901">
      <w:pPr>
        <w:pStyle w:val="Body"/>
        <w:widowControl w:val="0"/>
        <w:spacing w:line="360" w:lineRule="auto"/>
        <w:rPr>
          <w:rFonts w:eastAsia="Verdana" w:cs="Arial"/>
          <w:b/>
          <w:bCs/>
          <w:i/>
          <w:iCs/>
          <w:sz w:val="22"/>
          <w:szCs w:val="22"/>
        </w:rPr>
      </w:pPr>
    </w:p>
    <w:tbl>
      <w:tblPr>
        <w:tblW w:w="95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70"/>
        <w:gridCol w:w="6322"/>
      </w:tblGrid>
      <w:tr w:rsidR="001102B1" w:rsidRPr="00CE7A5C" w14:paraId="7E54E6F3" w14:textId="77777777">
        <w:trPr>
          <w:trHeight w:val="1565"/>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444A6C01" w14:textId="5E9A7AAC" w:rsidR="001102B1" w:rsidRPr="00CE7A5C" w:rsidRDefault="001102B1" w:rsidP="00957901">
            <w:pPr>
              <w:pStyle w:val="FreeForm"/>
              <w:spacing w:before="120" w:after="120" w:line="360" w:lineRule="auto"/>
              <w:jc w:val="both"/>
              <w:rPr>
                <w:rFonts w:ascii="Arial" w:hAnsi="Arial" w:cs="Arial"/>
              </w:rPr>
            </w:pPr>
            <w:r w:rsidRPr="00CE7A5C">
              <w:rPr>
                <w:rFonts w:ascii="Arial" w:hAnsi="Arial" w:cs="Arial"/>
                <w:bCs/>
                <w:lang w:val="en-GB"/>
              </w:rPr>
              <w:t>Title</w:t>
            </w:r>
            <w:r w:rsidR="007C009F" w:rsidRPr="00CE7A5C">
              <w:rPr>
                <w:rFonts w:ascii="Arial" w:hAnsi="Arial" w:cs="Arial"/>
                <w:bCs/>
                <w:lang w:val="en-GB"/>
              </w:rPr>
              <w:t xml:space="preserve"> </w:t>
            </w:r>
            <w:r w:rsidR="007C009F" w:rsidRPr="00CE7A5C">
              <w:rPr>
                <w:rFonts w:ascii="Arial" w:hAnsi="Arial" w:cs="Arial"/>
              </w:rPr>
              <w:t>{1}</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761E2A97" w14:textId="3DC72D66" w:rsidR="001102B1" w:rsidRPr="00B54201" w:rsidRDefault="00B54201" w:rsidP="00B54201">
            <w:pPr>
              <w:spacing w:line="360" w:lineRule="auto"/>
              <w:rPr>
                <w:rFonts w:ascii="Arial" w:hAnsi="Arial" w:cs="Arial"/>
                <w:b/>
                <w:sz w:val="22"/>
                <w:szCs w:val="22"/>
                <w:lang w:val="en-AU"/>
              </w:rPr>
            </w:pPr>
            <w:r w:rsidRPr="00B54201">
              <w:rPr>
                <w:rFonts w:ascii="Arial" w:hAnsi="Arial" w:cs="Arial"/>
                <w:b/>
                <w:sz w:val="22"/>
                <w:szCs w:val="22"/>
                <w:lang w:val="en-AU"/>
              </w:rPr>
              <w:t>Optimising treatment outcomes for children and adults through rapid genome sequencing of sepsis pathogens. A study protocol for a prospective, multi-centre trial (DIRECT)</w:t>
            </w:r>
          </w:p>
        </w:tc>
      </w:tr>
      <w:tr w:rsidR="00727E9C" w:rsidRPr="00CE7A5C" w14:paraId="2DF20C2D" w14:textId="77777777">
        <w:trPr>
          <w:trHeight w:val="1565"/>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7E534A2" w14:textId="3CD2A7CD" w:rsidR="00727E9C" w:rsidRPr="00CE7A5C" w:rsidRDefault="00727E9C" w:rsidP="00957901">
            <w:pPr>
              <w:pStyle w:val="FreeForm"/>
              <w:spacing w:before="120" w:after="120" w:line="360" w:lineRule="auto"/>
              <w:jc w:val="both"/>
              <w:rPr>
                <w:rFonts w:ascii="Arial" w:hAnsi="Arial" w:cs="Arial"/>
                <w:bCs/>
                <w:lang w:val="en-GB"/>
              </w:rPr>
            </w:pPr>
            <w:r>
              <w:rPr>
                <w:rFonts w:ascii="Arial" w:hAnsi="Arial" w:cs="Arial"/>
                <w:bCs/>
                <w:lang w:val="en-GB"/>
              </w:rPr>
              <w:t>Scientific Title</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7F20F208" w14:textId="437EA1A0" w:rsidR="00727E9C" w:rsidRPr="00B54201" w:rsidRDefault="00727E9C" w:rsidP="00B54201">
            <w:pPr>
              <w:spacing w:line="360" w:lineRule="auto"/>
              <w:rPr>
                <w:rFonts w:ascii="Arial" w:hAnsi="Arial" w:cs="Arial"/>
                <w:b/>
                <w:sz w:val="22"/>
                <w:szCs w:val="22"/>
                <w:lang w:val="en-AU"/>
              </w:rPr>
            </w:pPr>
            <w:r w:rsidRPr="00727E9C">
              <w:rPr>
                <w:rFonts w:ascii="Arial" w:hAnsi="Arial" w:cs="Arial"/>
                <w:b/>
                <w:sz w:val="22"/>
                <w:szCs w:val="22"/>
                <w:lang w:val="en-AU"/>
              </w:rPr>
              <w:t>Reducing time to appropriate antibiotics by integrating rapid pathogen genome sequencing with personalised antimicrobial dosing in children and adults with sepsis. A study protocol for a prospective, multi-centre trial (DIRECT)</w:t>
            </w:r>
          </w:p>
        </w:tc>
      </w:tr>
      <w:tr w:rsidR="004C3232" w:rsidRPr="00CE7A5C" w14:paraId="7A14E607" w14:textId="77777777" w:rsidTr="001A4A6A">
        <w:trPr>
          <w:trHeight w:val="642"/>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54D8F723" w14:textId="7A7CDA7C" w:rsidR="004C3232" w:rsidRPr="00CE7A5C" w:rsidRDefault="00B727C2" w:rsidP="00957901">
            <w:pPr>
              <w:pStyle w:val="FreeForm"/>
              <w:spacing w:before="120" w:after="120" w:line="360" w:lineRule="auto"/>
              <w:jc w:val="both"/>
              <w:rPr>
                <w:rFonts w:ascii="Arial" w:hAnsi="Arial" w:cs="Arial"/>
              </w:rPr>
            </w:pPr>
            <w:r w:rsidRPr="00CE7A5C">
              <w:rPr>
                <w:rFonts w:ascii="Arial" w:hAnsi="Arial" w:cs="Arial"/>
              </w:rPr>
              <w:t xml:space="preserve">Trial registration </w:t>
            </w:r>
            <w:r w:rsidR="001102B1" w:rsidRPr="00CE7A5C">
              <w:rPr>
                <w:rFonts w:ascii="Arial" w:hAnsi="Arial" w:cs="Arial"/>
              </w:rPr>
              <w:t>{</w:t>
            </w:r>
            <w:r w:rsidR="007C009F" w:rsidRPr="00CE7A5C">
              <w:rPr>
                <w:rFonts w:ascii="Arial" w:hAnsi="Arial" w:cs="Arial"/>
              </w:rPr>
              <w:t xml:space="preserve">2a and </w:t>
            </w:r>
            <w:r w:rsidR="001102B1" w:rsidRPr="00CE7A5C">
              <w:rPr>
                <w:rFonts w:ascii="Arial" w:hAnsi="Arial" w:cs="Arial"/>
              </w:rPr>
              <w:t>2b}</w:t>
            </w:r>
            <w:r w:rsidRPr="00CE7A5C">
              <w:rPr>
                <w:rFonts w:ascii="Arial" w:hAnsi="Arial" w:cs="Arial"/>
              </w:rPr>
              <w:t>.</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38C85FED" w14:textId="6B7D5B4A" w:rsidR="004C3232" w:rsidRPr="001A4A6A" w:rsidRDefault="00853DD7" w:rsidP="00B54201">
            <w:pPr>
              <w:pStyle w:val="FreeForm"/>
              <w:spacing w:before="120" w:after="120" w:line="360" w:lineRule="auto"/>
              <w:rPr>
                <w:rFonts w:ascii="Arial" w:hAnsi="Arial" w:cs="Arial"/>
                <w:u w:color="004C7F"/>
              </w:rPr>
            </w:pPr>
            <w:r>
              <w:rPr>
                <w:rFonts w:ascii="Arial" w:hAnsi="Arial" w:cs="Arial"/>
                <w:u w:color="004C7F"/>
              </w:rPr>
              <w:t xml:space="preserve">Phase 2 of the trial protocol was registered with the </w:t>
            </w:r>
            <w:r w:rsidR="00000546" w:rsidRPr="00B54201">
              <w:rPr>
                <w:rFonts w:ascii="Arial" w:hAnsi="Arial" w:cs="Arial"/>
                <w:u w:color="004C7F"/>
              </w:rPr>
              <w:t xml:space="preserve">Australia New Zealand Clinical Trials Registry </w:t>
            </w:r>
            <w:r>
              <w:rPr>
                <w:rFonts w:ascii="Arial" w:hAnsi="Arial" w:cs="Arial"/>
                <w:u w:color="004C7F"/>
              </w:rPr>
              <w:t>on 30</w:t>
            </w:r>
            <w:r w:rsidRPr="00853DD7">
              <w:rPr>
                <w:rFonts w:ascii="Arial" w:hAnsi="Arial" w:cs="Arial"/>
                <w:u w:color="004C7F"/>
                <w:vertAlign w:val="superscript"/>
              </w:rPr>
              <w:t>th</w:t>
            </w:r>
            <w:r>
              <w:rPr>
                <w:rFonts w:ascii="Arial" w:hAnsi="Arial" w:cs="Arial"/>
                <w:u w:color="004C7F"/>
              </w:rPr>
              <w:t xml:space="preserve"> October 2020. </w:t>
            </w:r>
            <w:r w:rsidR="00B54201" w:rsidRPr="00B54201">
              <w:rPr>
                <w:rFonts w:ascii="Arial" w:hAnsi="Arial" w:cs="Arial"/>
                <w:u w:color="004C7F"/>
              </w:rPr>
              <w:t>ACTRN12620001122943</w:t>
            </w:r>
          </w:p>
        </w:tc>
      </w:tr>
      <w:tr w:rsidR="004C3232" w:rsidRPr="00CE7A5C" w14:paraId="0E6C2DD2" w14:textId="77777777">
        <w:trPr>
          <w:trHeight w:val="26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EC9A012" w14:textId="21F7B2D5" w:rsidR="004C3232" w:rsidRPr="00CE7A5C" w:rsidRDefault="00B727C2" w:rsidP="00957901">
            <w:pPr>
              <w:pStyle w:val="FreeForm"/>
              <w:spacing w:before="120" w:after="120" w:line="360" w:lineRule="auto"/>
              <w:jc w:val="both"/>
              <w:rPr>
                <w:rFonts w:ascii="Arial" w:hAnsi="Arial" w:cs="Arial"/>
              </w:rPr>
            </w:pPr>
            <w:r w:rsidRPr="00CE7A5C">
              <w:rPr>
                <w:rFonts w:ascii="Arial" w:hAnsi="Arial" w:cs="Arial"/>
              </w:rPr>
              <w:t>Protocol version</w:t>
            </w:r>
            <w:r w:rsidR="007C009F" w:rsidRPr="00CE7A5C">
              <w:rPr>
                <w:rFonts w:ascii="Arial" w:hAnsi="Arial" w:cs="Arial"/>
              </w:rPr>
              <w:t xml:space="preserve"> {3}</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680E7A06" w14:textId="74B57A36" w:rsidR="004C3232" w:rsidRPr="00CE7A5C" w:rsidRDefault="00000546" w:rsidP="00957901">
            <w:pPr>
              <w:pStyle w:val="FreeForm"/>
              <w:spacing w:before="120" w:after="120" w:line="360" w:lineRule="auto"/>
              <w:jc w:val="both"/>
              <w:rPr>
                <w:rFonts w:ascii="Arial" w:hAnsi="Arial" w:cs="Arial"/>
                <w:color w:val="auto"/>
              </w:rPr>
            </w:pPr>
            <w:r w:rsidRPr="00CE7A5C">
              <w:rPr>
                <w:rFonts w:ascii="Arial" w:hAnsi="Arial" w:cs="Arial"/>
                <w:color w:val="auto"/>
                <w:u w:color="004C7F"/>
              </w:rPr>
              <w:t xml:space="preserve">Version </w:t>
            </w:r>
            <w:r w:rsidR="00B54201">
              <w:rPr>
                <w:rFonts w:ascii="Arial" w:hAnsi="Arial" w:cs="Arial"/>
                <w:color w:val="auto"/>
                <w:u w:color="004C7F"/>
              </w:rPr>
              <w:t>5.0, 8</w:t>
            </w:r>
            <w:r w:rsidR="00B54201" w:rsidRPr="00B54201">
              <w:rPr>
                <w:rFonts w:ascii="Arial" w:hAnsi="Arial" w:cs="Arial"/>
                <w:color w:val="auto"/>
                <w:u w:color="004C7F"/>
                <w:vertAlign w:val="superscript"/>
              </w:rPr>
              <w:t>th</w:t>
            </w:r>
            <w:r w:rsidR="00B54201">
              <w:rPr>
                <w:rFonts w:ascii="Arial" w:hAnsi="Arial" w:cs="Arial"/>
                <w:color w:val="auto"/>
                <w:u w:color="004C7F"/>
              </w:rPr>
              <w:t xml:space="preserve"> November 2020</w:t>
            </w:r>
          </w:p>
        </w:tc>
      </w:tr>
      <w:tr w:rsidR="004C3232" w:rsidRPr="00CE7A5C" w14:paraId="6A14B8EC" w14:textId="77777777">
        <w:trPr>
          <w:trHeight w:val="78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67268B82" w14:textId="758A3F63" w:rsidR="004C3232" w:rsidRPr="00CE7A5C" w:rsidRDefault="00B727C2" w:rsidP="00957901">
            <w:pPr>
              <w:pStyle w:val="FreeForm"/>
              <w:spacing w:before="120" w:after="120" w:line="360" w:lineRule="auto"/>
              <w:rPr>
                <w:rFonts w:ascii="Arial" w:hAnsi="Arial" w:cs="Arial"/>
              </w:rPr>
            </w:pPr>
            <w:r w:rsidRPr="00CE7A5C">
              <w:rPr>
                <w:rFonts w:ascii="Arial" w:hAnsi="Arial" w:cs="Arial"/>
              </w:rPr>
              <w:t xml:space="preserve">Funding </w:t>
            </w:r>
            <w:r w:rsidR="007C009F" w:rsidRPr="00CE7A5C">
              <w:rPr>
                <w:rFonts w:ascii="Arial" w:hAnsi="Arial" w:cs="Arial"/>
              </w:rPr>
              <w:t>{4}</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4CC2D93C" w14:textId="4B040E1C" w:rsidR="004C3232" w:rsidRPr="00CE7A5C" w:rsidRDefault="00000546" w:rsidP="00264A40">
            <w:pPr>
              <w:pStyle w:val="FreeForm"/>
              <w:spacing w:before="120" w:after="120" w:line="360" w:lineRule="auto"/>
              <w:jc w:val="both"/>
              <w:rPr>
                <w:rFonts w:ascii="Arial" w:hAnsi="Arial" w:cs="Arial"/>
                <w:color w:val="006600"/>
              </w:rPr>
            </w:pPr>
            <w:r w:rsidRPr="00CE7A5C">
              <w:rPr>
                <w:rFonts w:ascii="Arial" w:hAnsi="Arial" w:cs="Arial"/>
                <w:color w:val="auto"/>
                <w:u w:color="004C7F"/>
              </w:rPr>
              <w:t xml:space="preserve">The DIRECT study is funded by the Queensland Genomics Health Alliance Round 2 clinical implementation, innovation and incubation program and by </w:t>
            </w:r>
            <w:r w:rsidR="002C521E">
              <w:rPr>
                <w:rFonts w:ascii="Arial" w:hAnsi="Arial" w:cs="Arial"/>
                <w:color w:val="auto"/>
                <w:u w:color="004C7F"/>
              </w:rPr>
              <w:t>two</w:t>
            </w:r>
            <w:r w:rsidR="002C521E" w:rsidRPr="00CE7A5C">
              <w:rPr>
                <w:rFonts w:ascii="Arial" w:hAnsi="Arial" w:cs="Arial"/>
                <w:color w:val="auto"/>
                <w:u w:color="004C7F"/>
              </w:rPr>
              <w:t xml:space="preserve"> </w:t>
            </w:r>
            <w:r w:rsidRPr="00CE7A5C">
              <w:rPr>
                <w:rFonts w:ascii="Arial" w:hAnsi="Arial" w:cs="Arial"/>
                <w:color w:val="auto"/>
                <w:u w:color="004C7F"/>
              </w:rPr>
              <w:t xml:space="preserve">Brisbane Diamantina Health Partners Health </w:t>
            </w:r>
            <w:r w:rsidR="007252CB">
              <w:rPr>
                <w:rFonts w:ascii="Arial" w:hAnsi="Arial" w:cs="Arial"/>
                <w:color w:val="auto"/>
                <w:u w:color="004C7F"/>
              </w:rPr>
              <w:t>S</w:t>
            </w:r>
            <w:r w:rsidRPr="00CE7A5C">
              <w:rPr>
                <w:rFonts w:ascii="Arial" w:hAnsi="Arial" w:cs="Arial"/>
                <w:color w:val="auto"/>
                <w:u w:color="004C7F"/>
              </w:rPr>
              <w:t>ystem Improvement Ideas Grant</w:t>
            </w:r>
            <w:r w:rsidR="002C521E">
              <w:rPr>
                <w:rFonts w:ascii="Arial" w:hAnsi="Arial" w:cs="Arial"/>
                <w:color w:val="auto"/>
                <w:u w:color="004C7F"/>
              </w:rPr>
              <w:t>s</w:t>
            </w:r>
            <w:r w:rsidRPr="00CE7A5C">
              <w:rPr>
                <w:rFonts w:ascii="Arial" w:hAnsi="Arial" w:cs="Arial"/>
                <w:color w:val="auto"/>
                <w:u w:color="004C7F"/>
              </w:rPr>
              <w:t xml:space="preserve"> (</w:t>
            </w:r>
            <w:r w:rsidR="00264A40">
              <w:rPr>
                <w:rFonts w:ascii="Arial" w:hAnsi="Arial" w:cs="Arial"/>
                <w:color w:val="auto"/>
                <w:u w:color="004C7F"/>
              </w:rPr>
              <w:t>Medical Research Future Fund (MRFF)</w:t>
            </w:r>
            <w:r w:rsidRPr="00CE7A5C">
              <w:rPr>
                <w:rFonts w:ascii="Arial" w:hAnsi="Arial" w:cs="Arial"/>
                <w:color w:val="auto"/>
                <w:u w:color="004C7F"/>
              </w:rPr>
              <w:t xml:space="preserve"> Rapid Applied Research Translation Program).</w:t>
            </w:r>
          </w:p>
        </w:tc>
      </w:tr>
      <w:tr w:rsidR="00904968" w:rsidRPr="00CE7A5C" w14:paraId="4970708E" w14:textId="77777777">
        <w:trPr>
          <w:trHeight w:val="78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1854C07" w14:textId="799AE667" w:rsidR="00904968" w:rsidRPr="00CE7A5C" w:rsidRDefault="00904968" w:rsidP="00957901">
            <w:pPr>
              <w:pStyle w:val="FreeForm"/>
              <w:spacing w:before="120" w:after="120" w:line="360" w:lineRule="auto"/>
              <w:rPr>
                <w:rFonts w:ascii="Arial" w:hAnsi="Arial" w:cs="Arial"/>
              </w:rPr>
            </w:pPr>
            <w:r w:rsidRPr="00CE7A5C">
              <w:rPr>
                <w:rFonts w:ascii="Arial" w:hAnsi="Arial" w:cs="Arial"/>
              </w:rPr>
              <w:t>Author details {5a}</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4B81730C" w14:textId="01E9E737"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 xml:space="preserve">Adam </w:t>
            </w:r>
            <w:r w:rsidR="00EB526B">
              <w:rPr>
                <w:rFonts w:cs="Arial"/>
                <w:color w:val="auto"/>
                <w:sz w:val="22"/>
                <w:szCs w:val="22"/>
                <w:u w:color="004C7F"/>
                <w:lang w:val="en-US"/>
              </w:rPr>
              <w:t>D</w:t>
            </w:r>
            <w:r w:rsidR="00C77302">
              <w:rPr>
                <w:rFonts w:cs="Arial"/>
                <w:color w:val="auto"/>
                <w:sz w:val="22"/>
                <w:szCs w:val="22"/>
                <w:u w:color="004C7F"/>
                <w:lang w:val="en-US"/>
              </w:rPr>
              <w:t>.</w:t>
            </w:r>
            <w:r w:rsidR="00EB526B">
              <w:rPr>
                <w:rFonts w:cs="Arial"/>
                <w:color w:val="auto"/>
                <w:sz w:val="22"/>
                <w:szCs w:val="22"/>
                <w:u w:color="004C7F"/>
                <w:lang w:val="en-US"/>
              </w:rPr>
              <w:t xml:space="preserve"> </w:t>
            </w:r>
            <w:r w:rsidRPr="00CE7A5C">
              <w:rPr>
                <w:rFonts w:cs="Arial"/>
                <w:color w:val="auto"/>
                <w:sz w:val="22"/>
                <w:szCs w:val="22"/>
                <w:u w:color="004C7F"/>
                <w:lang w:val="en-US"/>
              </w:rPr>
              <w:t>Irwin</w:t>
            </w:r>
          </w:p>
          <w:p w14:paraId="40277152" w14:textId="70E6BC7E"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 xml:space="preserve">Lachlan </w:t>
            </w:r>
            <w:r w:rsidR="007D581F">
              <w:rPr>
                <w:rFonts w:cs="Arial"/>
                <w:color w:val="auto"/>
                <w:sz w:val="22"/>
                <w:szCs w:val="22"/>
                <w:u w:color="004C7F"/>
                <w:lang w:val="en-US"/>
              </w:rPr>
              <w:t xml:space="preserve">J.M </w:t>
            </w:r>
            <w:r w:rsidRPr="00CE7A5C">
              <w:rPr>
                <w:rFonts w:cs="Arial"/>
                <w:color w:val="auto"/>
                <w:sz w:val="22"/>
                <w:szCs w:val="22"/>
                <w:u w:color="004C7F"/>
                <w:lang w:val="en-US"/>
              </w:rPr>
              <w:t>Coin</w:t>
            </w:r>
          </w:p>
          <w:p w14:paraId="44332816" w14:textId="0557D9EA"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lastRenderedPageBreak/>
              <w:t xml:space="preserve">Patrick </w:t>
            </w:r>
            <w:r w:rsidR="00EB526B">
              <w:rPr>
                <w:rFonts w:cs="Arial"/>
                <w:color w:val="auto"/>
                <w:sz w:val="22"/>
                <w:szCs w:val="22"/>
                <w:u w:color="004C7F"/>
                <w:lang w:val="en-US"/>
              </w:rPr>
              <w:t>N</w:t>
            </w:r>
            <w:r w:rsidR="00C77302">
              <w:rPr>
                <w:rFonts w:cs="Arial"/>
                <w:color w:val="auto"/>
                <w:sz w:val="22"/>
                <w:szCs w:val="22"/>
                <w:u w:color="004C7F"/>
                <w:lang w:val="en-US"/>
              </w:rPr>
              <w:t>.</w:t>
            </w:r>
            <w:r w:rsidR="00EB526B">
              <w:rPr>
                <w:rFonts w:cs="Arial"/>
                <w:color w:val="auto"/>
                <w:sz w:val="22"/>
                <w:szCs w:val="22"/>
                <w:u w:color="004C7F"/>
                <w:lang w:val="en-US"/>
              </w:rPr>
              <w:t xml:space="preserve">A </w:t>
            </w:r>
            <w:r w:rsidRPr="00CE7A5C">
              <w:rPr>
                <w:rFonts w:cs="Arial"/>
                <w:color w:val="auto"/>
                <w:sz w:val="22"/>
                <w:szCs w:val="22"/>
                <w:u w:color="004C7F"/>
                <w:lang w:val="en-US"/>
              </w:rPr>
              <w:t>Harris</w:t>
            </w:r>
          </w:p>
          <w:p w14:paraId="7995B0E6" w14:textId="77777777"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Menino Osbert Cotta</w:t>
            </w:r>
          </w:p>
          <w:p w14:paraId="7EB070BF" w14:textId="7E6D66D4" w:rsidR="00000546" w:rsidRPr="00753DCD" w:rsidRDefault="00000546"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 xml:space="preserve">Michelle </w:t>
            </w:r>
            <w:r w:rsidR="002B22E8" w:rsidRPr="00753DCD">
              <w:rPr>
                <w:rFonts w:cs="Arial"/>
                <w:color w:val="auto"/>
                <w:sz w:val="22"/>
                <w:szCs w:val="22"/>
                <w:u w:color="004C7F"/>
                <w:lang w:val="de-DE"/>
              </w:rPr>
              <w:t>J Bauer</w:t>
            </w:r>
          </w:p>
          <w:p w14:paraId="51E23FB4" w14:textId="77777777" w:rsidR="00000546" w:rsidRPr="00753DCD" w:rsidRDefault="00000546"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Cameron Buckley</w:t>
            </w:r>
          </w:p>
          <w:p w14:paraId="6FB2C104" w14:textId="77777777" w:rsidR="00000546" w:rsidRPr="00753DCD" w:rsidRDefault="00000546"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Ross Balch</w:t>
            </w:r>
          </w:p>
          <w:p w14:paraId="749CBFB0" w14:textId="366F8F37" w:rsidR="00000546" w:rsidRPr="00753DCD" w:rsidRDefault="00000546"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Peter Kruger</w:t>
            </w:r>
          </w:p>
          <w:p w14:paraId="70D602B9" w14:textId="1CCD2464" w:rsidR="00B54201" w:rsidRPr="00753DCD" w:rsidRDefault="00B54201"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Jason Meyer</w:t>
            </w:r>
          </w:p>
          <w:p w14:paraId="3C72CAC8" w14:textId="04F9D126" w:rsidR="00000546" w:rsidRPr="00753DCD" w:rsidRDefault="00000546"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Kiran Shekar</w:t>
            </w:r>
          </w:p>
          <w:p w14:paraId="7ED9477D" w14:textId="28ED1409" w:rsidR="00B54201" w:rsidRPr="00753DCD" w:rsidRDefault="00B54201" w:rsidP="00957901">
            <w:pPr>
              <w:pStyle w:val="Body"/>
              <w:widowControl w:val="0"/>
              <w:spacing w:line="360" w:lineRule="auto"/>
              <w:rPr>
                <w:rFonts w:cs="Arial"/>
                <w:color w:val="auto"/>
                <w:sz w:val="22"/>
                <w:szCs w:val="22"/>
                <w:u w:color="004C7F"/>
                <w:lang w:val="de-DE"/>
              </w:rPr>
            </w:pPr>
            <w:r w:rsidRPr="00753DCD">
              <w:rPr>
                <w:rFonts w:cs="Arial"/>
                <w:color w:val="auto"/>
                <w:sz w:val="22"/>
                <w:szCs w:val="22"/>
                <w:u w:color="004C7F"/>
                <w:lang w:val="de-DE"/>
              </w:rPr>
              <w:t>Kara Brady</w:t>
            </w:r>
          </w:p>
          <w:p w14:paraId="2A266E92" w14:textId="5779B9EE" w:rsidR="00B54201" w:rsidRDefault="00B54201" w:rsidP="00957901">
            <w:pPr>
              <w:pStyle w:val="Body"/>
              <w:widowControl w:val="0"/>
              <w:spacing w:line="360" w:lineRule="auto"/>
              <w:rPr>
                <w:rFonts w:cs="Arial"/>
                <w:color w:val="auto"/>
                <w:sz w:val="22"/>
                <w:szCs w:val="22"/>
                <w:u w:color="004C7F"/>
                <w:lang w:val="en-US"/>
              </w:rPr>
            </w:pPr>
            <w:r>
              <w:rPr>
                <w:rFonts w:cs="Arial"/>
                <w:color w:val="auto"/>
                <w:sz w:val="22"/>
                <w:szCs w:val="22"/>
                <w:u w:color="004C7F"/>
                <w:lang w:val="en-US"/>
              </w:rPr>
              <w:t>Cheryl Fourie</w:t>
            </w:r>
          </w:p>
          <w:p w14:paraId="73DEB2B4" w14:textId="741CF894" w:rsidR="00B54201" w:rsidRDefault="00B54201" w:rsidP="00957901">
            <w:pPr>
              <w:pStyle w:val="Body"/>
              <w:widowControl w:val="0"/>
              <w:spacing w:line="360" w:lineRule="auto"/>
              <w:rPr>
                <w:rFonts w:cs="Arial"/>
                <w:color w:val="auto"/>
                <w:sz w:val="22"/>
                <w:szCs w:val="22"/>
                <w:u w:color="004C7F"/>
                <w:lang w:val="en-US"/>
              </w:rPr>
            </w:pPr>
            <w:r>
              <w:rPr>
                <w:rFonts w:cs="Arial"/>
                <w:color w:val="auto"/>
                <w:sz w:val="22"/>
                <w:szCs w:val="22"/>
                <w:u w:color="004C7F"/>
                <w:lang w:val="en-US"/>
              </w:rPr>
              <w:t>Natalie Sharp</w:t>
            </w:r>
          </w:p>
          <w:p w14:paraId="16793317" w14:textId="4DDC49BC" w:rsidR="00B54201" w:rsidRPr="00CE7A5C" w:rsidRDefault="00B54201" w:rsidP="00957901">
            <w:pPr>
              <w:pStyle w:val="Body"/>
              <w:widowControl w:val="0"/>
              <w:spacing w:line="360" w:lineRule="auto"/>
              <w:rPr>
                <w:rFonts w:cs="Arial"/>
                <w:color w:val="auto"/>
                <w:sz w:val="22"/>
                <w:szCs w:val="22"/>
                <w:u w:color="004C7F"/>
                <w:lang w:val="en-US"/>
              </w:rPr>
            </w:pPr>
            <w:r>
              <w:rPr>
                <w:rFonts w:cs="Arial"/>
                <w:color w:val="auto"/>
                <w:sz w:val="22"/>
                <w:szCs w:val="22"/>
                <w:u w:color="004C7F"/>
                <w:lang w:val="en-US"/>
              </w:rPr>
              <w:t>Luminita Vlad</w:t>
            </w:r>
          </w:p>
          <w:p w14:paraId="1ADA40A3" w14:textId="77777777"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David Whiley</w:t>
            </w:r>
          </w:p>
          <w:p w14:paraId="723989E0" w14:textId="78D6E761"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 xml:space="preserve">Scott </w:t>
            </w:r>
            <w:r w:rsidR="00A57A49">
              <w:rPr>
                <w:rFonts w:cs="Arial"/>
                <w:color w:val="auto"/>
                <w:sz w:val="22"/>
                <w:szCs w:val="22"/>
                <w:u w:color="004C7F"/>
                <w:lang w:val="en-US"/>
              </w:rPr>
              <w:t xml:space="preserve">A. </w:t>
            </w:r>
            <w:r w:rsidRPr="00CE7A5C">
              <w:rPr>
                <w:rFonts w:cs="Arial"/>
                <w:color w:val="auto"/>
                <w:sz w:val="22"/>
                <w:szCs w:val="22"/>
                <w:u w:color="004C7F"/>
                <w:lang w:val="en-US"/>
              </w:rPr>
              <w:t>Beatson</w:t>
            </w:r>
          </w:p>
          <w:p w14:paraId="28E1FF6B" w14:textId="77777777" w:rsidR="008C5DD4" w:rsidRDefault="008C5DD4" w:rsidP="00957901">
            <w:pPr>
              <w:pStyle w:val="Body"/>
              <w:widowControl w:val="0"/>
              <w:spacing w:line="360" w:lineRule="auto"/>
              <w:rPr>
                <w:rFonts w:cs="Arial"/>
                <w:color w:val="auto"/>
                <w:sz w:val="22"/>
                <w:szCs w:val="22"/>
                <w:u w:color="004C7F"/>
                <w:lang w:val="en-US"/>
              </w:rPr>
            </w:pPr>
            <w:r>
              <w:rPr>
                <w:rFonts w:cs="Arial"/>
                <w:color w:val="auto"/>
                <w:sz w:val="22"/>
                <w:szCs w:val="22"/>
                <w:u w:color="004C7F"/>
                <w:lang w:val="en-US"/>
              </w:rPr>
              <w:t>Brian M. Forde</w:t>
            </w:r>
          </w:p>
          <w:p w14:paraId="246B3AEE" w14:textId="5269334D"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David Paterson</w:t>
            </w:r>
          </w:p>
          <w:p w14:paraId="40C08D4F" w14:textId="77777777"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Julia Clark</w:t>
            </w:r>
          </w:p>
          <w:p w14:paraId="35F9E92A" w14:textId="77777777" w:rsidR="00000546" w:rsidRPr="00CE7A5C" w:rsidRDefault="00000546"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Krispin Hajkowicz</w:t>
            </w:r>
          </w:p>
          <w:p w14:paraId="4F72C573" w14:textId="77777777" w:rsidR="00000546" w:rsidRPr="00CE7A5C" w:rsidRDefault="00000546" w:rsidP="00957901">
            <w:pPr>
              <w:pStyle w:val="Body"/>
              <w:widowControl w:val="0"/>
              <w:spacing w:line="360" w:lineRule="auto"/>
              <w:rPr>
                <w:rFonts w:cs="Arial"/>
                <w:b/>
                <w:bCs/>
                <w:color w:val="auto"/>
                <w:sz w:val="22"/>
                <w:szCs w:val="22"/>
              </w:rPr>
            </w:pPr>
            <w:r w:rsidRPr="00CE7A5C">
              <w:rPr>
                <w:rFonts w:cs="Arial"/>
                <w:color w:val="auto"/>
                <w:sz w:val="22"/>
                <w:szCs w:val="22"/>
                <w:u w:color="004C7F"/>
                <w:lang w:val="en-US"/>
              </w:rPr>
              <w:t>Sainath Raman</w:t>
            </w:r>
          </w:p>
          <w:p w14:paraId="0FAD734A" w14:textId="77777777" w:rsidR="0026617F" w:rsidRPr="00CE7A5C" w:rsidRDefault="0026617F"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Seweryn Bialasiewicz</w:t>
            </w:r>
          </w:p>
          <w:p w14:paraId="4A483BFC" w14:textId="12E493B6" w:rsidR="0026617F" w:rsidRPr="00CE7A5C" w:rsidRDefault="0026617F"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Jeff</w:t>
            </w:r>
            <w:r w:rsidR="0044446B">
              <w:rPr>
                <w:rFonts w:cs="Arial"/>
                <w:color w:val="auto"/>
                <w:sz w:val="22"/>
                <w:szCs w:val="22"/>
                <w:u w:color="004C7F"/>
                <w:lang w:val="en-US"/>
              </w:rPr>
              <w:t>rey</w:t>
            </w:r>
            <w:r w:rsidRPr="00CE7A5C">
              <w:rPr>
                <w:rFonts w:cs="Arial"/>
                <w:color w:val="auto"/>
                <w:sz w:val="22"/>
                <w:szCs w:val="22"/>
                <w:u w:color="004C7F"/>
                <w:lang w:val="en-US"/>
              </w:rPr>
              <w:t xml:space="preserve"> Lipman</w:t>
            </w:r>
          </w:p>
          <w:p w14:paraId="1201090B" w14:textId="4CC4B374" w:rsidR="00124258" w:rsidRDefault="00124258" w:rsidP="00957901">
            <w:pPr>
              <w:pStyle w:val="Body"/>
              <w:widowControl w:val="0"/>
              <w:spacing w:line="360" w:lineRule="auto"/>
              <w:rPr>
                <w:rFonts w:cs="Arial"/>
                <w:color w:val="auto"/>
                <w:sz w:val="22"/>
                <w:szCs w:val="22"/>
                <w:u w:color="004C7F"/>
                <w:lang w:val="en-US"/>
              </w:rPr>
            </w:pPr>
            <w:r w:rsidRPr="00CE7A5C">
              <w:rPr>
                <w:rFonts w:cs="Arial"/>
                <w:color w:val="auto"/>
                <w:sz w:val="22"/>
                <w:szCs w:val="22"/>
                <w:u w:color="004C7F"/>
                <w:lang w:val="en-US"/>
              </w:rPr>
              <w:t xml:space="preserve">Luregn </w:t>
            </w:r>
            <w:r>
              <w:rPr>
                <w:rFonts w:cs="Arial"/>
                <w:color w:val="auto"/>
                <w:sz w:val="22"/>
                <w:szCs w:val="22"/>
                <w:u w:color="004C7F"/>
                <w:lang w:val="en-US"/>
              </w:rPr>
              <w:t xml:space="preserve">J. </w:t>
            </w:r>
            <w:r w:rsidRPr="00CE7A5C">
              <w:rPr>
                <w:rFonts w:cs="Arial"/>
                <w:color w:val="auto"/>
                <w:sz w:val="22"/>
                <w:szCs w:val="22"/>
                <w:u w:color="004C7F"/>
                <w:lang w:val="en-US"/>
              </w:rPr>
              <w:t>Schlapbach</w:t>
            </w:r>
            <w:r>
              <w:rPr>
                <w:rFonts w:cs="Arial"/>
                <w:color w:val="auto"/>
                <w:sz w:val="22"/>
                <w:szCs w:val="22"/>
                <w:u w:color="004C7F"/>
                <w:lang w:val="en-US"/>
              </w:rPr>
              <w:t>*</w:t>
            </w:r>
          </w:p>
          <w:p w14:paraId="010DBAC7" w14:textId="3125356B" w:rsidR="00000546" w:rsidRPr="00124258" w:rsidRDefault="00000546" w:rsidP="00957901">
            <w:pPr>
              <w:pStyle w:val="Body"/>
              <w:widowControl w:val="0"/>
              <w:spacing w:line="360" w:lineRule="auto"/>
              <w:rPr>
                <w:rFonts w:cs="Arial"/>
                <w:color w:val="auto"/>
                <w:sz w:val="22"/>
                <w:szCs w:val="22"/>
                <w:u w:color="004C7F"/>
                <w:lang w:val="en-US"/>
              </w:rPr>
            </w:pPr>
            <w:r w:rsidRPr="00124258">
              <w:rPr>
                <w:rFonts w:cs="Arial"/>
                <w:color w:val="auto"/>
                <w:sz w:val="22"/>
                <w:szCs w:val="22"/>
                <w:u w:color="004C7F"/>
                <w:lang w:val="en-US"/>
              </w:rPr>
              <w:t xml:space="preserve">Jason </w:t>
            </w:r>
            <w:r w:rsidR="0044446B" w:rsidRPr="00124258">
              <w:rPr>
                <w:rFonts w:cs="Arial"/>
                <w:color w:val="auto"/>
                <w:sz w:val="22"/>
                <w:szCs w:val="22"/>
                <w:u w:color="004C7F"/>
                <w:lang w:val="en-US"/>
              </w:rPr>
              <w:t xml:space="preserve">A. </w:t>
            </w:r>
            <w:r w:rsidRPr="00124258">
              <w:rPr>
                <w:rFonts w:cs="Arial"/>
                <w:color w:val="auto"/>
                <w:sz w:val="22"/>
                <w:szCs w:val="22"/>
                <w:u w:color="004C7F"/>
                <w:lang w:val="en-US"/>
              </w:rPr>
              <w:t>Roberts</w:t>
            </w:r>
            <w:r w:rsidR="00124258" w:rsidRPr="00124258">
              <w:rPr>
                <w:rFonts w:cs="Arial"/>
                <w:color w:val="auto"/>
                <w:sz w:val="22"/>
                <w:szCs w:val="22"/>
                <w:u w:color="004C7F"/>
                <w:lang w:val="en-US"/>
              </w:rPr>
              <w:t>*</w:t>
            </w:r>
          </w:p>
          <w:p w14:paraId="71C26382" w14:textId="38F64776" w:rsidR="00904968" w:rsidRPr="00CE7A5C" w:rsidRDefault="00124258" w:rsidP="00957901">
            <w:pPr>
              <w:pStyle w:val="Body"/>
              <w:widowControl w:val="0"/>
              <w:spacing w:line="360" w:lineRule="auto"/>
              <w:rPr>
                <w:rFonts w:cs="Arial"/>
                <w:color w:val="006600"/>
                <w:sz w:val="22"/>
                <w:szCs w:val="22"/>
                <w:u w:color="004C7F"/>
              </w:rPr>
            </w:pPr>
            <w:r w:rsidRPr="00124258">
              <w:rPr>
                <w:rFonts w:cs="Arial"/>
                <w:color w:val="auto"/>
                <w:sz w:val="22"/>
                <w:szCs w:val="22"/>
                <w:u w:color="004C7F"/>
              </w:rPr>
              <w:t>*Contributed equally</w:t>
            </w:r>
          </w:p>
        </w:tc>
      </w:tr>
      <w:tr w:rsidR="004C3232" w:rsidRPr="00CE7A5C" w14:paraId="1AB0540A" w14:textId="77777777">
        <w:trPr>
          <w:trHeight w:val="110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380725AE" w14:textId="7E24F33E" w:rsidR="004C3232" w:rsidRPr="00CE7A5C" w:rsidRDefault="00904968" w:rsidP="00957901">
            <w:pPr>
              <w:pStyle w:val="FreeForm"/>
              <w:spacing w:before="120" w:after="120" w:line="360" w:lineRule="auto"/>
              <w:rPr>
                <w:rFonts w:ascii="Arial" w:hAnsi="Arial" w:cs="Arial"/>
              </w:rPr>
            </w:pPr>
            <w:r w:rsidRPr="00CE7A5C">
              <w:rPr>
                <w:rFonts w:ascii="Arial" w:hAnsi="Arial" w:cs="Arial"/>
              </w:rPr>
              <w:lastRenderedPageBreak/>
              <w:t>N</w:t>
            </w:r>
            <w:r w:rsidR="00B727C2" w:rsidRPr="00CE7A5C">
              <w:rPr>
                <w:rFonts w:ascii="Arial" w:hAnsi="Arial" w:cs="Arial"/>
              </w:rPr>
              <w:t>ame and contact information for the trial sponsor</w:t>
            </w:r>
            <w:r w:rsidRPr="00CE7A5C">
              <w:rPr>
                <w:rFonts w:ascii="Arial" w:hAnsi="Arial" w:cs="Arial"/>
              </w:rPr>
              <w:t xml:space="preserve"> {5b}</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62DA1586" w14:textId="7173F6F5" w:rsidR="000858E4" w:rsidRPr="000858E4" w:rsidRDefault="000858E4" w:rsidP="000858E4">
            <w:pPr>
              <w:pStyle w:val="FreeForm"/>
              <w:spacing w:before="120" w:after="120" w:line="360" w:lineRule="auto"/>
              <w:jc w:val="both"/>
              <w:rPr>
                <w:rFonts w:ascii="Arial" w:hAnsi="Arial" w:cs="Arial"/>
                <w:color w:val="auto"/>
                <w:u w:color="004C7F"/>
              </w:rPr>
            </w:pPr>
            <w:r w:rsidRPr="000858E4">
              <w:rPr>
                <w:rFonts w:ascii="Arial" w:hAnsi="Arial" w:cs="Arial"/>
                <w:color w:val="auto"/>
                <w:u w:color="004C7F"/>
              </w:rPr>
              <w:t>The University of Queensland ABN 63 942 912 684 a body corporate constituted under the University of Queensland Act 1998 (Qld) of Brisbane in the State of Queensland 4072, Australia</w:t>
            </w:r>
            <w:r>
              <w:rPr>
                <w:rFonts w:ascii="Arial" w:hAnsi="Arial" w:cs="Arial"/>
                <w:color w:val="auto"/>
                <w:u w:color="004C7F"/>
              </w:rPr>
              <w:t>.</w:t>
            </w:r>
          </w:p>
          <w:p w14:paraId="3DDAE38A" w14:textId="77777777" w:rsidR="000858E4" w:rsidRPr="000858E4" w:rsidRDefault="000858E4" w:rsidP="000858E4">
            <w:pPr>
              <w:pStyle w:val="FreeForm"/>
              <w:spacing w:before="120" w:after="120" w:line="360" w:lineRule="auto"/>
              <w:jc w:val="both"/>
              <w:rPr>
                <w:rFonts w:ascii="Arial" w:hAnsi="Arial" w:cs="Arial"/>
                <w:color w:val="auto"/>
                <w:u w:color="004C7F"/>
              </w:rPr>
            </w:pPr>
            <w:r w:rsidRPr="000858E4">
              <w:rPr>
                <w:rFonts w:ascii="Arial" w:hAnsi="Arial" w:cs="Arial"/>
                <w:color w:val="auto"/>
                <w:u w:color="004C7F"/>
              </w:rPr>
              <w:t>Joe McLean, Director, Research Partnerships</w:t>
            </w:r>
          </w:p>
          <w:p w14:paraId="1158033F" w14:textId="77777777" w:rsidR="000858E4" w:rsidRPr="000858E4" w:rsidRDefault="000858E4" w:rsidP="000858E4">
            <w:pPr>
              <w:pStyle w:val="FreeForm"/>
              <w:spacing w:before="120" w:after="120" w:line="360" w:lineRule="auto"/>
              <w:jc w:val="both"/>
              <w:rPr>
                <w:rFonts w:ascii="Arial" w:hAnsi="Arial" w:cs="Arial"/>
                <w:color w:val="auto"/>
                <w:u w:color="004C7F"/>
              </w:rPr>
            </w:pPr>
            <w:r w:rsidRPr="000858E4">
              <w:rPr>
                <w:rFonts w:ascii="Arial" w:hAnsi="Arial" w:cs="Arial"/>
                <w:color w:val="auto"/>
                <w:u w:color="004C7F"/>
              </w:rPr>
              <w:t xml:space="preserve">Level 2, </w:t>
            </w:r>
            <w:proofErr w:type="spellStart"/>
            <w:r w:rsidRPr="000858E4">
              <w:rPr>
                <w:rFonts w:ascii="Arial" w:hAnsi="Arial" w:cs="Arial"/>
                <w:color w:val="auto"/>
                <w:u w:color="004C7F"/>
              </w:rPr>
              <w:t>Cumbrae</w:t>
            </w:r>
            <w:proofErr w:type="spellEnd"/>
            <w:r w:rsidRPr="000858E4">
              <w:rPr>
                <w:rFonts w:ascii="Arial" w:hAnsi="Arial" w:cs="Arial"/>
                <w:color w:val="auto"/>
                <w:u w:color="004C7F"/>
              </w:rPr>
              <w:t>-Stewart (Building 72) The University of Queensland Brisbane, QLD 4072</w:t>
            </w:r>
          </w:p>
          <w:p w14:paraId="053D45ED" w14:textId="788140C1" w:rsidR="004C3232" w:rsidRPr="00CE7A5C" w:rsidRDefault="000858E4" w:rsidP="000858E4">
            <w:pPr>
              <w:pStyle w:val="FreeForm"/>
              <w:spacing w:before="120" w:after="120" w:line="360" w:lineRule="auto"/>
              <w:jc w:val="both"/>
              <w:rPr>
                <w:rFonts w:ascii="Arial" w:hAnsi="Arial" w:cs="Arial"/>
                <w:color w:val="auto"/>
              </w:rPr>
            </w:pPr>
            <w:r w:rsidRPr="000858E4">
              <w:rPr>
                <w:rFonts w:ascii="Arial" w:hAnsi="Arial" w:cs="Arial"/>
                <w:color w:val="auto"/>
                <w:u w:color="004C7F"/>
              </w:rPr>
              <w:t>Email: director.partnerships@research.uq.edu.au</w:t>
            </w:r>
          </w:p>
        </w:tc>
      </w:tr>
      <w:tr w:rsidR="004C3232" w:rsidRPr="00CE7A5C" w14:paraId="42166DA5" w14:textId="77777777">
        <w:trPr>
          <w:trHeight w:val="1545"/>
        </w:trPr>
        <w:tc>
          <w:tcPr>
            <w:tcW w:w="3270" w:type="dxa"/>
            <w:tcBorders>
              <w:top w:val="single" w:sz="4" w:space="0" w:color="000000"/>
              <w:left w:val="single" w:sz="16" w:space="0" w:color="000000"/>
              <w:bottom w:val="single" w:sz="16" w:space="0" w:color="000000"/>
              <w:right w:val="single" w:sz="4" w:space="0" w:color="000000"/>
            </w:tcBorders>
            <w:shd w:val="clear" w:color="auto" w:fill="auto"/>
            <w:tcMar>
              <w:top w:w="80" w:type="dxa"/>
              <w:left w:w="80" w:type="dxa"/>
              <w:bottom w:w="80" w:type="dxa"/>
              <w:right w:w="80" w:type="dxa"/>
            </w:tcMar>
          </w:tcPr>
          <w:p w14:paraId="7994CD49" w14:textId="5F03B132" w:rsidR="004C3232" w:rsidRPr="00CE7A5C" w:rsidRDefault="00B727C2" w:rsidP="00957901">
            <w:pPr>
              <w:pStyle w:val="FreeForm"/>
              <w:spacing w:before="120" w:after="120" w:line="360" w:lineRule="auto"/>
              <w:rPr>
                <w:rFonts w:ascii="Arial" w:hAnsi="Arial" w:cs="Arial"/>
              </w:rPr>
            </w:pPr>
            <w:r w:rsidRPr="00CE7A5C">
              <w:rPr>
                <w:rFonts w:ascii="Arial" w:hAnsi="Arial" w:cs="Arial"/>
              </w:rPr>
              <w:lastRenderedPageBreak/>
              <w:t>Role of sponsor</w:t>
            </w:r>
            <w:r w:rsidR="00904968" w:rsidRPr="00CE7A5C">
              <w:rPr>
                <w:rFonts w:ascii="Arial" w:hAnsi="Arial" w:cs="Arial"/>
              </w:rPr>
              <w:t xml:space="preserve"> {5c}</w:t>
            </w:r>
          </w:p>
        </w:tc>
        <w:tc>
          <w:tcPr>
            <w:tcW w:w="6322" w:type="dxa"/>
            <w:tcBorders>
              <w:top w:val="single" w:sz="4" w:space="0" w:color="000000"/>
              <w:left w:val="single" w:sz="4" w:space="0" w:color="000000"/>
              <w:bottom w:val="single" w:sz="16" w:space="0" w:color="000000"/>
              <w:right w:val="single" w:sz="16" w:space="0" w:color="000000"/>
            </w:tcBorders>
            <w:shd w:val="clear" w:color="auto" w:fill="auto"/>
            <w:tcMar>
              <w:top w:w="80" w:type="dxa"/>
              <w:left w:w="80" w:type="dxa"/>
              <w:bottom w:w="80" w:type="dxa"/>
              <w:right w:w="80" w:type="dxa"/>
            </w:tcMar>
          </w:tcPr>
          <w:p w14:paraId="104BED6D" w14:textId="278EB9C8" w:rsidR="00000546" w:rsidRPr="00CE7A5C" w:rsidRDefault="0026617F" w:rsidP="00957901">
            <w:pPr>
              <w:pStyle w:val="FreeForm"/>
              <w:spacing w:before="120" w:after="120" w:line="360" w:lineRule="auto"/>
              <w:jc w:val="both"/>
              <w:rPr>
                <w:rFonts w:ascii="Arial" w:hAnsi="Arial" w:cs="Arial"/>
                <w:color w:val="auto"/>
                <w:u w:color="004C7F"/>
              </w:rPr>
            </w:pPr>
            <w:r w:rsidRPr="00CE7A5C">
              <w:rPr>
                <w:rFonts w:ascii="Arial" w:hAnsi="Arial" w:cs="Arial"/>
                <w:color w:val="auto"/>
                <w:u w:color="004C7F"/>
              </w:rPr>
              <w:t>The s</w:t>
            </w:r>
            <w:r w:rsidR="00000546" w:rsidRPr="00CE7A5C">
              <w:rPr>
                <w:rFonts w:ascii="Arial" w:hAnsi="Arial" w:cs="Arial"/>
                <w:color w:val="auto"/>
                <w:u w:color="004C7F"/>
              </w:rPr>
              <w:t xml:space="preserve">tudy sponsor </w:t>
            </w:r>
            <w:r w:rsidRPr="00CE7A5C">
              <w:rPr>
                <w:rFonts w:ascii="Arial" w:hAnsi="Arial" w:cs="Arial"/>
                <w:color w:val="auto"/>
                <w:u w:color="004C7F"/>
              </w:rPr>
              <w:t>provides oversight and monitoring of the study. The study steering committee oversees the integrity and conduct of the study including reporting to the funders. Funders have</w:t>
            </w:r>
            <w:r w:rsidR="00000546" w:rsidRPr="00CE7A5C">
              <w:rPr>
                <w:rFonts w:ascii="Arial" w:hAnsi="Arial" w:cs="Arial"/>
                <w:color w:val="auto"/>
                <w:u w:color="004C7F"/>
              </w:rPr>
              <w:t xml:space="preserve"> no role in the design, </w:t>
            </w:r>
            <w:r w:rsidRPr="00CE7A5C">
              <w:rPr>
                <w:rFonts w:ascii="Arial" w:hAnsi="Arial" w:cs="Arial"/>
                <w:color w:val="auto"/>
                <w:u w:color="004C7F"/>
              </w:rPr>
              <w:t>conduct, data collection, management, analysis, and interpretation of data; writing of the report; or decision to submit the report for publication.</w:t>
            </w:r>
          </w:p>
          <w:p w14:paraId="5C945890" w14:textId="3DEEF8A2" w:rsidR="0026617F" w:rsidRPr="00B54201" w:rsidRDefault="00A7049E" w:rsidP="00957901">
            <w:pPr>
              <w:pStyle w:val="FreeForm"/>
              <w:spacing w:before="120" w:after="120" w:line="360" w:lineRule="auto"/>
              <w:jc w:val="both"/>
              <w:rPr>
                <w:rFonts w:ascii="Arial" w:hAnsi="Arial" w:cs="Arial"/>
                <w:color w:val="auto"/>
                <w:u w:color="004C7F"/>
              </w:rPr>
            </w:pPr>
            <w:r w:rsidRPr="00CE7A5C">
              <w:rPr>
                <w:rFonts w:ascii="Arial" w:hAnsi="Arial" w:cs="Arial"/>
                <w:color w:val="auto"/>
                <w:u w:color="004C7F"/>
              </w:rPr>
              <w:t xml:space="preserve">No significant adverse events </w:t>
            </w:r>
            <w:r>
              <w:rPr>
                <w:rFonts w:ascii="Arial" w:hAnsi="Arial" w:cs="Arial"/>
                <w:color w:val="auto"/>
                <w:u w:color="004C7F"/>
              </w:rPr>
              <w:t>are</w:t>
            </w:r>
            <w:r w:rsidRPr="00CE7A5C">
              <w:rPr>
                <w:rFonts w:ascii="Arial" w:hAnsi="Arial" w:cs="Arial"/>
                <w:color w:val="auto"/>
                <w:u w:color="004C7F"/>
              </w:rPr>
              <w:t xml:space="preserve"> anticipated in this study</w:t>
            </w:r>
            <w:r w:rsidR="00A714E2">
              <w:rPr>
                <w:rFonts w:ascii="Arial" w:hAnsi="Arial" w:cs="Arial"/>
                <w:color w:val="auto"/>
                <w:u w:color="004C7F"/>
              </w:rPr>
              <w:t xml:space="preserve"> and a</w:t>
            </w:r>
            <w:r w:rsidR="00A714E2" w:rsidRPr="00A7049E">
              <w:rPr>
                <w:rFonts w:ascii="Arial" w:hAnsi="Arial" w:cs="Arial"/>
                <w:color w:val="auto"/>
                <w:u w:color="004C7F"/>
              </w:rPr>
              <w:t xml:space="preserve"> Data</w:t>
            </w:r>
            <w:r w:rsidR="00A714E2">
              <w:rPr>
                <w:rFonts w:ascii="Arial" w:hAnsi="Arial" w:cs="Arial"/>
                <w:color w:val="auto"/>
                <w:u w:color="004C7F"/>
              </w:rPr>
              <w:t xml:space="preserve"> Safety Monitoring Board (D</w:t>
            </w:r>
            <w:r w:rsidR="00A714E2" w:rsidRPr="00CE7A5C">
              <w:rPr>
                <w:rFonts w:ascii="Arial" w:hAnsi="Arial" w:cs="Arial"/>
                <w:color w:val="auto"/>
                <w:u w:color="004C7F"/>
              </w:rPr>
              <w:t xml:space="preserve">SMB) was not </w:t>
            </w:r>
            <w:r w:rsidR="00A714E2">
              <w:rPr>
                <w:rFonts w:ascii="Arial" w:hAnsi="Arial" w:cs="Arial"/>
                <w:color w:val="auto"/>
                <w:u w:color="004C7F"/>
              </w:rPr>
              <w:t>required</w:t>
            </w:r>
            <w:r w:rsidR="00B54201">
              <w:rPr>
                <w:rFonts w:ascii="Arial" w:hAnsi="Arial" w:cs="Arial"/>
                <w:color w:val="auto"/>
                <w:u w:color="004C7F"/>
              </w:rPr>
              <w:t>.</w:t>
            </w:r>
          </w:p>
        </w:tc>
      </w:tr>
    </w:tbl>
    <w:p w14:paraId="71792AE8" w14:textId="657EA625" w:rsidR="004C3232" w:rsidRDefault="004C3232" w:rsidP="00B54201">
      <w:pPr>
        <w:pStyle w:val="Body"/>
        <w:widowControl w:val="0"/>
        <w:spacing w:line="360" w:lineRule="auto"/>
        <w:ind w:left="108" w:hanging="108"/>
        <w:rPr>
          <w:rFonts w:eastAsia="Verdana" w:cs="Arial"/>
          <w:b/>
          <w:bCs/>
          <w:i/>
          <w:iCs/>
          <w:sz w:val="22"/>
          <w:szCs w:val="22"/>
        </w:rPr>
      </w:pPr>
    </w:p>
    <w:p w14:paraId="46B8D1B4" w14:textId="7D56344A" w:rsidR="00C57033" w:rsidRDefault="00C57033" w:rsidP="00B54201">
      <w:pPr>
        <w:pStyle w:val="Body"/>
        <w:widowControl w:val="0"/>
        <w:spacing w:line="360" w:lineRule="auto"/>
        <w:ind w:left="108" w:hanging="108"/>
        <w:rPr>
          <w:rFonts w:eastAsia="Verdana" w:cs="Arial"/>
          <w:b/>
          <w:bCs/>
          <w:i/>
          <w:iCs/>
          <w:sz w:val="22"/>
          <w:szCs w:val="22"/>
        </w:rPr>
      </w:pPr>
    </w:p>
    <w:p w14:paraId="6F20EAAC" w14:textId="1FEC668E" w:rsidR="00C57033" w:rsidRDefault="00C57033" w:rsidP="00B54201">
      <w:pPr>
        <w:pStyle w:val="Body"/>
        <w:widowControl w:val="0"/>
        <w:spacing w:line="360" w:lineRule="auto"/>
        <w:ind w:left="108" w:hanging="108"/>
        <w:rPr>
          <w:rFonts w:eastAsia="Verdana" w:cs="Arial"/>
          <w:b/>
          <w:bCs/>
          <w:sz w:val="22"/>
          <w:szCs w:val="22"/>
        </w:rPr>
      </w:pPr>
      <w:r>
        <w:rPr>
          <w:rFonts w:eastAsia="Verdana" w:cs="Arial"/>
          <w:b/>
          <w:bCs/>
          <w:sz w:val="22"/>
          <w:szCs w:val="22"/>
        </w:rPr>
        <w:t>Contribution of the manuscript to the research field:</w:t>
      </w:r>
    </w:p>
    <w:p w14:paraId="4B2708FD" w14:textId="6B6AA3FE" w:rsidR="00C57033" w:rsidRDefault="00C57033" w:rsidP="00B54201">
      <w:pPr>
        <w:pStyle w:val="Body"/>
        <w:widowControl w:val="0"/>
        <w:spacing w:line="360" w:lineRule="auto"/>
        <w:ind w:left="108" w:hanging="108"/>
        <w:rPr>
          <w:rFonts w:eastAsia="Verdana" w:cs="Arial"/>
          <w:b/>
          <w:bCs/>
          <w:sz w:val="22"/>
          <w:szCs w:val="22"/>
        </w:rPr>
      </w:pPr>
    </w:p>
    <w:p w14:paraId="75223FFB" w14:textId="77777777" w:rsidR="00C57033" w:rsidRDefault="00C57033" w:rsidP="00B54201">
      <w:pPr>
        <w:pStyle w:val="Body"/>
        <w:widowControl w:val="0"/>
        <w:spacing w:line="360" w:lineRule="auto"/>
        <w:ind w:left="108" w:hanging="108"/>
        <w:rPr>
          <w:rFonts w:eastAsia="Verdana" w:cs="Arial"/>
          <w:b/>
          <w:bCs/>
          <w:sz w:val="22"/>
          <w:szCs w:val="22"/>
        </w:rPr>
      </w:pPr>
    </w:p>
    <w:p w14:paraId="338952AB" w14:textId="597662E4" w:rsidR="00C57033" w:rsidRDefault="00C57033" w:rsidP="00C57033">
      <w:pPr>
        <w:pStyle w:val="Body"/>
        <w:widowControl w:val="0"/>
        <w:spacing w:line="360" w:lineRule="auto"/>
        <w:ind w:left="108" w:hanging="108"/>
        <w:rPr>
          <w:rFonts w:eastAsia="Verdana" w:cs="Arial"/>
          <w:sz w:val="22"/>
          <w:szCs w:val="22"/>
        </w:rPr>
      </w:pPr>
      <w:r w:rsidRPr="00C57033">
        <w:rPr>
          <w:rFonts w:eastAsia="Verdana" w:cs="Arial"/>
          <w:sz w:val="22"/>
          <w:szCs w:val="22"/>
        </w:rPr>
        <w:t xml:space="preserve">Sepsis contributes significantly to morbidity and mortality globally, and prompt effective antimicrobial therapy is demonstrably important </w:t>
      </w:r>
      <w:r>
        <w:rPr>
          <w:rFonts w:eastAsia="Verdana" w:cs="Arial"/>
          <w:sz w:val="22"/>
          <w:szCs w:val="22"/>
        </w:rPr>
        <w:t>in</w:t>
      </w:r>
      <w:r w:rsidRPr="00C57033">
        <w:rPr>
          <w:rFonts w:eastAsia="Verdana" w:cs="Arial"/>
          <w:sz w:val="22"/>
          <w:szCs w:val="22"/>
        </w:rPr>
        <w:t xml:space="preserve"> improving outcomes. This protocol describes a multi-centre pilot study of an integrated diagnostic and therapeutic algorithm</w:t>
      </w:r>
      <w:r>
        <w:rPr>
          <w:rFonts w:eastAsia="Verdana" w:cs="Arial"/>
          <w:sz w:val="22"/>
          <w:szCs w:val="22"/>
        </w:rPr>
        <w:t>,</w:t>
      </w:r>
      <w:r w:rsidRPr="00C57033">
        <w:rPr>
          <w:rFonts w:eastAsia="Verdana" w:cs="Arial"/>
          <w:sz w:val="22"/>
          <w:szCs w:val="22"/>
        </w:rPr>
        <w:t xml:space="preserve"> in critically ill patients with sepsis.</w:t>
      </w:r>
      <w:r>
        <w:rPr>
          <w:rFonts w:eastAsia="Verdana" w:cs="Arial"/>
          <w:sz w:val="22"/>
          <w:szCs w:val="22"/>
        </w:rPr>
        <w:t xml:space="preserve"> We take a highly novel approach to both diagnostic testing, using nanopore pathogen sequencing direct from clinical samples, and to achieving therapeutic drug levels with Bayesian dosing software. The trial will </w:t>
      </w:r>
      <w:r w:rsidRPr="00C57033">
        <w:rPr>
          <w:rFonts w:eastAsia="Verdana" w:cs="Arial"/>
          <w:sz w:val="22"/>
          <w:szCs w:val="22"/>
        </w:rPr>
        <w:t>demonstrate the feasibility and diagnostic accuracy of pathogen sequencing direct from clinical samples, and estimate the impact of this approach on time to effective therapy when integrated with personalised software-guided antimicrobial dosing</w:t>
      </w:r>
      <w:r>
        <w:rPr>
          <w:rFonts w:eastAsia="Verdana" w:cs="Arial"/>
          <w:sz w:val="22"/>
          <w:szCs w:val="22"/>
        </w:rPr>
        <w:t xml:space="preserve">. </w:t>
      </w:r>
      <w:r w:rsidRPr="00C57033">
        <w:rPr>
          <w:rFonts w:eastAsia="Verdana" w:cs="Arial"/>
          <w:sz w:val="22"/>
          <w:szCs w:val="22"/>
        </w:rPr>
        <w:t>in children and adults on ICU with sepsis</w:t>
      </w:r>
      <w:r>
        <w:rPr>
          <w:rFonts w:eastAsia="Verdana" w:cs="Arial"/>
          <w:sz w:val="22"/>
          <w:szCs w:val="22"/>
        </w:rPr>
        <w:t>. Clinical trials in sepsis are a substantial logistical challenge, and our multi-centre study of critically ill children and adults will additionally yield insights into the practicalities of performing a future definitive trial of the diagnostic and therapeutic algorithm.</w:t>
      </w:r>
    </w:p>
    <w:p w14:paraId="6F0AF71A" w14:textId="77777777" w:rsidR="00C57033" w:rsidRPr="00C57033" w:rsidRDefault="00C57033" w:rsidP="00C57033">
      <w:pPr>
        <w:pStyle w:val="Body"/>
        <w:widowControl w:val="0"/>
        <w:spacing w:line="360" w:lineRule="auto"/>
        <w:ind w:left="108" w:hanging="108"/>
        <w:rPr>
          <w:rFonts w:eastAsia="Verdana" w:cs="Arial"/>
          <w:sz w:val="22"/>
          <w:szCs w:val="22"/>
        </w:rPr>
      </w:pPr>
    </w:p>
    <w:p w14:paraId="085EC2D0" w14:textId="77777777" w:rsidR="00C57033" w:rsidRPr="00C57033" w:rsidRDefault="00C57033" w:rsidP="00B54201">
      <w:pPr>
        <w:pStyle w:val="Body"/>
        <w:widowControl w:val="0"/>
        <w:spacing w:line="360" w:lineRule="auto"/>
        <w:ind w:left="108" w:hanging="108"/>
        <w:rPr>
          <w:rFonts w:eastAsia="Verdana" w:cs="Arial"/>
          <w:b/>
          <w:bCs/>
          <w:sz w:val="22"/>
          <w:szCs w:val="22"/>
        </w:rPr>
      </w:pPr>
    </w:p>
    <w:p w14:paraId="5286B84A" w14:textId="77777777" w:rsidR="008F13A9" w:rsidRDefault="008F13A9">
      <w:pPr>
        <w:rPr>
          <w:rFonts w:ascii="Arial" w:hAnsi="Arial" w:cs="Arial"/>
          <w:b/>
          <w:bCs/>
          <w:color w:val="000000"/>
          <w:sz w:val="22"/>
          <w:szCs w:val="22"/>
          <w:u w:color="000000"/>
        </w:rPr>
      </w:pPr>
      <w:r>
        <w:rPr>
          <w:rFonts w:cs="Arial"/>
          <w:b/>
          <w:bCs/>
          <w:sz w:val="22"/>
          <w:szCs w:val="22"/>
        </w:rPr>
        <w:br w:type="page"/>
      </w:r>
    </w:p>
    <w:p w14:paraId="0AD7B7A6" w14:textId="7C5B382B" w:rsidR="004C3232" w:rsidRPr="00CE7A5C" w:rsidRDefault="00405A80" w:rsidP="00B54201">
      <w:pPr>
        <w:pStyle w:val="Body"/>
        <w:widowControl w:val="0"/>
        <w:spacing w:line="360" w:lineRule="auto"/>
        <w:rPr>
          <w:rFonts w:cs="Arial"/>
          <w:b/>
          <w:bCs/>
          <w:sz w:val="22"/>
          <w:szCs w:val="22"/>
        </w:rPr>
      </w:pPr>
      <w:r w:rsidRPr="00CE7A5C">
        <w:rPr>
          <w:rFonts w:cs="Arial"/>
          <w:b/>
          <w:bCs/>
          <w:sz w:val="22"/>
          <w:szCs w:val="22"/>
          <w:lang w:val="en-US"/>
        </w:rPr>
        <w:lastRenderedPageBreak/>
        <w:t>Introduction</w:t>
      </w:r>
    </w:p>
    <w:p w14:paraId="10AD11B5" w14:textId="5DFC1085" w:rsidR="004C3232" w:rsidRPr="00CE7A5C" w:rsidRDefault="00B727C2" w:rsidP="00B54201">
      <w:pPr>
        <w:pStyle w:val="Body"/>
        <w:widowControl w:val="0"/>
        <w:spacing w:line="360" w:lineRule="auto"/>
        <w:rPr>
          <w:rFonts w:cs="Arial"/>
          <w:b/>
          <w:bCs/>
          <w:sz w:val="22"/>
          <w:szCs w:val="22"/>
        </w:rPr>
      </w:pPr>
      <w:r w:rsidRPr="00CE7A5C">
        <w:rPr>
          <w:rFonts w:cs="Arial"/>
          <w:b/>
          <w:bCs/>
          <w:sz w:val="22"/>
          <w:szCs w:val="22"/>
          <w:lang w:val="en-US"/>
        </w:rPr>
        <w:t>Background and rationale</w:t>
      </w:r>
      <w:r w:rsidR="00904968" w:rsidRPr="00CE7A5C">
        <w:rPr>
          <w:rFonts w:cs="Arial"/>
          <w:b/>
          <w:bCs/>
          <w:sz w:val="22"/>
          <w:szCs w:val="22"/>
          <w:lang w:val="en-US"/>
        </w:rPr>
        <w:t xml:space="preserve"> {6a}</w:t>
      </w:r>
    </w:p>
    <w:p w14:paraId="0914CDF6" w14:textId="77777777" w:rsidR="00692189" w:rsidRDefault="00000546" w:rsidP="00B54201">
      <w:pPr>
        <w:spacing w:line="360" w:lineRule="auto"/>
        <w:rPr>
          <w:rFonts w:ascii="Arial" w:hAnsi="Arial" w:cs="Arial"/>
          <w:sz w:val="22"/>
          <w:szCs w:val="22"/>
          <w:lang w:val="en-AU"/>
        </w:rPr>
      </w:pPr>
      <w:r w:rsidRPr="00CE7A5C">
        <w:rPr>
          <w:rFonts w:ascii="Arial" w:hAnsi="Arial" w:cs="Arial"/>
          <w:sz w:val="22"/>
          <w:szCs w:val="22"/>
          <w:lang w:val="en-AU"/>
        </w:rPr>
        <w:t xml:space="preserve">Sepsis contributes significantly to morbidity and mortality of children and adults </w:t>
      </w:r>
      <w:r w:rsidR="007252CB">
        <w:rPr>
          <w:rFonts w:ascii="Arial" w:hAnsi="Arial" w:cs="Arial"/>
          <w:sz w:val="22"/>
          <w:szCs w:val="22"/>
          <w:lang w:val="en-AU"/>
        </w:rPr>
        <w:t>worl</w:t>
      </w:r>
      <w:r w:rsidR="009F45D8">
        <w:rPr>
          <w:rFonts w:ascii="Arial" w:hAnsi="Arial" w:cs="Arial"/>
          <w:sz w:val="22"/>
          <w:szCs w:val="22"/>
          <w:lang w:val="en-AU"/>
        </w:rPr>
        <w:t>d</w:t>
      </w:r>
      <w:r w:rsidR="007252CB">
        <w:rPr>
          <w:rFonts w:ascii="Arial" w:hAnsi="Arial" w:cs="Arial"/>
          <w:sz w:val="22"/>
          <w:szCs w:val="22"/>
          <w:lang w:val="en-AU"/>
        </w:rPr>
        <w:t xml:space="preserve">wide </w:t>
      </w:r>
      <w:r w:rsidRPr="00CE7A5C">
        <w:rPr>
          <w:rFonts w:ascii="Arial" w:hAnsi="Arial" w:cs="Arial"/>
          <w:sz w:val="22"/>
          <w:szCs w:val="22"/>
          <w:lang w:val="en-AU"/>
        </w:rPr>
        <w:t>with an incidence that is increasing in line with global estimates.</w:t>
      </w:r>
      <w:r w:rsidR="00672AFE" w:rsidRPr="00CE7A5C">
        <w:rPr>
          <w:rFonts w:ascii="Arial" w:hAnsi="Arial" w:cs="Arial"/>
          <w:sz w:val="22"/>
          <w:szCs w:val="22"/>
        </w:rPr>
        <w:fldChar w:fldCharType="begin"/>
      </w:r>
      <w:r w:rsidR="00692189">
        <w:rPr>
          <w:rFonts w:ascii="Arial" w:hAnsi="Arial" w:cs="Arial"/>
          <w:sz w:val="22"/>
          <w:szCs w:val="22"/>
        </w:rPr>
        <w:instrText xml:space="preserve"> ADDIN ZOTERO_ITEM CSL_CITATION {"citationID":"tfDJLgfj","properties":{"formattedCitation":"\\super 2\\uc0\\u8211{}4\\nosupersub{}","plainCitation":"2–4","noteIndex":0},"citationItems":[{"id":30410,"uris":["http://zotero.org/users/5768096/items/5LUX7UQX"],"uri":["http://zotero.org/users/5768096/items/5LUX7UQX"],"itemData":{"id":30410,"type":"article-journal","container-title":"The Lancet Infectious Diseases","DOI":"10.1016/S1473-3099(14)71003-5","ISSN":"14733099","issue":"1","journalAbbreviation":"The Lancet Infectious Diseases","language":"en","page":"46-54","source":"DOI.org (Crossref)","title":"Mortality related to invasive infections, sepsis, and septic shock in critically ill children in Australia and New Zealand, 2002–13: a multicentre retrospective cohort study","title-short":"Mortality related to invasive infections, sepsis, and septic shock in critically ill children in Australia and New Zealand, 2002–13","volume":"15","author":[{"family":"Schlapbach","given":"Luregn J"},{"family":"Straney","given":"Lahn"},{"family":"Alexander","given":"Janet"},{"family":"MacLaren","given":"Graeme"},{"family":"Festa","given":"Marino"},{"family":"Schibler","given":"Andreas"},{"family":"Slater","given":"Anthony"}],"issued":{"date-parts":[["2015",1]]}}},{"id":2888,"uris":["http://zotero.org/users/5768096/items/YLJL6EC9"],"uri":["http://zotero.org/users/5768096/items/YLJL6EC9"],"itemData":{"id":2888,"type":"article-journal","abstract":"The incidence of sepsis is highest in neonates and children, yet the global burden of sepsis in these age groups has not been assessed. We reviewed available evidence from observational epidemiological studies to estimate the global burden and mortality of sepsis in neonates and children. We did a systematic review and meta-analysis of studies reporting population-based sepsis incidence in neonates and children, published between 1979 and 2016. Our search yielded 1270 studies, 23 of which met the inclusion criteria; 16 were from high-income countries and seven from middle-income countries. 15 studies from 12 countries reported complete data and were included in the meta-analysis. We found an aggregate estimate of 48 (95% CI 27-86) sepsis cases and 22 (14-33) severe sepsis cases in children per 100 000 person-years. Mortality ranged from 1% to 5% for sepsis and 9% to 20% for severe sepsis. The population-level estimate for neonatal sepsis was 2202 (95% CI 1099-4360) per 100 000 livebirths, with mortality between 11% and 19%. Extrapolating these figures on a global scale, we estimate an incidence of 3.0 million cases of sepsis in neonates and 1.2 million cases in children. Although these results confirm that sepsis is a common and frequently fatal condition affecting neonates and children globally, few population-based data are available from low-income settings and the lack of standardisation of diagnostic criteria and definition of sepsis in the reviewed studies are obstacles to the accurate estimation of global burden. Robust epidemiological monitoring to define global sepsis incidence and mortality in children is urgently needed.","container-title":"Lancet Respir Med","DOI":"10.1016/S2213-2600(18)30063-8","ISSN":"2213-2619 (Electronic) 2213-2600 (Linking)","issue":"3","page":"223-230","title":"The global burden of paediatric and neonatal sepsis: a systematic review","volume":"6","author":[{"family":"Fleischmann-Struzek","given":"C."},{"family":"Goldfarb","given":"D. M."},{"family":"Schlattmann","given":"P."},{"family":"Schlapbach","given":"L. J."},{"family":"Reinhart","given":"K."},{"family":"Kissoon","given":"N."}],"issued":{"date-parts":[["2018",3]]}}},{"id":30445,"uris":["http://zotero.org/users/5768096/items/UH27LKGI"],"uri":["http://zotero.org/users/5768096/items/UH27LKGI"],"itemData":{"id":30445,"type":"article-journal","container-title":"The Lancet","DOI":"10.1016/S0140-6736(19)32989-7","ISSN":"01406736","issue":"10219","journalAbbreviation":"The Lancet","language":"en","page":"200-211","source":"DOI.org (Crossref)","title":"Global, regional, and national sepsis incidence and mortality, 1990–2017: analysis for the Global Burden of Disease Study","title-short":"Global, regional, and national sepsis incidence and mortality, 1990–2017","volume":"395","author":[{"family":"Rudd","given":"Kristina E"},{"family":"Johnson","given":"Sarah Charlotte"},{"family":"Agesa","given":"Kareha M"},{"family":"Shackelford","given":"Katya Anne"},{"family":"Tsoi","given":"Derrick"},{"family":"Kievlan","given":"Daniel Rhodes"},{"family":"Colombara","given":"Danny V"},{"family":"Ikuta","given":"Kevin S"},{"family":"Kissoon","given":"Niranjan"},{"family":"Finfer","given":"Simon"},{"family":"Fleischmann-Struzek","given":"Carolin"},{"family":"Machado","given":"Flavia R"},{"family":"Reinhart","given":"Konrad K"},{"family":"Rowan","given":"Kathryn"},{"family":"Seymour","given":"Christopher W"},{"family":"Watson","given":"R Scott"},{"family":"West","given":"T Eoin"},{"family":"Marinho","given":"Fatima"},{"family":"Hay","given":"Simon I"},{"family":"Lozano","given":"Rafael"},{"family":"Lopez","given":"Alan D"},{"family":"Angus","given":"Derek C"},{"family":"Murray","given":"Christopher J L"},{"family":"Naghavi","given":"Mohsen"}],"issued":{"date-parts":[["2020",1]]}}}],"schema":"https://github.com/citation-style-language/schema/raw/master/csl-citation.json"} </w:instrText>
      </w:r>
      <w:r w:rsidR="00672AFE" w:rsidRPr="00CE7A5C">
        <w:rPr>
          <w:rFonts w:ascii="Arial" w:hAnsi="Arial" w:cs="Arial"/>
          <w:sz w:val="22"/>
          <w:szCs w:val="22"/>
        </w:rPr>
        <w:fldChar w:fldCharType="separate"/>
      </w:r>
      <w:r w:rsidR="00692189" w:rsidRPr="00692189">
        <w:rPr>
          <w:rFonts w:ascii="Arial" w:hAnsi="Arial" w:cs="Arial"/>
          <w:sz w:val="22"/>
          <w:vertAlign w:val="superscript"/>
        </w:rPr>
        <w:t>2–4</w:t>
      </w:r>
      <w:r w:rsidR="00672AFE" w:rsidRPr="00CE7A5C">
        <w:rPr>
          <w:rFonts w:ascii="Arial" w:hAnsi="Arial" w:cs="Arial"/>
          <w:sz w:val="22"/>
          <w:szCs w:val="22"/>
        </w:rPr>
        <w:fldChar w:fldCharType="end"/>
      </w:r>
      <w:r w:rsidRPr="00CE7A5C">
        <w:rPr>
          <w:rFonts w:ascii="Arial" w:hAnsi="Arial" w:cs="Arial"/>
          <w:sz w:val="22"/>
          <w:szCs w:val="22"/>
          <w:lang w:val="en-AU"/>
        </w:rPr>
        <w:t xml:space="preserve"> </w:t>
      </w:r>
      <w:r w:rsidR="001A4A6A" w:rsidRPr="00CE7A5C">
        <w:rPr>
          <w:rFonts w:ascii="Arial" w:hAnsi="Arial" w:cs="Arial"/>
          <w:sz w:val="22"/>
          <w:szCs w:val="22"/>
          <w:lang w:val="en-AU"/>
        </w:rPr>
        <w:t>Close to 20,000 Australians develop sepsis every year</w:t>
      </w:r>
      <w:r w:rsidR="001A4A6A">
        <w:rPr>
          <w:rFonts w:ascii="Arial" w:hAnsi="Arial" w:cs="Arial"/>
          <w:sz w:val="22"/>
          <w:szCs w:val="22"/>
          <w:lang w:val="en-AU"/>
        </w:rPr>
        <w:t xml:space="preserve">, </w:t>
      </w:r>
      <w:r w:rsidR="009F45D8">
        <w:rPr>
          <w:rFonts w:ascii="Arial" w:hAnsi="Arial" w:cs="Arial"/>
          <w:sz w:val="22"/>
          <w:szCs w:val="22"/>
          <w:lang w:val="en-AU"/>
        </w:rPr>
        <w:t>in whom</w:t>
      </w:r>
      <w:r w:rsidR="001A4A6A">
        <w:rPr>
          <w:rFonts w:ascii="Arial" w:hAnsi="Arial" w:cs="Arial"/>
          <w:sz w:val="22"/>
          <w:szCs w:val="22"/>
          <w:lang w:val="en-AU"/>
        </w:rPr>
        <w:t xml:space="preserve"> </w:t>
      </w:r>
      <w:r w:rsidRPr="00CE7A5C">
        <w:rPr>
          <w:rFonts w:ascii="Arial" w:hAnsi="Arial" w:cs="Arial"/>
          <w:sz w:val="22"/>
          <w:szCs w:val="22"/>
          <w:lang w:val="en-AU"/>
        </w:rPr>
        <w:t xml:space="preserve">approximately 5,000 deaths </w:t>
      </w:r>
      <w:r w:rsidR="001A4A6A">
        <w:rPr>
          <w:rFonts w:ascii="Arial" w:hAnsi="Arial" w:cs="Arial"/>
          <w:sz w:val="22"/>
          <w:szCs w:val="22"/>
          <w:lang w:val="en-AU"/>
        </w:rPr>
        <w:t xml:space="preserve">occur. </w:t>
      </w:r>
      <w:r w:rsidRPr="00CE7A5C">
        <w:rPr>
          <w:rFonts w:ascii="Arial" w:hAnsi="Arial" w:cs="Arial"/>
          <w:sz w:val="22"/>
          <w:szCs w:val="22"/>
          <w:lang w:val="en-AU"/>
        </w:rPr>
        <w:t>The cost to the Australian healthcare system has been estimated to exceed AUD$846 million annually, with ICU treatment required for ongoing organ dysfunction resulting in the majority of costs (</w:t>
      </w:r>
      <w:hyperlink r:id="rId12" w:history="1">
        <w:r w:rsidRPr="00CE7A5C">
          <w:rPr>
            <w:rStyle w:val="Hyperlink"/>
            <w:rFonts w:ascii="Arial" w:hAnsi="Arial" w:cs="Arial"/>
            <w:sz w:val="22"/>
            <w:szCs w:val="22"/>
            <w:lang w:val="en-AU"/>
          </w:rPr>
          <w:t>https://www.georgeinstitute.org/sites/default/files/documents/stopping-sepsis-national-action-plan.pdf</w:t>
        </w:r>
      </w:hyperlink>
      <w:r w:rsidRPr="00CE7A5C">
        <w:rPr>
          <w:rFonts w:ascii="Arial" w:hAnsi="Arial" w:cs="Arial"/>
          <w:sz w:val="22"/>
          <w:szCs w:val="22"/>
          <w:lang w:val="en-AU"/>
        </w:rPr>
        <w:t>). Appropriate antibiotic therapy is demonstrably effective in improving outcomes in sepsis.</w:t>
      </w:r>
      <w:r w:rsidR="000B6637">
        <w:rPr>
          <w:rFonts w:ascii="Arial" w:hAnsi="Arial" w:cs="Arial"/>
          <w:sz w:val="22"/>
          <w:szCs w:val="22"/>
        </w:rPr>
        <w:t xml:space="preserve"> </w:t>
      </w:r>
      <w:r w:rsidR="009F45D8">
        <w:rPr>
          <w:rFonts w:ascii="Arial" w:hAnsi="Arial" w:cs="Arial"/>
          <w:sz w:val="22"/>
          <w:szCs w:val="22"/>
        </w:rPr>
        <w:fldChar w:fldCharType="begin"/>
      </w:r>
      <w:r w:rsidR="00692189">
        <w:rPr>
          <w:rFonts w:ascii="Arial" w:hAnsi="Arial" w:cs="Arial"/>
          <w:sz w:val="22"/>
          <w:szCs w:val="22"/>
        </w:rPr>
        <w:instrText xml:space="preserve"> ADDIN ZOTERO_ITEM CSL_CITATION {"citationID":"AHc1xqTX","properties":{"formattedCitation":"\\super 5\\uc0\\u8211{}9\\nosupersub{}","plainCitation":"5–9","noteIndex":0},"citationItems":[{"id":30408,"uris":["http://zotero.org/users/5768096/items/TMA3Y7V3"],"uri":["http://zotero.org/users/5768096/items/TMA3Y7V3"],"itemData":{"id":30408,"type":"article-journal","container-title":"Critical Care Medicine","DOI":"10.1097/CCM.0000000000002255","ISSN":"0090-3493","issue":"3","journalAbbreviation":"Critical Care Medicine","language":"en","page":"486-552","source":"DOI.org (Crossref)","title":"Surviving Sepsis Campaign: International Guidelines for Management of Sepsis and Septic Shock","title-short":"Surviving Sepsis Campaign","volume":"45","author":[{"family":"Rhodes","given":"Andrew"},{"family":"Evans","given":"Laura E."},{"family":"Alhazzani","given":"Waleed"},{"family":"Levy","given":"Mitchell M."},{"family":"Antonelli","given":"Massimo"},{"family":"Ferrer","given":"Ricard"},{"family":"Kumar","given":"Anand"},{"family":"Sevransky","given":"Jonathan E."},{"family":"Sprung","given":"Charles L."},{"family":"Nunnally","given":"Mark E."},{"family":"Rochwerg","given":"Bram"},{"family":"Rubenfeld","given":"Gordon D."},{"family":"Angus","given":"Derek C."},{"family":"Annane","given":"Djillali"},{"family":"Beale","given":"Richard J."},{"family":"Bellinghan","given":"Geoffrey J."},{"family":"Bernard","given":"Gordon R."},{"family":"Chiche","given":"Jean-Daniel"},{"family":"Coopersmith","given":"Craig"},{"family":"De Backer","given":"Daniel P."},{"family":"French","given":"Craig J."},{"family":"Fujishima","given":"Seitaro"},{"family":"Gerlach","given":"Herwig"},{"family":"Hidalgo","given":"Jorge Luis"},{"family":"Hollenberg","given":"Steven M."},{"family":"Jones","given":"Alan E."},{"family":"Karnad","given":"Dilip R."},{"family":"Kleinpell","given":"Ruth M."},{"family":"Koh","given":"Younsuck"},{"family":"Lisboa","given":"Thiago Costa"},{"family":"Machado","given":"Flavia R."},{"family":"Marini","given":"John J."},{"family":"Marshall","given":"John C."},{"family":"Mazuski","given":"John E."},{"family":"McIntyre","given":"Lauralyn A."},{"family":"McLean","given":"Anthony S."},{"family":"Mehta","given":"Sangeeta"},{"family":"Moreno","given":"Rui P."},{"family":"Myburgh","given":"John"},{"family":"Navalesi","given":"Paolo"},{"family":"Nishida","given":"Osamu"},{"family":"Osborn","given":"Tiffany M."},{"family":"Perner","given":"Anders"},{"family":"Plunkett","given":"Colleen M."},{"family":"Ranieri","given":"Marco"},{"family":"Schorr","given":"Christa A."},{"family":"Seckel","given":"Maureen A."},{"family":"Seymour","given":"Christopher W."},{"family":"Shieh","given":"Lisa"},{"family":"Shukri","given":"Khalid A."},{"family":"Simpson","given":"Steven Q."},{"family":"Singer","given":"Mervyn"},{"family":"Thompson","given":"B. Taylor"},{"family":"Townsend","given":"Sean R."},{"family":"Van der Poll","given":"Thomas"},{"family":"Vincent","given":"Jean-Louis"},{"family":"Wiersinga","given":"W. Joost"},{"family":"Zimmerman","given":"Janice L."},{"family":"Dellinger","given":"R. Phillip"}],"issued":{"date-parts":[["2017",3]]}}},{"id":1087,"uris":["http://zotero.org/users/5768096/items/K8GM6TNN"],"uri":["http://zotero.org/users/5768096/items/K8GM6TNN"],"itemData":{"id":1087,"type":"article-journal","abstract":"OBJECTIVE: Our goal was to determine the impact of the initiation of inappropriate antimicrobial therapy on survival to hospital discharge of patients with septic shock. METHODS: The appropriateness of initial antimicrobial therapy, the clinical infection site, and relevant pathogens were retrospectively determined for 5,715 patients with septic shock in three countries. RESULTS: Therapy with appropriate antimicrobial agents was initiated in 80.1% of cases. Overall, the survival rate was 43.7%. There were marked differences in the distribution of comorbidities, clinical infections, and pathogens in patients who received appropriate and inappropriate initial antimicrobial therapy (p &lt; 0.0001 for each). The survival rates after appropriate and inappropriate initial therapy were 52.0% and 10.3%, respectively (odds ratio [OR], 9.45; 95% CI, 7.74 to 11.54; p &lt; 0.0001). Similar differences in survival were seen in all major epidemiologic, clinical, and organism subgroups. The decrease in survival with inappropriate initial therapy ranged from 2.3-fold for pneumococcal infection to 17.6-fold with primary bacteremia. After adjustment for acute physiology and chronic health evaluation II score, comorbidities, hospital site, and other potential risk factors, the inappropriateness of initial antimicrobial therapy remained most highly associated with risk of death (OR, 8.99; 95% CI, 6.60 to 12.23). CONCLUSIONS: Inappropriate initial antimicrobial therapy for septic shock occurs in about 20% of patients and is associated with a fivefold reduction in survival. Efforts to increase the frequency of the appropriateness of initial antimicrobial therapy must be central to efforts to reduce the mortality of patients with septic shock.","container-title":"Chest","DOI":"10.1378/chest.09-0087","ISSN":"1931-3543 (Electronic) 0012-3692 (Linking)","issue":"5","page":"1237-48","title":"Initiation of inappropriate antimicrobial therapy results in a fivefold reduction of survival in human septic shock","volume":"136","author":[{"family":"Kumar","given":"A."},{"family":"Ellis","given":"P."},{"family":"Arabi","given":"Y."},{"family":"Roberts","given":"D."},{"family":"Light","given":"B."},{"family":"Parrillo","given":"J. E."},{"family":"Dodek","given":"P."},{"family":"Wood","given":"G."},{"family":"Kumar","given":"A."},{"family":"Simon","given":"D."},{"family":"Peters","given":"C."},{"family":"Ahsan","given":"M."},{"family":"Chateau","given":"D."},{"family":"Cooperative Antimicrobial Therapy of Septic Shock Database Research","given":"Group"}],"issued":{"date-parts":[["2009",11]]}}},{"id":30444,"uris":["http://zotero.org/users/5768096/items/U23KQV9G"],"uri":["http://zotero.org/users/5768096/items/U23KQV9G"],"itemData":{"id":30444,"type":"article-journal","container-title":"New England Journal of Medicine","DOI":"10.1056/NEJMoa1703058","ISSN":"0028-4793, 1533-4406","issue":"23","journalAbbreviation":"N Engl J Med","language":"en","page":"2235-2244","source":"DOI.org (Crossref)","title":"Time to Treatment and Mortality during Mandated Emergency Care for Sepsis","volume":"376","author":[{"family":"Seymour","given":"Christopher W."},{"family":"Gesten","given":"Foster"},{"family":"Prescott","given":"Hallie C."},{"family":"Friedrich","given":"Marcus E."},{"family":"Iwashyna","given":"Theodore J."},{"family":"Phillips","given":"Gary S."},{"family":"Lemeshow","given":"Stanley"},{"family":"Osborn","given":"Tiffany"},{"family":"Terry","given":"Kathleen M."},{"family":"Levy","given":"Mitchell M."}],"issued":{"date-parts":[["2017",6,8]]}}},{"id":30443,"uris":["http://zotero.org/users/5768096/items/8WZEA73Z"],"uri":["http://zotero.org/users/5768096/items/8WZEA73Z"],"itemData":{"id":30443,"type":"article-journal","container-title":"JAMA","DOI":"10.1001/jama.2018.9071","ISSN":"0098-7484","issue":"4","journalAbbreviation":"JAMA","language":"en","page":"358","source":"DOI.org (Crossref)","title":"Association Between the New York Sepsis Care Mandate and In-Hospital Mortality for Pediatric Sepsis","volume":"320","author":[{"family":"Evans","given":"Idris V. R."},{"family":"Phillips","given":"Gary S."},{"family":"Alpern","given":"Elizabeth R."},{"family":"Angus","given":"Derek C."},{"family":"Friedrich","given":"Marcus E."},{"family":"Kissoon","given":"Niranjan"},{"family":"Lemeshow","given":"Stanley"},{"family":"Levy","given":"Mitchell M."},{"family":"Parker","given":"Margaret M."},{"family":"Terry","given":"Kathleen M."},{"family":"Watson","given":"R. Scott"},{"family":"Weiss","given":"Scott L."},{"family":"Zimmerman","given":"Jerry"},{"family":"Seymour","given":"Christopher W."}],"issued":{"date-parts":[["2018",7,24]]}}},{"id":30442,"uris":["http://zotero.org/users/5768096/items/7AIDZ8GL"],"uri":["http://zotero.org/users/5768096/items/7AIDZ8GL"],"itemData":{"id":30442,"type":"article-journal","container-title":"Intensive Care Medicine","DOI":"10.1007/s00134-019-05878-6","ISSN":"0342-4642, 1432-1238","issue":"S1","journalAbbreviation":"Intensive Care Med","language":"en","page":"10-67","source":"DOI.org (Crossref)","title":"Surviving sepsis campaign international guidelines for the management of septic shock and sepsis-associated organ dysfunction in children","volume":"46","author":[{"family":"Weiss","given":"Scott L."},{"family":"Peters","given":"Mark J."},{"family":"Alhazzani","given":"Waleed"},{"family":"Agus","given":"Michael S. D."},{"family":"Flori","given":"Heidi R."},{"family":"Inwald","given":"David P."},{"family":"Nadel","given":"Simon"},{"family":"Schlapbach","given":"Luregn J."},{"family":"Tasker","given":"Robert C."},{"family":"Argent","given":"Andrew C."},{"family":"Brierley","given":"Joe"},{"family":"Carcillo","given":"Joseph"},{"family":"Carrol","given":"Enitan D."},{"family":"Carroll","given":"Christopher L."},{"family":"Cheifetz","given":"Ira M."},{"family":"Choong","given":"Karen"},{"family":"Cies","given":"Jeffry J."},{"family":"Cruz","given":"Andrea T."},{"family":"De Luca","given":"Daniele"},{"family":"Deep","given":"Akash"},{"family":"Faust","given":"Saul N."},{"family":"De Oliveira","given":"Claudio Flauzino"},{"family":"Hall","given":"Mark W."},{"family":"Ishimine","given":"Paul"},{"family":"Javouhey","given":"Etienne"},{"family":"Joosten","given":"Koen F. M."},{"family":"Joshi","given":"Poonam"},{"family":"Karam","given":"Oliver"},{"family":"Kneyber","given":"Martin C. J."},{"family":"Lemson","given":"Joris"},{"family":"MacLaren","given":"Graeme"},{"family":"Mehta","given":"Nilesh M."},{"family":"Møller","given":"Morten Hylander"},{"family":"Newth","given":"Christopher J. L."},{"family":"Nguyen","given":"Trung C."},{"family":"Nishisaki","given":"Akira"},{"family":"Nunnally","given":"Mark E."},{"family":"Parker","given":"Margaret M."},{"family":"Paul","given":"Raina M."},{"family":"Randolph","given":"Adrienne G."},{"family":"Ranjit","given":"Suchitra"},{"family":"Romer","given":"Lewis H."},{"family":"Scott","given":"Halden F."},{"family":"Tume","given":"Lyvonne N."},{"family":"Verger","given":"Judy T."},{"family":"Williams","given":"Eric A."},{"family":"Wolf","given":"Joshua"},{"family":"Wong","given":"Hector R."},{"family":"Zimmerman","given":"Jerry J."},{"family":"Kissoon","given":"Niranjan"},{"family":"Tissieres","given":"Pierre"}],"issued":{"date-parts":[["2020",2]]}}}],"schema":"https://github.com/citation-style-language/schema/raw/master/csl-citation.json"} </w:instrText>
      </w:r>
      <w:r w:rsidR="009F45D8">
        <w:rPr>
          <w:rFonts w:ascii="Arial" w:hAnsi="Arial" w:cs="Arial"/>
          <w:sz w:val="22"/>
          <w:szCs w:val="22"/>
        </w:rPr>
        <w:fldChar w:fldCharType="separate"/>
      </w:r>
      <w:r w:rsidR="00692189" w:rsidRPr="00692189">
        <w:rPr>
          <w:rFonts w:ascii="Arial" w:hAnsi="Arial" w:cs="Arial"/>
          <w:sz w:val="22"/>
          <w:vertAlign w:val="superscript"/>
        </w:rPr>
        <w:t>5–9</w:t>
      </w:r>
      <w:r w:rsidR="009F45D8">
        <w:rPr>
          <w:rFonts w:ascii="Arial" w:hAnsi="Arial" w:cs="Arial"/>
          <w:sz w:val="22"/>
          <w:szCs w:val="22"/>
        </w:rPr>
        <w:fldChar w:fldCharType="end"/>
      </w:r>
      <w:r w:rsidRPr="00CE7A5C">
        <w:rPr>
          <w:rFonts w:ascii="Arial" w:hAnsi="Arial" w:cs="Arial"/>
          <w:sz w:val="22"/>
          <w:szCs w:val="22"/>
          <w:lang w:val="en-AU"/>
        </w:rPr>
        <w:t xml:space="preserve"> However, </w:t>
      </w:r>
      <w:r w:rsidR="00A7049E">
        <w:rPr>
          <w:rFonts w:ascii="Arial" w:hAnsi="Arial" w:cs="Arial"/>
          <w:sz w:val="22"/>
          <w:szCs w:val="22"/>
          <w:lang w:val="en-AU"/>
        </w:rPr>
        <w:t>t</w:t>
      </w:r>
      <w:r w:rsidR="00A7049E" w:rsidRPr="00CE7A5C">
        <w:rPr>
          <w:rFonts w:ascii="Arial" w:hAnsi="Arial" w:cs="Arial"/>
          <w:sz w:val="22"/>
          <w:szCs w:val="22"/>
          <w:lang w:val="en-AU"/>
        </w:rPr>
        <w:t xml:space="preserve">he appropriateness of antibiotic therapy in sepsis is still </w:t>
      </w:r>
      <w:r w:rsidR="007252CB">
        <w:rPr>
          <w:rFonts w:ascii="Arial" w:hAnsi="Arial" w:cs="Arial"/>
          <w:sz w:val="22"/>
          <w:szCs w:val="22"/>
          <w:lang w:val="en-AU"/>
        </w:rPr>
        <w:t xml:space="preserve">predominantly </w:t>
      </w:r>
      <w:r w:rsidR="00A7049E" w:rsidRPr="00CE7A5C">
        <w:rPr>
          <w:rFonts w:ascii="Arial" w:hAnsi="Arial" w:cs="Arial"/>
          <w:sz w:val="22"/>
          <w:szCs w:val="22"/>
          <w:lang w:val="en-AU"/>
        </w:rPr>
        <w:t xml:space="preserve">determined by traditional susceptibility testing of cultured organisms. These conventional techniques have a yield </w:t>
      </w:r>
      <w:r w:rsidR="007252CB">
        <w:rPr>
          <w:rFonts w:ascii="Arial" w:hAnsi="Arial" w:cs="Arial"/>
          <w:sz w:val="22"/>
          <w:szCs w:val="22"/>
          <w:lang w:val="en-AU"/>
        </w:rPr>
        <w:t>below</w:t>
      </w:r>
      <w:r w:rsidR="00A7049E" w:rsidRPr="00CE7A5C">
        <w:rPr>
          <w:rFonts w:ascii="Arial" w:hAnsi="Arial" w:cs="Arial"/>
          <w:sz w:val="22"/>
          <w:szCs w:val="22"/>
          <w:lang w:val="en-AU"/>
        </w:rPr>
        <w:t xml:space="preserve"> 50% </w:t>
      </w:r>
      <w:r w:rsidR="007252CB">
        <w:rPr>
          <w:rFonts w:ascii="Arial" w:hAnsi="Arial" w:cs="Arial"/>
          <w:sz w:val="22"/>
          <w:szCs w:val="22"/>
          <w:lang w:val="en-AU"/>
        </w:rPr>
        <w:t xml:space="preserve">in most ICU studies </w:t>
      </w:r>
      <w:r w:rsidR="00A7049E" w:rsidRPr="00CE7A5C">
        <w:rPr>
          <w:rFonts w:ascii="Arial" w:hAnsi="Arial" w:cs="Arial"/>
          <w:sz w:val="22"/>
          <w:szCs w:val="22"/>
          <w:lang w:val="en-AU"/>
        </w:rPr>
        <w:t>and take days to complete</w:t>
      </w:r>
      <w:r w:rsidR="00A7049E">
        <w:rPr>
          <w:rFonts w:ascii="Arial" w:hAnsi="Arial" w:cs="Arial"/>
          <w:sz w:val="22"/>
          <w:szCs w:val="22"/>
          <w:lang w:val="en-AU"/>
        </w:rPr>
        <w:t>.</w:t>
      </w:r>
      <w:r w:rsidR="00A7049E" w:rsidRPr="00CE7A5C">
        <w:rPr>
          <w:rFonts w:ascii="Arial" w:hAnsi="Arial" w:cs="Arial"/>
          <w:sz w:val="22"/>
          <w:szCs w:val="22"/>
        </w:rPr>
        <w:fldChar w:fldCharType="begin"/>
      </w:r>
      <w:r w:rsidR="00692189">
        <w:rPr>
          <w:rFonts w:ascii="Arial" w:hAnsi="Arial" w:cs="Arial"/>
          <w:sz w:val="22"/>
          <w:szCs w:val="22"/>
        </w:rPr>
        <w:instrText xml:space="preserve"> ADDIN ZOTERO_ITEM CSL_CITATION {"citationID":"XxgHgKBj","properties":{"formattedCitation":"\\super 10\\nosupersub{}","plainCitation":"10","noteIndex":0},"citationItems":[{"id":1594,"uris":["http://zotero.org/users/5768096/items/J8N9HMRE"],"uri":["http://zotero.org/users/5768096/items/J8N9HMRE"],"itemData":{"id":1594,"type":"article-journal","abstract":"BACKGROUND: Sepsis is a leading cause of childhood mortality worldwide. We assessed population-based incidence and outcomes of blood culture-proven bacterial sepsis in children in Switzerland. METHODS: We did a multicentre, prospective, cohort study at ten paediatric hospitals in Switzerland. We included neonates and children younger than 17 years with blood culture-proven bacterial sepsis. Children were eligible if they met criteria for systemic inflammatory response syndrome-according to 2005 paediatric consensus definition- at the time of blood culture sampling. Incidence was calculated by dividing the number of annual sepsis episodes in the study for the years 2012-15 by the end-of-year resident paediatric population in Switzerland. The primary outcome was in-hospital mortality in the first 30 days after sepsis onset. FINDINGS: Between Sept 1, 2011, and Dec 31, 2015, we enrolled 1096 children to our study. Of 1181 episodes of blood culture-proven bacterial sepsis, 382 (32%) occurred in 379 previously healthy children, 402 (34%) in 391 neonates, and 397 (34%) in 341 children with comorbidities. Incidence was 25.1 cases per 100 000 (95% CI 23.8-26.4) in children and 146.0 cases per 100 000 (133.2-159.6) in neonates. Central line-associated bloodstream infections and primary bloodstream infections accounted for 569 (48%) of 1181 episodes, and organ dysfunction was present in 455 (39%) of 1181 episodes. Escherichia coli (242 of 1181 [20%]), Staphylococcus aureus (177 of 1181 [15%]), coagulase-negative staphylococci (135 of 1181 [11%]), and Streptococcus pneumoniae (118 of 1181 [10%]) were the most prevalent pathogens in our study, accounting for 57% of episodes. The overall case-fatality ratio was 7% (82 of 1181 episodes; 95% CI 5.6-8.6), and it was higher in neonates (11%, 45 of 402 episodes; 8.4-14.8; adjusted odds ratio [OR] 4.41, 95% CI 1.75-11.1) and children with comorbidities (7%, 27 of 397 episodes; 4.6-9.9; OR 4.97, 1.84-13.4) compared with previously healthy children (3%, ten of 382 episodes; 1.3-4.9). The case-fatality ratio was 1% (five of 726 episodes [95% CI 0.3-1.7]) for children without organ dysfunction, which increased to 17% (77 of 455 episodes [13.7-20.8]) when organ dysfunction was present (adjusted OR 4.84, 95% CI 1.40-16.7). INTERPRETATION: The burden of blood culture-proven bacterial sepsis on child health remains considerable. We recorded key differences in predominant organisms, severity, and outcome between neonates, previously healthy children, and children with comorbidities. Although for most episodes of blood culture-proven bacterial sepsis, no organ dysfunction was seen, presence of organ dysfunction was strongly associated with mortality. FUNDING: Swiss National Science Foundation, Swiss Society of Intensive Care, Bangerter Foundation, Vinetum and Borer Foundation, and Foundation for the Health of Children and Adolescents.","container-title":"Lancet Child Adolesc Health","DOI":"10.1016/S2352-4642(17)30010-X","ISSN":"2352-4650 (Electronic) 2352-4642 (Linking)","issue":"2","page":"124-133","title":"Epidemiology of blood culture-proven bacterial sepsis in children in Switzerland: a population-based cohort study","volume":"1","author":[{"family":"Agyeman","given":"P. K. A."},{"family":"Schlapbach","given":"L. J."},{"family":"Giannoni","given":"E."},{"family":"Stocker","given":"M."},{"family":"Posfay-Barbe","given":"K. M."},{"family":"Heininger","given":"U."},{"family":"Schindler","given":"M."},{"family":"Korten","given":"I."},{"family":"Konetzny","given":"G."},{"family":"Niederer-Loher","given":"A."},{"family":"Kahlert","given":"C. R."},{"family":"Donas","given":"A."},{"family":"Leone","given":"A."},{"family":"Hasters","given":"P."},{"family":"Relly","given":"C."},{"family":"Baer","given":"W."},{"family":"Kuehni","given":"C. E."},{"family":"Aebi","given":"C."},{"family":"Berger","given":"C."},{"family":"Swiss Pediatric Sepsis","given":"Study"}],"issued":{"date-parts":[["2017",10]]}}}],"schema":"https://github.com/citation-style-language/schema/raw/master/csl-citation.json"} </w:instrText>
      </w:r>
      <w:r w:rsidR="00A7049E" w:rsidRPr="00CE7A5C">
        <w:rPr>
          <w:rFonts w:ascii="Arial" w:hAnsi="Arial" w:cs="Arial"/>
          <w:sz w:val="22"/>
          <w:szCs w:val="22"/>
        </w:rPr>
        <w:fldChar w:fldCharType="separate"/>
      </w:r>
      <w:r w:rsidR="00692189" w:rsidRPr="00692189">
        <w:rPr>
          <w:rFonts w:ascii="Arial" w:hAnsi="Arial" w:cs="Arial"/>
          <w:sz w:val="22"/>
          <w:vertAlign w:val="superscript"/>
        </w:rPr>
        <w:t>10</w:t>
      </w:r>
      <w:r w:rsidR="00A7049E" w:rsidRPr="00CE7A5C">
        <w:rPr>
          <w:rFonts w:ascii="Arial" w:hAnsi="Arial" w:cs="Arial"/>
          <w:sz w:val="22"/>
          <w:szCs w:val="22"/>
        </w:rPr>
        <w:fldChar w:fldCharType="end"/>
      </w:r>
      <w:r w:rsidR="00A7049E">
        <w:rPr>
          <w:rFonts w:ascii="Arial" w:hAnsi="Arial" w:cs="Arial"/>
          <w:sz w:val="22"/>
          <w:szCs w:val="22"/>
        </w:rPr>
        <w:t xml:space="preserve"> </w:t>
      </w:r>
      <w:r w:rsidR="00A7049E">
        <w:rPr>
          <w:rFonts w:ascii="Arial" w:hAnsi="Arial" w:cs="Arial"/>
          <w:sz w:val="22"/>
          <w:szCs w:val="22"/>
          <w:lang w:val="en-AU"/>
        </w:rPr>
        <w:t>It is</w:t>
      </w:r>
      <w:r w:rsidRPr="00CE7A5C">
        <w:rPr>
          <w:rFonts w:ascii="Arial" w:hAnsi="Arial" w:cs="Arial"/>
          <w:sz w:val="22"/>
          <w:szCs w:val="22"/>
          <w:lang w:val="en-AU"/>
        </w:rPr>
        <w:t xml:space="preserve"> often 48 to 72 hours before antibiotic susceptibility of pathogens are known, leading to substantial delays in optimizing antibiotic therapy, and to overuse of broad spectrum antibiotics. </w:t>
      </w:r>
      <w:r w:rsidR="00226C5A">
        <w:rPr>
          <w:rFonts w:ascii="Arial" w:hAnsi="Arial" w:cs="Arial"/>
          <w:sz w:val="22"/>
          <w:szCs w:val="22"/>
          <w:lang w:val="en-AU"/>
        </w:rPr>
        <w:t>T</w:t>
      </w:r>
      <w:r w:rsidRPr="00CE7A5C">
        <w:rPr>
          <w:rFonts w:ascii="Arial" w:hAnsi="Arial" w:cs="Arial"/>
          <w:sz w:val="22"/>
          <w:szCs w:val="22"/>
          <w:lang w:val="en-AU"/>
        </w:rPr>
        <w:t>his timeframe for the identification of a causative organism and its susceptibility profile may result in a prolonged period of inappropriate empirical treatment.</w:t>
      </w:r>
      <w:r w:rsidR="00226C5A">
        <w:rPr>
          <w:rFonts w:ascii="Arial" w:hAnsi="Arial" w:cs="Arial"/>
          <w:sz w:val="22"/>
          <w:szCs w:val="22"/>
          <w:lang w:val="en-AU"/>
        </w:rPr>
        <w:t xml:space="preserve"> </w:t>
      </w:r>
      <w:r w:rsidR="00226C5A" w:rsidRPr="00CE7A5C">
        <w:rPr>
          <w:rFonts w:ascii="Arial" w:hAnsi="Arial" w:cs="Arial"/>
          <w:sz w:val="22"/>
          <w:szCs w:val="22"/>
          <w:lang w:val="en-AU"/>
        </w:rPr>
        <w:t xml:space="preserve">In an era of </w:t>
      </w:r>
      <w:r w:rsidR="00226C5A">
        <w:rPr>
          <w:rFonts w:ascii="Arial" w:hAnsi="Arial" w:cs="Arial"/>
          <w:sz w:val="22"/>
          <w:szCs w:val="22"/>
          <w:lang w:val="en-AU"/>
        </w:rPr>
        <w:t>increasing</w:t>
      </w:r>
      <w:r w:rsidR="00226C5A" w:rsidRPr="00CE7A5C">
        <w:rPr>
          <w:rFonts w:ascii="Arial" w:hAnsi="Arial" w:cs="Arial"/>
          <w:sz w:val="22"/>
          <w:szCs w:val="22"/>
          <w:lang w:val="en-AU"/>
        </w:rPr>
        <w:t xml:space="preserve"> antibiotic resistance, </w:t>
      </w:r>
      <w:r w:rsidR="00226C5A">
        <w:rPr>
          <w:rFonts w:ascii="Arial" w:hAnsi="Arial" w:cs="Arial"/>
          <w:sz w:val="22"/>
          <w:szCs w:val="22"/>
          <w:lang w:val="en-AU"/>
        </w:rPr>
        <w:t>such suboptimal therapy can contribute to increased resistance, and worse patient-centred outcomes.</w:t>
      </w:r>
      <w:r w:rsidRPr="00CE7A5C">
        <w:rPr>
          <w:rFonts w:ascii="Arial" w:hAnsi="Arial" w:cs="Arial"/>
          <w:sz w:val="22"/>
          <w:szCs w:val="22"/>
          <w:lang w:val="en-AU"/>
        </w:rPr>
        <w:t xml:space="preserve"> In adults, it has been observed that Gram-negative healthcare-associated infections are associated with significant delays in effective antibiotic therapy. Such delays prolong the requirement for intensive care and lead to increased morbidity, mortality and cost.</w:t>
      </w:r>
      <w:r w:rsidR="00672AFE" w:rsidRPr="00CE7A5C">
        <w:rPr>
          <w:rFonts w:ascii="Arial" w:hAnsi="Arial" w:cs="Arial"/>
          <w:sz w:val="22"/>
          <w:szCs w:val="22"/>
        </w:rPr>
        <w:fldChar w:fldCharType="begin"/>
      </w:r>
      <w:r w:rsidR="00692189">
        <w:rPr>
          <w:rFonts w:ascii="Arial" w:hAnsi="Arial" w:cs="Arial"/>
          <w:sz w:val="22"/>
          <w:szCs w:val="22"/>
        </w:rPr>
        <w:instrText xml:space="preserve"> ADDIN ZOTERO_ITEM CSL_CITATION {"citationID":"oTbPg8zE","properties":{"formattedCitation":"\\super 11\\nosupersub{}","plainCitation":"11","noteIndex":0},"citationItems":[{"id":240,"uris":["http://zotero.org/users/5768096/items/DRRZ3BXI"],"uri":["http://zotero.org/users/5768096/items/DRRZ3BXI"],"itemData":{"id":240,"type":"article-journal","abstract":"BACKGROUND: Gram-negative bacterial bloodstream infection (BSI) is a serious condition with estimated 30% mortality. Clinical outcomes for patients with severe infections improve when antibiotics are appropriately chosen and given early. The objective of this study was to estimate the association of prior healthcare exposure on time to appropriate antibiotic therapy in patients with gram-negative BSI. METHOD: We performed a multicenter cohort study of adult, hospitalized patients with gram-negative BSI using time to event analysis in nine community hospitals from 2003-2006. Event time was defined as the first administration of an antibiotic with in vitro activity against the infecting organism. Healthcare exposure status was categorized as community-acquired, healthcare-associated, or hospital-acquired. Time to appropriate therapy among groups of patients with differing healthcare exposure status was assessed using Kaplan-Meier analyses and multivariate Cox proportional hazards models. RESULTS: The cohort included 578 patients with gram-negative BSI, including 320 (55%) healthcare-associated, 217 (38%) community-acquired, and 41 (7%) hospital-acquired infections. 529 (92%) patients received an appropriate antibiotic during their hospitalization. Time to appropriate therapy was significantly different among the groups of healthcare exposure status (log-rank p=0.02). Time to first antibiotic administration regardless of drug appropriateness was not different between groups (p=0.3). The unadjusted hazard ratios (HR) (95% confidence interval) were 0.80 (0.65-0.98) for healthcare-associated and 0.72 (0.63-0.82) for hospital-acquired, relative to patients with community-acquired BSI. In multivariable analysis, interaction was found between the main effect and baseline Charlson comorbidity index. When Charlson index was 3, adjusted HRs were 0.66 (0.48-0.92) for healthcare-associated and 0.57 (0.44-0.75) for hospital-acquired, relative to patients with community-acquired infections. CONCLUSIONS: Patients with healthcare-associated or hospital-acquired BSI experienced delays in receipt of appropriate antibiotics for gram-negative BSI compared to patients with community-acquired BSI. This difference was not due to delayed initiation of antibiotic therapy, but due to the inappropriate choice of antibiotic.","container-title":"PLoS One","DOI":"10.1371/journal.pone.0076225","ISSN":"1932-6203 (Electronic) 1932-6203 (Linking)","issue":"10","language":"eng","page":"e76225-e76225","title":"Delays in appropriate antibiotic therapy for gram-negative bloodstream infections: a multicenter, community hospital study","volume":"8","author":[{"family":"Moehring","given":"R W"},{"family":"Sloane","given":"R"},{"family":"Chen","given":"L F"},{"family":"Smathers","given":"E C"},{"family":"Schmader","given":"K E"},{"family":"Fowler  Jr.","given":"V G"},{"family":"Weber","given":"D J"},{"family":"Sexton","given":"D J"},{"family":"Anderson","given":"D J"}],"issued":{"date-parts":[["2013"]]}}}],"schema":"https://github.com/citation-style-language/schema/raw/master/csl-citation.json"} </w:instrText>
      </w:r>
      <w:r w:rsidR="00672AFE" w:rsidRPr="00CE7A5C">
        <w:rPr>
          <w:rFonts w:ascii="Arial" w:hAnsi="Arial" w:cs="Arial"/>
          <w:sz w:val="22"/>
          <w:szCs w:val="22"/>
        </w:rPr>
        <w:fldChar w:fldCharType="separate"/>
      </w:r>
      <w:r w:rsidR="00692189" w:rsidRPr="00692189">
        <w:rPr>
          <w:rFonts w:ascii="Arial" w:hAnsi="Arial" w:cs="Arial"/>
          <w:sz w:val="22"/>
          <w:vertAlign w:val="superscript"/>
        </w:rPr>
        <w:t>11</w:t>
      </w:r>
      <w:r w:rsidR="00672AFE" w:rsidRPr="00CE7A5C">
        <w:rPr>
          <w:rFonts w:ascii="Arial" w:hAnsi="Arial" w:cs="Arial"/>
          <w:sz w:val="22"/>
          <w:szCs w:val="22"/>
        </w:rPr>
        <w:fldChar w:fldCharType="end"/>
      </w:r>
      <w:r w:rsidRPr="00CE7A5C">
        <w:rPr>
          <w:rFonts w:ascii="Arial" w:hAnsi="Arial" w:cs="Arial"/>
          <w:sz w:val="22"/>
          <w:szCs w:val="22"/>
          <w:lang w:val="en-AU"/>
        </w:rPr>
        <w:t xml:space="preserve"> A day in ICU costs approximatively </w:t>
      </w:r>
      <w:r w:rsidR="0044446B">
        <w:rPr>
          <w:rFonts w:ascii="Arial" w:hAnsi="Arial" w:cs="Arial"/>
          <w:sz w:val="22"/>
          <w:szCs w:val="22"/>
          <w:lang w:val="en-AU"/>
        </w:rPr>
        <w:t>AUD</w:t>
      </w:r>
      <w:r w:rsidRPr="00CE7A5C">
        <w:rPr>
          <w:rFonts w:ascii="Arial" w:hAnsi="Arial" w:cs="Arial"/>
          <w:sz w:val="22"/>
          <w:szCs w:val="22"/>
          <w:lang w:val="en-AU"/>
        </w:rPr>
        <w:t xml:space="preserve">$6,000 for ICU infrastructure alone. Hence strategies with the potential to </w:t>
      </w:r>
      <w:r w:rsidR="00E91FC0">
        <w:rPr>
          <w:rFonts w:ascii="Arial" w:hAnsi="Arial" w:cs="Arial"/>
          <w:sz w:val="22"/>
          <w:szCs w:val="22"/>
          <w:lang w:val="en-AU"/>
        </w:rPr>
        <w:t>hasten</w:t>
      </w:r>
      <w:r w:rsidR="00E91FC0" w:rsidRPr="00CE7A5C">
        <w:rPr>
          <w:rFonts w:ascii="Arial" w:hAnsi="Arial" w:cs="Arial"/>
          <w:sz w:val="22"/>
          <w:szCs w:val="22"/>
          <w:lang w:val="en-AU"/>
        </w:rPr>
        <w:t xml:space="preserve"> </w:t>
      </w:r>
      <w:r w:rsidRPr="00CE7A5C">
        <w:rPr>
          <w:rFonts w:ascii="Arial" w:hAnsi="Arial" w:cs="Arial"/>
          <w:sz w:val="22"/>
          <w:szCs w:val="22"/>
          <w:lang w:val="en-AU"/>
        </w:rPr>
        <w:t xml:space="preserve">patient recovery and shorten ICU length of stay have great promise to be cost-effective. </w:t>
      </w:r>
    </w:p>
    <w:p w14:paraId="6FFAEADB" w14:textId="77777777" w:rsidR="00692189" w:rsidRDefault="00692189" w:rsidP="00B54201">
      <w:pPr>
        <w:spacing w:line="360" w:lineRule="auto"/>
        <w:rPr>
          <w:rFonts w:ascii="Arial" w:hAnsi="Arial" w:cs="Arial"/>
          <w:sz w:val="22"/>
          <w:szCs w:val="22"/>
          <w:lang w:val="en-AU"/>
        </w:rPr>
      </w:pPr>
    </w:p>
    <w:p w14:paraId="3BAA5E91" w14:textId="43B20AB3" w:rsidR="00000546" w:rsidRPr="00CE7A5C" w:rsidRDefault="00000546" w:rsidP="00B54201">
      <w:pPr>
        <w:spacing w:line="360" w:lineRule="auto"/>
        <w:rPr>
          <w:rFonts w:ascii="Arial" w:hAnsi="Arial" w:cs="Arial"/>
          <w:sz w:val="22"/>
          <w:szCs w:val="22"/>
          <w:lang w:val="en-AU"/>
        </w:rPr>
      </w:pPr>
      <w:r w:rsidRPr="00CE7A5C">
        <w:rPr>
          <w:rFonts w:ascii="Arial" w:hAnsi="Arial" w:cs="Arial"/>
          <w:sz w:val="22"/>
          <w:szCs w:val="22"/>
          <w:lang w:val="en-AU"/>
        </w:rPr>
        <w:t>A rapid, sensitive technique capable of identifying the pathogen responsible for sepsis, along with its susceptibility profile has the potential to substantially improve clinical outcomes</w:t>
      </w:r>
      <w:r w:rsidR="00E91FC0">
        <w:rPr>
          <w:rFonts w:ascii="Arial" w:hAnsi="Arial" w:cs="Arial"/>
          <w:sz w:val="22"/>
          <w:szCs w:val="22"/>
          <w:lang w:val="en-AU"/>
        </w:rPr>
        <w:t xml:space="preserve"> through earlier selection of effective antimicrobial therapy</w:t>
      </w:r>
      <w:r w:rsidRPr="00CE7A5C">
        <w:rPr>
          <w:rFonts w:ascii="Arial" w:hAnsi="Arial" w:cs="Arial"/>
          <w:sz w:val="22"/>
          <w:szCs w:val="22"/>
          <w:lang w:val="en-AU"/>
        </w:rPr>
        <w:t xml:space="preserve">. </w:t>
      </w:r>
      <w:r w:rsidR="00191AB9">
        <w:rPr>
          <w:rFonts w:ascii="Arial" w:hAnsi="Arial" w:cs="Arial"/>
          <w:sz w:val="22"/>
          <w:szCs w:val="22"/>
          <w:lang w:val="en-AU"/>
        </w:rPr>
        <w:t xml:space="preserve">Culture-independent methods which are not limited to specific pathogen targets are appealing. Sequencing-based approaches meet these requirements. In particular, the </w:t>
      </w:r>
      <w:r w:rsidR="00191AB9" w:rsidRPr="00191AB9">
        <w:rPr>
          <w:rFonts w:ascii="Arial" w:hAnsi="Arial" w:cs="Arial"/>
          <w:sz w:val="22"/>
          <w:szCs w:val="22"/>
          <w:lang w:val="en-AU"/>
        </w:rPr>
        <w:t xml:space="preserve">Oxford Nanopore Technologies (ONT) </w:t>
      </w:r>
      <w:proofErr w:type="spellStart"/>
      <w:r w:rsidR="00191AB9" w:rsidRPr="00191AB9">
        <w:rPr>
          <w:rFonts w:ascii="Arial" w:hAnsi="Arial" w:cs="Arial"/>
          <w:sz w:val="22"/>
          <w:szCs w:val="22"/>
          <w:lang w:val="en-AU"/>
        </w:rPr>
        <w:t>MinION</w:t>
      </w:r>
      <w:proofErr w:type="spellEnd"/>
      <w:r w:rsidR="00191AB9" w:rsidRPr="00191AB9">
        <w:rPr>
          <w:rFonts w:ascii="Arial" w:hAnsi="Arial" w:cs="Arial"/>
          <w:sz w:val="22"/>
          <w:szCs w:val="22"/>
          <w:lang w:val="en-AU"/>
        </w:rPr>
        <w:t xml:space="preserve"> device </w:t>
      </w:r>
      <w:r w:rsidR="00191AB9">
        <w:rPr>
          <w:rFonts w:ascii="Arial" w:hAnsi="Arial" w:cs="Arial"/>
          <w:sz w:val="22"/>
          <w:szCs w:val="22"/>
          <w:lang w:val="en-AU"/>
        </w:rPr>
        <w:t>provides informative sequence data in real-time,</w:t>
      </w:r>
      <w:r w:rsidR="00191AB9">
        <w:rPr>
          <w:rFonts w:ascii="Arial" w:hAnsi="Arial" w:cs="Arial"/>
          <w:sz w:val="22"/>
          <w:szCs w:val="22"/>
          <w:lang w:val="en-AU"/>
        </w:rPr>
        <w:fldChar w:fldCharType="begin"/>
      </w:r>
      <w:r w:rsidR="00191AB9">
        <w:rPr>
          <w:rFonts w:ascii="Arial" w:hAnsi="Arial" w:cs="Arial"/>
          <w:sz w:val="22"/>
          <w:szCs w:val="22"/>
          <w:lang w:val="en-AU"/>
        </w:rPr>
        <w:instrText xml:space="preserve"> ADDIN ZOTERO_ITEM CSL_CITATION {"citationID":"QpdqlX72","properties":{"formattedCitation":"\\super 12\\nosupersub{}","plainCitation":"12","noteIndex":0},"citationItems":[{"id":30453,"uris":["http://zotero.org/users/5768096/items/IGQ7YE6W"],"uri":["http://zotero.org/users/5768096/items/IGQ7YE6W"],"itemData":{"id":30453,"type":"article-journal","container-title":"Nature Nanotechnology","DOI":"10.1038/nnano.2009.12","ISSN":"1748-3387, 1748-3395","issue":"4","journalAbbreviation":"Nature Nanotech","language":"en","page":"265-270","source":"DOI.org (Crossref)","title":"Continuous base identification for single-molecule nanopore DNA sequencing","volume":"4","author":[{"family":"Clarke","given":"James"},{"family":"Wu","given":"Hai-Chen"},{"family":"Jayasinghe","given":"Lakmal"},{"family":"Patel","given":"Alpesh"},{"family":"Reid","given":"Stuart"},{"family":"Bayley","given":"Hagan"}],"issued":{"date-parts":[["2009",4]]}}}],"schema":"https://github.com/citation-style-language/schema/raw/master/csl-citation.json"} </w:instrText>
      </w:r>
      <w:r w:rsidR="00191AB9">
        <w:rPr>
          <w:rFonts w:ascii="Arial" w:hAnsi="Arial" w:cs="Arial"/>
          <w:sz w:val="22"/>
          <w:szCs w:val="22"/>
          <w:lang w:val="en-AU"/>
        </w:rPr>
        <w:fldChar w:fldCharType="separate"/>
      </w:r>
      <w:r w:rsidR="00191AB9" w:rsidRPr="00191AB9">
        <w:rPr>
          <w:rFonts w:ascii="Arial" w:hAnsi="Arial" w:cs="Arial"/>
          <w:sz w:val="22"/>
          <w:vertAlign w:val="superscript"/>
        </w:rPr>
        <w:t>12</w:t>
      </w:r>
      <w:r w:rsidR="00191AB9">
        <w:rPr>
          <w:rFonts w:ascii="Arial" w:hAnsi="Arial" w:cs="Arial"/>
          <w:sz w:val="22"/>
          <w:szCs w:val="22"/>
          <w:lang w:val="en-AU"/>
        </w:rPr>
        <w:fldChar w:fldCharType="end"/>
      </w:r>
      <w:r w:rsidR="00191AB9" w:rsidRPr="00191AB9">
        <w:rPr>
          <w:rFonts w:ascii="Arial" w:hAnsi="Arial" w:cs="Arial"/>
          <w:sz w:val="22"/>
          <w:szCs w:val="22"/>
          <w:lang w:val="en-AU"/>
        </w:rPr>
        <w:t xml:space="preserve"> </w:t>
      </w:r>
      <w:r w:rsidR="00191AB9">
        <w:rPr>
          <w:rFonts w:ascii="Arial" w:hAnsi="Arial" w:cs="Arial"/>
          <w:sz w:val="22"/>
          <w:szCs w:val="22"/>
          <w:lang w:val="en-AU"/>
        </w:rPr>
        <w:t xml:space="preserve">offering the potential for rapid pathogen identification along with susceptibility profiles. </w:t>
      </w:r>
      <w:r w:rsidRPr="00CE7A5C">
        <w:rPr>
          <w:rFonts w:ascii="Arial" w:hAnsi="Arial" w:cs="Arial"/>
          <w:sz w:val="22"/>
          <w:szCs w:val="22"/>
          <w:lang w:val="en-AU"/>
        </w:rPr>
        <w:t xml:space="preserve">This </w:t>
      </w:r>
      <w:r w:rsidR="00E91FC0">
        <w:rPr>
          <w:rFonts w:ascii="Arial" w:hAnsi="Arial" w:cs="Arial"/>
          <w:sz w:val="22"/>
          <w:szCs w:val="22"/>
          <w:lang w:val="en-AU"/>
        </w:rPr>
        <w:t xml:space="preserve">effectiveness can be maximised </w:t>
      </w:r>
      <w:r w:rsidRPr="00CE7A5C">
        <w:rPr>
          <w:rFonts w:ascii="Arial" w:hAnsi="Arial" w:cs="Arial"/>
          <w:sz w:val="22"/>
          <w:szCs w:val="22"/>
          <w:lang w:val="en-AU"/>
        </w:rPr>
        <w:t xml:space="preserve">by optimising antibiotic concentrations through individualized </w:t>
      </w:r>
      <w:r w:rsidR="00E91FC0">
        <w:rPr>
          <w:rFonts w:ascii="Arial" w:hAnsi="Arial" w:cs="Arial"/>
          <w:sz w:val="22"/>
          <w:szCs w:val="22"/>
          <w:lang w:val="en-AU"/>
        </w:rPr>
        <w:t>dosing</w:t>
      </w:r>
      <w:r w:rsidRPr="00CE7A5C">
        <w:rPr>
          <w:rFonts w:ascii="Arial" w:hAnsi="Arial" w:cs="Arial"/>
          <w:sz w:val="22"/>
          <w:szCs w:val="22"/>
          <w:lang w:val="en-AU"/>
        </w:rPr>
        <w:t>.</w:t>
      </w:r>
      <w:r w:rsidR="00B2298A">
        <w:rPr>
          <w:rFonts w:ascii="Arial" w:hAnsi="Arial" w:cs="Arial"/>
          <w:sz w:val="22"/>
          <w:szCs w:val="22"/>
          <w:lang w:val="en-AU"/>
        </w:rPr>
        <w:fldChar w:fldCharType="begin"/>
      </w:r>
      <w:r w:rsidR="00191AB9">
        <w:rPr>
          <w:rFonts w:ascii="Arial" w:hAnsi="Arial" w:cs="Arial"/>
          <w:sz w:val="22"/>
          <w:szCs w:val="22"/>
          <w:lang w:val="en-AU"/>
        </w:rPr>
        <w:instrText xml:space="preserve"> ADDIN ZOTERO_ITEM CSL_CITATION {"citationID":"MQ706cDQ","properties":{"formattedCitation":"\\super 13,14\\nosupersub{}","plainCitation":"13,14","noteIndex":0},"citationItems":[{"id":30409,"uris":["http://zotero.org/users/5768096/items/KYHLXB2H"],"uri":["http://zotero.org/users/5768096/items/KYHLXB2H"],"itemData":{"id":30409,"type":"article-journal","container-title":"The Lancet Infectious Diseases","DOI":"10.1016/S1473-3099(14)70036-2","ISSN":"14733099","issue":"6","journalAbbreviation":"The Lancet Infectious Diseases","language":"en","page":"498-509","source":"DOI.org (Crossref)","title":"Individualised antibiotic dosing for patients who are critically ill: challenges and potential solutions","title-short":"Individualised antibiotic dosing for patients who are critically ill","volume":"14","author":[{"family":"Roberts","given":"Jason A"},{"family":"Abdul-Aziz","given":"Mohd H"},{"family":"Lipman","given":"Jeffrey"},{"family":"Mouton","given":"Johan W"},{"family":"Vinks","given":"Alexander A"},{"family":"Felton","given":"Timothy W"},{"family":"Hope","given":"William W"},{"family":"Farkas","given":"Andras"},{"family":"Neely","given":"Michael N"},{"family":"Schentag","given":"Jerome J"},{"family":"Drusano","given":"George"},{"family":"Frey","given":"Otto R"},{"family":"Theuretzbacher","given":"Ursula"},{"family":"Kuti","given":"Joseph L"}],"issued":{"date-parts":[["2014",6]]}}},{"id":30426,"uris":["http://zotero.org/users/5768096/items/QEUUSAHP"],"uri":["http://zotero.org/users/5768096/items/QEUUSAHP"],"itemData":{"id":30426,"type":"article-journal","container-title":"Intensive Care Medicine","DOI":"10.1007/s00134-020-06050-1","ISSN":"0342-4642, 1432-1238","issue":"6","journalAbbreviation":"Intensive Care Med","language":"en","page":"1127-1153","source":"DOI.org (Crossref)","title":"Antimicrobial therapeutic drug monitoring in critically ill adult patients: a Position Paper#","title-short":"Antimicrobial therapeutic drug monitoring in critically ill adult patients","volume":"46","author":[{"literal":"the Infection Section of European Society of Intensive Care Medicine (ESICM)"},{"literal":"Pharmacokinetic/pharmacodynamic and Critically Ill Patient Study Groups of European Society of Clinical Microbiology and Infectious Diseases (ESCMID)"},{"literal":"Infectious Diseases Group of International Association of Therapeutic Drug Monitoring and Clinical Toxicology (IATDMCT)"},{"literal":"Infections in the ICU and Sepsis Working Group of International Society of Antimicrobial Chemotherapy (ISAC)"},{"family":"Abdul-Aziz","given":"Mohd H."},{"family":"Alffenaar","given":"Jan-Willem C."},{"family":"Bassetti","given":"Matteo"},{"family":"Bracht","given":"Hendrik"},{"family":"Dimopoulos","given":"George"},{"family":"Marriott","given":"Deborah"},{"family":"Neely","given":"Michael N."},{"family":"Paiva","given":"Jose-Artur"},{"family":"Pea","given":"Federico"},{"family":"Sjovall","given":"Fredrik"},{"family":"Timsit","given":"Jean F."},{"family":"Udy","given":"Andrew A."},{"family":"Wicha","given":"Sebastian G."},{"family":"Zeitlinger","given":"Markus"},{"family":"De Waele","given":"Jan J."},{"family":"Roberts","given":"Jason A."}],"issued":{"date-parts":[["2020",6]]}}}],"schema":"https://github.com/citation-style-language/schema/raw/master/csl-citation.json"} </w:instrText>
      </w:r>
      <w:r w:rsidR="00B2298A">
        <w:rPr>
          <w:rFonts w:ascii="Arial" w:hAnsi="Arial" w:cs="Arial"/>
          <w:sz w:val="22"/>
          <w:szCs w:val="22"/>
          <w:lang w:val="en-AU"/>
        </w:rPr>
        <w:fldChar w:fldCharType="separate"/>
      </w:r>
      <w:r w:rsidR="00191AB9" w:rsidRPr="00191AB9">
        <w:rPr>
          <w:rFonts w:ascii="Arial" w:hAnsi="Arial" w:cs="Arial"/>
          <w:sz w:val="22"/>
          <w:vertAlign w:val="superscript"/>
        </w:rPr>
        <w:t>13,14</w:t>
      </w:r>
      <w:r w:rsidR="00B2298A">
        <w:rPr>
          <w:rFonts w:ascii="Arial" w:hAnsi="Arial" w:cs="Arial"/>
          <w:sz w:val="22"/>
          <w:szCs w:val="22"/>
          <w:lang w:val="en-AU"/>
        </w:rPr>
        <w:fldChar w:fldCharType="end"/>
      </w:r>
    </w:p>
    <w:p w14:paraId="0E600EED" w14:textId="77777777" w:rsidR="00672AFE" w:rsidRPr="00CE7A5C" w:rsidRDefault="00672AFE" w:rsidP="00B54201">
      <w:pPr>
        <w:spacing w:line="360" w:lineRule="auto"/>
        <w:rPr>
          <w:rFonts w:ascii="Arial" w:hAnsi="Arial" w:cs="Arial"/>
          <w:sz w:val="22"/>
          <w:szCs w:val="22"/>
          <w:lang w:val="en-AU"/>
        </w:rPr>
      </w:pPr>
    </w:p>
    <w:p w14:paraId="3EF00D21" w14:textId="20B75A9F" w:rsidR="00672AFE" w:rsidRPr="00CE7A5C" w:rsidRDefault="00000546" w:rsidP="00B54201">
      <w:pPr>
        <w:spacing w:line="360" w:lineRule="auto"/>
        <w:rPr>
          <w:rFonts w:ascii="Arial" w:hAnsi="Arial" w:cs="Arial"/>
          <w:b/>
          <w:bCs/>
          <w:color w:val="000000"/>
          <w:sz w:val="22"/>
          <w:szCs w:val="22"/>
          <w:u w:color="000000"/>
          <w:lang w:val="pt-PT"/>
        </w:rPr>
      </w:pPr>
      <w:r w:rsidRPr="00CE7A5C">
        <w:rPr>
          <w:rFonts w:ascii="Arial" w:hAnsi="Arial" w:cs="Arial"/>
          <w:sz w:val="22"/>
          <w:szCs w:val="22"/>
          <w:lang w:val="en-AU"/>
        </w:rPr>
        <w:t xml:space="preserve">We propose an integrated approach to personalize antimicrobial therapy in children and adults with sepsis. We will </w:t>
      </w:r>
      <w:r w:rsidR="00672AFE" w:rsidRPr="00CE7A5C">
        <w:rPr>
          <w:rFonts w:ascii="Arial" w:hAnsi="Arial" w:cs="Arial"/>
          <w:sz w:val="22"/>
          <w:szCs w:val="22"/>
          <w:lang w:val="en-AU"/>
        </w:rPr>
        <w:t xml:space="preserve">evaluate the impact of portable nanopore sequencing using </w:t>
      </w:r>
      <w:r w:rsidR="00191AB9">
        <w:rPr>
          <w:rFonts w:ascii="Arial" w:hAnsi="Arial" w:cs="Arial"/>
          <w:sz w:val="22"/>
          <w:szCs w:val="22"/>
          <w:lang w:val="en-AU"/>
        </w:rPr>
        <w:t>the ONT</w:t>
      </w:r>
      <w:r w:rsidR="00672AFE" w:rsidRPr="00CE7A5C">
        <w:rPr>
          <w:rFonts w:ascii="Arial" w:hAnsi="Arial" w:cs="Arial"/>
          <w:sz w:val="22"/>
          <w:szCs w:val="22"/>
          <w:lang w:val="en-AU"/>
        </w:rPr>
        <w:t xml:space="preserve"> </w:t>
      </w:r>
      <w:proofErr w:type="spellStart"/>
      <w:r w:rsidR="00672AFE" w:rsidRPr="00CE7A5C">
        <w:rPr>
          <w:rFonts w:ascii="Arial" w:hAnsi="Arial" w:cs="Arial"/>
          <w:sz w:val="22"/>
          <w:szCs w:val="22"/>
          <w:lang w:val="en-AU"/>
        </w:rPr>
        <w:t>MinION</w:t>
      </w:r>
      <w:proofErr w:type="spellEnd"/>
      <w:r w:rsidR="00672AFE" w:rsidRPr="00CE7A5C">
        <w:rPr>
          <w:rFonts w:ascii="Arial" w:hAnsi="Arial" w:cs="Arial"/>
          <w:sz w:val="22"/>
          <w:szCs w:val="22"/>
          <w:lang w:val="en-AU"/>
        </w:rPr>
        <w:t xml:space="preserve"> device integrated with </w:t>
      </w:r>
      <w:r w:rsidR="00692189">
        <w:rPr>
          <w:rFonts w:ascii="Arial" w:hAnsi="Arial" w:cs="Arial"/>
          <w:sz w:val="22"/>
          <w:szCs w:val="22"/>
          <w:lang w:val="en-AU"/>
        </w:rPr>
        <w:t xml:space="preserve">Bayesian </w:t>
      </w:r>
      <w:r w:rsidR="00672AFE" w:rsidRPr="00CE7A5C">
        <w:rPr>
          <w:rFonts w:ascii="Arial" w:hAnsi="Arial" w:cs="Arial"/>
          <w:sz w:val="22"/>
          <w:szCs w:val="22"/>
          <w:lang w:val="en-AU"/>
        </w:rPr>
        <w:t xml:space="preserve">dosing software </w:t>
      </w:r>
      <w:r w:rsidR="00692189">
        <w:rPr>
          <w:rFonts w:ascii="Arial" w:hAnsi="Arial" w:cs="Arial"/>
          <w:sz w:val="22"/>
          <w:szCs w:val="22"/>
          <w:lang w:val="en-AU"/>
        </w:rPr>
        <w:t xml:space="preserve">(ID-ODS) </w:t>
      </w:r>
      <w:r w:rsidR="00672AFE" w:rsidRPr="00CE7A5C">
        <w:rPr>
          <w:rFonts w:ascii="Arial" w:hAnsi="Arial" w:cs="Arial"/>
          <w:sz w:val="22"/>
          <w:szCs w:val="22"/>
          <w:lang w:val="en-AU"/>
        </w:rPr>
        <w:t>to ensure achievement of maximally effective personalised antibiotic exposures in critically ill children and adults with sepsis.</w:t>
      </w:r>
      <w:r w:rsidR="00957901">
        <w:rPr>
          <w:rFonts w:ascii="Arial" w:hAnsi="Arial" w:cs="Arial"/>
          <w:sz w:val="22"/>
          <w:szCs w:val="22"/>
          <w:lang w:val="en-AU"/>
        </w:rPr>
        <w:t xml:space="preserve"> </w:t>
      </w:r>
      <w:r w:rsidR="00672AFE" w:rsidRPr="00CE7A5C">
        <w:rPr>
          <w:rFonts w:ascii="Arial" w:hAnsi="Arial" w:cs="Arial"/>
          <w:b/>
          <w:bCs/>
          <w:sz w:val="22"/>
          <w:szCs w:val="22"/>
          <w:lang w:val="pt-PT"/>
        </w:rPr>
        <w:br w:type="page"/>
      </w:r>
    </w:p>
    <w:p w14:paraId="5E10A771" w14:textId="45E3603E" w:rsidR="004C3232" w:rsidRPr="00CE7A5C" w:rsidRDefault="00B727C2" w:rsidP="00B54201">
      <w:pPr>
        <w:pStyle w:val="Body"/>
        <w:widowControl w:val="0"/>
        <w:spacing w:line="360" w:lineRule="auto"/>
        <w:rPr>
          <w:rFonts w:cs="Arial"/>
          <w:b/>
          <w:bCs/>
          <w:sz w:val="22"/>
          <w:szCs w:val="22"/>
        </w:rPr>
      </w:pPr>
      <w:r w:rsidRPr="00CE7A5C">
        <w:rPr>
          <w:rFonts w:cs="Arial"/>
          <w:b/>
          <w:bCs/>
          <w:sz w:val="22"/>
          <w:szCs w:val="22"/>
          <w:lang w:val="pt-PT"/>
        </w:rPr>
        <w:lastRenderedPageBreak/>
        <w:t>Objectives</w:t>
      </w:r>
      <w:r w:rsidR="00904968" w:rsidRPr="00CE7A5C">
        <w:rPr>
          <w:rFonts w:cs="Arial"/>
          <w:b/>
          <w:bCs/>
          <w:sz w:val="22"/>
          <w:szCs w:val="22"/>
          <w:lang w:val="pt-PT"/>
        </w:rPr>
        <w:t xml:space="preserve"> {7}</w:t>
      </w:r>
    </w:p>
    <w:p w14:paraId="25168990" w14:textId="4186CC4B" w:rsidR="004C3232" w:rsidRPr="00CE7A5C" w:rsidRDefault="006D5F77" w:rsidP="00B54201">
      <w:pPr>
        <w:pStyle w:val="Body"/>
        <w:widowControl w:val="0"/>
        <w:spacing w:line="360" w:lineRule="auto"/>
        <w:rPr>
          <w:rFonts w:cs="Arial"/>
          <w:b/>
          <w:sz w:val="22"/>
          <w:szCs w:val="22"/>
        </w:rPr>
      </w:pPr>
      <w:r w:rsidRPr="00CE7A5C">
        <w:rPr>
          <w:rFonts w:cs="Arial"/>
          <w:b/>
          <w:sz w:val="22"/>
          <w:szCs w:val="22"/>
        </w:rPr>
        <w:t>Hypothesis:</w:t>
      </w:r>
    </w:p>
    <w:p w14:paraId="7309D6F0" w14:textId="504649FD" w:rsidR="006D5F77" w:rsidRPr="00CE7A5C" w:rsidRDefault="006D5F77" w:rsidP="00B54201">
      <w:pPr>
        <w:spacing w:line="360" w:lineRule="auto"/>
        <w:rPr>
          <w:rFonts w:ascii="Arial" w:hAnsi="Arial" w:cs="Arial"/>
          <w:sz w:val="22"/>
          <w:szCs w:val="22"/>
          <w:lang w:val="en-AU"/>
        </w:rPr>
      </w:pPr>
      <w:r w:rsidRPr="00CE7A5C">
        <w:rPr>
          <w:rFonts w:ascii="Arial" w:hAnsi="Arial" w:cs="Arial"/>
          <w:sz w:val="22"/>
          <w:szCs w:val="22"/>
          <w:lang w:val="en-AU"/>
        </w:rPr>
        <w:t xml:space="preserve">Real-time pathogen sequencing combined with </w:t>
      </w:r>
      <w:r w:rsidR="00E91FC0">
        <w:rPr>
          <w:rFonts w:ascii="Arial" w:hAnsi="Arial" w:cs="Arial"/>
          <w:sz w:val="22"/>
          <w:szCs w:val="22"/>
          <w:lang w:val="en-AU"/>
        </w:rPr>
        <w:t xml:space="preserve">dosing software to identify optimised </w:t>
      </w:r>
      <w:r w:rsidRPr="00CE7A5C">
        <w:rPr>
          <w:rFonts w:ascii="Arial" w:hAnsi="Arial" w:cs="Arial"/>
          <w:sz w:val="22"/>
          <w:szCs w:val="22"/>
          <w:lang w:val="en-AU"/>
        </w:rPr>
        <w:t>personalised antimicrobial therapy</w:t>
      </w:r>
      <w:r w:rsidR="00E91FC0">
        <w:rPr>
          <w:rFonts w:ascii="Arial" w:hAnsi="Arial" w:cs="Arial"/>
          <w:sz w:val="22"/>
          <w:szCs w:val="22"/>
          <w:lang w:val="en-AU"/>
        </w:rPr>
        <w:t xml:space="preserve"> </w:t>
      </w:r>
      <w:r w:rsidRPr="00CE7A5C">
        <w:rPr>
          <w:rFonts w:ascii="Arial" w:hAnsi="Arial" w:cs="Arial"/>
          <w:sz w:val="22"/>
          <w:szCs w:val="22"/>
          <w:lang w:val="en-AU"/>
        </w:rPr>
        <w:t xml:space="preserve">will reduce the time to </w:t>
      </w:r>
      <w:r w:rsidR="0034734B">
        <w:rPr>
          <w:rFonts w:ascii="Arial" w:hAnsi="Arial" w:cs="Arial"/>
          <w:sz w:val="22"/>
          <w:szCs w:val="22"/>
          <w:lang w:val="en-AU"/>
        </w:rPr>
        <w:t>effective</w:t>
      </w:r>
      <w:r w:rsidR="009042C6">
        <w:rPr>
          <w:rFonts w:ascii="Arial" w:hAnsi="Arial" w:cs="Arial"/>
          <w:sz w:val="22"/>
          <w:szCs w:val="22"/>
          <w:lang w:val="en-AU"/>
        </w:rPr>
        <w:t xml:space="preserve"> </w:t>
      </w:r>
      <w:r w:rsidR="009042C6" w:rsidRPr="00CE7A5C">
        <w:rPr>
          <w:rFonts w:ascii="Arial" w:hAnsi="Arial" w:cs="Arial"/>
          <w:sz w:val="22"/>
          <w:szCs w:val="22"/>
          <w:lang w:val="en-AU"/>
        </w:rPr>
        <w:t>antimicrobial</w:t>
      </w:r>
      <w:r w:rsidRPr="00CE7A5C">
        <w:rPr>
          <w:rFonts w:ascii="Arial" w:hAnsi="Arial" w:cs="Arial"/>
          <w:sz w:val="22"/>
          <w:szCs w:val="22"/>
          <w:lang w:val="en-AU"/>
        </w:rPr>
        <w:t xml:space="preserve"> concentrations in </w:t>
      </w:r>
      <w:r w:rsidR="00672AFE" w:rsidRPr="00CE7A5C">
        <w:rPr>
          <w:rFonts w:ascii="Arial" w:hAnsi="Arial" w:cs="Arial"/>
          <w:sz w:val="22"/>
          <w:szCs w:val="22"/>
          <w:lang w:val="en-AU"/>
        </w:rPr>
        <w:t xml:space="preserve">critically ill </w:t>
      </w:r>
      <w:r w:rsidRPr="00CE7A5C">
        <w:rPr>
          <w:rFonts w:ascii="Arial" w:hAnsi="Arial" w:cs="Arial"/>
          <w:sz w:val="22"/>
          <w:szCs w:val="22"/>
          <w:lang w:val="en-AU"/>
        </w:rPr>
        <w:t>patients with sepsis leading to improved patient outcomes.</w:t>
      </w:r>
    </w:p>
    <w:p w14:paraId="668D1F8B" w14:textId="77777777" w:rsidR="00672AFE" w:rsidRPr="00CE7A5C" w:rsidRDefault="00672AFE" w:rsidP="00B54201">
      <w:pPr>
        <w:pStyle w:val="Body"/>
        <w:widowControl w:val="0"/>
        <w:spacing w:line="360" w:lineRule="auto"/>
        <w:rPr>
          <w:rFonts w:cs="Arial"/>
          <w:b/>
          <w:bCs/>
          <w:sz w:val="22"/>
          <w:szCs w:val="22"/>
        </w:rPr>
      </w:pPr>
    </w:p>
    <w:p w14:paraId="6CA82DE7" w14:textId="5927CA6A" w:rsidR="004C3232" w:rsidRPr="00CE7A5C" w:rsidRDefault="006D5F77" w:rsidP="00B54201">
      <w:pPr>
        <w:pStyle w:val="Body"/>
        <w:widowControl w:val="0"/>
        <w:spacing w:line="360" w:lineRule="auto"/>
        <w:rPr>
          <w:rFonts w:cs="Arial"/>
          <w:b/>
          <w:bCs/>
          <w:sz w:val="22"/>
          <w:szCs w:val="22"/>
        </w:rPr>
      </w:pPr>
      <w:r w:rsidRPr="00CE7A5C">
        <w:rPr>
          <w:rFonts w:cs="Arial"/>
          <w:b/>
          <w:bCs/>
          <w:sz w:val="22"/>
          <w:szCs w:val="22"/>
        </w:rPr>
        <w:t>Aim:</w:t>
      </w:r>
    </w:p>
    <w:p w14:paraId="1BC52E55" w14:textId="06E905E7" w:rsidR="006D5F77" w:rsidRPr="00CE7A5C" w:rsidRDefault="006D5F77" w:rsidP="00B54201">
      <w:pPr>
        <w:spacing w:line="360" w:lineRule="auto"/>
        <w:rPr>
          <w:rFonts w:ascii="Arial" w:hAnsi="Arial" w:cs="Arial"/>
          <w:sz w:val="22"/>
          <w:szCs w:val="22"/>
          <w:lang w:val="en-AU"/>
        </w:rPr>
      </w:pPr>
      <w:r w:rsidRPr="00CE7A5C">
        <w:rPr>
          <w:rFonts w:ascii="Arial" w:hAnsi="Arial" w:cs="Arial"/>
          <w:sz w:val="22"/>
          <w:szCs w:val="22"/>
          <w:lang w:val="en-AU"/>
        </w:rPr>
        <w:t xml:space="preserve">To demonstrate the feasibility and diagnostic accuracy of </w:t>
      </w:r>
      <w:r w:rsidR="0005375E">
        <w:rPr>
          <w:rFonts w:ascii="Arial" w:hAnsi="Arial" w:cs="Arial"/>
          <w:sz w:val="22"/>
          <w:szCs w:val="22"/>
          <w:lang w:val="en-AU"/>
        </w:rPr>
        <w:t>real-time</w:t>
      </w:r>
      <w:r w:rsidRPr="00CE7A5C">
        <w:rPr>
          <w:rFonts w:ascii="Arial" w:hAnsi="Arial" w:cs="Arial"/>
          <w:sz w:val="22"/>
          <w:szCs w:val="22"/>
          <w:lang w:val="en-AU"/>
        </w:rPr>
        <w:t xml:space="preserve"> pathogen sequencing </w:t>
      </w:r>
      <w:r w:rsidR="003011A9">
        <w:rPr>
          <w:rFonts w:ascii="Arial" w:hAnsi="Arial" w:cs="Arial"/>
          <w:sz w:val="22"/>
          <w:szCs w:val="22"/>
          <w:lang w:val="en-AU"/>
        </w:rPr>
        <w:t xml:space="preserve">direct </w:t>
      </w:r>
      <w:r w:rsidRPr="00CE7A5C">
        <w:rPr>
          <w:rFonts w:ascii="Arial" w:hAnsi="Arial" w:cs="Arial"/>
          <w:sz w:val="22"/>
          <w:szCs w:val="22"/>
          <w:lang w:val="en-AU"/>
        </w:rPr>
        <w:t xml:space="preserve">from clinical </w:t>
      </w:r>
      <w:r w:rsidR="00EB526B" w:rsidRPr="00CE7A5C">
        <w:rPr>
          <w:rFonts w:ascii="Arial" w:hAnsi="Arial" w:cs="Arial"/>
          <w:sz w:val="22"/>
          <w:szCs w:val="22"/>
          <w:lang w:val="en-AU"/>
        </w:rPr>
        <w:t>samples and</w:t>
      </w:r>
      <w:r w:rsidRPr="00CE7A5C">
        <w:rPr>
          <w:rFonts w:ascii="Arial" w:hAnsi="Arial" w:cs="Arial"/>
          <w:sz w:val="22"/>
          <w:szCs w:val="22"/>
          <w:lang w:val="en-AU"/>
        </w:rPr>
        <w:t xml:space="preserve"> estimate the impact of this diagnostic approach </w:t>
      </w:r>
      <w:r w:rsidR="00EB526B">
        <w:rPr>
          <w:rFonts w:ascii="Arial" w:hAnsi="Arial" w:cs="Arial"/>
          <w:sz w:val="22"/>
          <w:szCs w:val="22"/>
          <w:lang w:val="en-AU"/>
        </w:rPr>
        <w:t xml:space="preserve">on time to effective therapy </w:t>
      </w:r>
      <w:r w:rsidRPr="00CE7A5C">
        <w:rPr>
          <w:rFonts w:ascii="Arial" w:hAnsi="Arial" w:cs="Arial"/>
          <w:sz w:val="22"/>
          <w:szCs w:val="22"/>
          <w:lang w:val="en-AU"/>
        </w:rPr>
        <w:t>when integrated with personalised antimicrobial dosing in children and adults on ICU with sepsis.</w:t>
      </w:r>
    </w:p>
    <w:p w14:paraId="51B852CB" w14:textId="77777777" w:rsidR="00503EEF" w:rsidRPr="00CE7A5C" w:rsidRDefault="00503EEF" w:rsidP="00B54201">
      <w:pPr>
        <w:spacing w:line="360" w:lineRule="auto"/>
        <w:rPr>
          <w:rFonts w:ascii="Arial" w:hAnsi="Arial" w:cs="Arial"/>
          <w:b/>
          <w:i/>
          <w:sz w:val="22"/>
          <w:szCs w:val="22"/>
          <w:lang w:val="en-AU"/>
        </w:rPr>
      </w:pPr>
    </w:p>
    <w:p w14:paraId="768F2E85" w14:textId="6B50918D" w:rsidR="006D5F77" w:rsidRDefault="003812C0" w:rsidP="00B54201">
      <w:pPr>
        <w:spacing w:line="360" w:lineRule="auto"/>
        <w:rPr>
          <w:rFonts w:ascii="Arial" w:hAnsi="Arial" w:cs="Arial"/>
          <w:b/>
          <w:iCs/>
          <w:sz w:val="22"/>
          <w:szCs w:val="22"/>
          <w:lang w:val="en-AU"/>
        </w:rPr>
      </w:pPr>
      <w:r w:rsidRPr="003812C0">
        <w:rPr>
          <w:rFonts w:ascii="Arial" w:hAnsi="Arial" w:cs="Arial"/>
          <w:b/>
          <w:iCs/>
          <w:sz w:val="22"/>
          <w:szCs w:val="22"/>
          <w:lang w:val="en-AU"/>
        </w:rPr>
        <w:t>Objectives:</w:t>
      </w:r>
    </w:p>
    <w:p w14:paraId="0CECB0FB" w14:textId="1334B4C7" w:rsidR="003011A9" w:rsidRDefault="003011A9" w:rsidP="00B54201">
      <w:pPr>
        <w:spacing w:line="360" w:lineRule="auto"/>
        <w:rPr>
          <w:rFonts w:ascii="Arial" w:hAnsi="Arial" w:cs="Arial"/>
          <w:b/>
          <w:iCs/>
          <w:sz w:val="22"/>
          <w:szCs w:val="22"/>
          <w:lang w:val="en-AU"/>
        </w:rPr>
      </w:pPr>
      <w:r>
        <w:rPr>
          <w:rFonts w:ascii="Arial" w:hAnsi="Arial" w:cs="Arial"/>
          <w:b/>
          <w:iCs/>
          <w:sz w:val="22"/>
          <w:szCs w:val="22"/>
          <w:lang w:val="en-AU"/>
        </w:rPr>
        <w:t>Primary objective:</w:t>
      </w:r>
    </w:p>
    <w:p w14:paraId="3BD0C85A" w14:textId="2AA3B4D8" w:rsidR="003011A9" w:rsidRPr="0005375E" w:rsidRDefault="0005375E" w:rsidP="00B54201">
      <w:pPr>
        <w:spacing w:line="360" w:lineRule="auto"/>
        <w:rPr>
          <w:rFonts w:ascii="Arial" w:hAnsi="Arial" w:cs="Arial"/>
          <w:sz w:val="22"/>
          <w:lang w:val="en-AU"/>
        </w:rPr>
      </w:pPr>
      <w:r w:rsidRPr="0005375E">
        <w:rPr>
          <w:rFonts w:ascii="Arial" w:hAnsi="Arial" w:cs="Arial"/>
          <w:sz w:val="22"/>
          <w:lang w:val="en-AU"/>
        </w:rPr>
        <w:t>To estimate the</w:t>
      </w:r>
      <w:r w:rsidR="003011A9" w:rsidRPr="0005375E">
        <w:rPr>
          <w:rFonts w:ascii="Arial" w:hAnsi="Arial" w:cs="Arial"/>
          <w:sz w:val="22"/>
          <w:lang w:val="en-AU"/>
        </w:rPr>
        <w:t xml:space="preserve"> reduction in time to </w:t>
      </w:r>
      <w:r w:rsidRPr="0005375E">
        <w:rPr>
          <w:rFonts w:ascii="Arial" w:hAnsi="Arial" w:cs="Arial"/>
          <w:sz w:val="22"/>
          <w:lang w:val="en-AU"/>
        </w:rPr>
        <w:t>effective</w:t>
      </w:r>
      <w:r w:rsidR="003011A9" w:rsidRPr="0005375E">
        <w:rPr>
          <w:rFonts w:ascii="Arial" w:hAnsi="Arial" w:cs="Arial"/>
          <w:sz w:val="22"/>
          <w:lang w:val="en-AU"/>
        </w:rPr>
        <w:t xml:space="preserve"> antibiotic therapy in children and adults with sepsis using </w:t>
      </w:r>
      <w:r w:rsidRPr="0005375E">
        <w:rPr>
          <w:rFonts w:ascii="Arial" w:hAnsi="Arial" w:cs="Arial"/>
          <w:sz w:val="22"/>
          <w:lang w:val="en-AU"/>
        </w:rPr>
        <w:t xml:space="preserve">rapid </w:t>
      </w:r>
      <w:r w:rsidR="003011A9" w:rsidRPr="0005375E">
        <w:rPr>
          <w:rFonts w:ascii="Arial" w:hAnsi="Arial" w:cs="Arial"/>
          <w:sz w:val="22"/>
          <w:lang w:val="en-AU"/>
        </w:rPr>
        <w:t xml:space="preserve">pathogen sequencing </w:t>
      </w:r>
      <w:r w:rsidRPr="0005375E">
        <w:rPr>
          <w:rFonts w:ascii="Arial" w:hAnsi="Arial" w:cs="Arial"/>
          <w:sz w:val="22"/>
          <w:lang w:val="en-AU"/>
        </w:rPr>
        <w:t xml:space="preserve">combined with </w:t>
      </w:r>
      <w:r w:rsidR="003011A9" w:rsidRPr="0005375E">
        <w:rPr>
          <w:rFonts w:ascii="Arial" w:hAnsi="Arial" w:cs="Arial"/>
          <w:sz w:val="22"/>
          <w:lang w:val="en-AU"/>
        </w:rPr>
        <w:t>dosing software when compared to conventional diagnostic and therapeutic regimens</w:t>
      </w:r>
      <w:r w:rsidR="0034734B">
        <w:rPr>
          <w:rFonts w:ascii="Arial" w:hAnsi="Arial" w:cs="Arial"/>
          <w:sz w:val="22"/>
          <w:lang w:val="en-AU"/>
        </w:rPr>
        <w:t>.</w:t>
      </w:r>
    </w:p>
    <w:p w14:paraId="6807F53B" w14:textId="1DC0616A" w:rsidR="003011A9" w:rsidRDefault="003011A9" w:rsidP="00B54201">
      <w:pPr>
        <w:spacing w:line="360" w:lineRule="auto"/>
        <w:rPr>
          <w:rFonts w:ascii="Arial" w:hAnsi="Arial" w:cs="Arial"/>
          <w:b/>
          <w:iCs/>
          <w:sz w:val="22"/>
          <w:szCs w:val="22"/>
          <w:lang w:val="en-AU"/>
        </w:rPr>
      </w:pPr>
    </w:p>
    <w:p w14:paraId="7865F1B3" w14:textId="116DE710" w:rsidR="003011A9" w:rsidRDefault="003011A9" w:rsidP="00B54201">
      <w:pPr>
        <w:spacing w:line="360" w:lineRule="auto"/>
        <w:rPr>
          <w:rFonts w:ascii="Arial" w:hAnsi="Arial" w:cs="Arial"/>
          <w:b/>
          <w:iCs/>
          <w:sz w:val="22"/>
          <w:szCs w:val="22"/>
          <w:lang w:val="en-AU"/>
        </w:rPr>
      </w:pPr>
      <w:r>
        <w:rPr>
          <w:rFonts w:ascii="Arial" w:hAnsi="Arial" w:cs="Arial"/>
          <w:b/>
          <w:iCs/>
          <w:sz w:val="22"/>
          <w:szCs w:val="22"/>
          <w:lang w:val="en-AU"/>
        </w:rPr>
        <w:t>Secondary objectives:</w:t>
      </w:r>
    </w:p>
    <w:p w14:paraId="6C71208E" w14:textId="2C4DA656" w:rsidR="0034734B" w:rsidRDefault="0034734B" w:rsidP="0034734B">
      <w:pPr>
        <w:pStyle w:val="ListParagraph"/>
        <w:numPr>
          <w:ilvl w:val="0"/>
          <w:numId w:val="5"/>
        </w:numPr>
        <w:spacing w:line="360" w:lineRule="auto"/>
        <w:rPr>
          <w:rFonts w:ascii="Arial" w:hAnsi="Arial" w:cs="Arial"/>
          <w:lang w:val="en-AU"/>
        </w:rPr>
      </w:pPr>
      <w:r w:rsidRPr="00CE7A5C">
        <w:rPr>
          <w:rFonts w:ascii="Arial" w:hAnsi="Arial" w:cs="Arial"/>
          <w:lang w:val="en-AU"/>
        </w:rPr>
        <w:t>A demonstration of the feasibility of real-time pathogen sequencing in whole blood samples from critically ill children and adults with sepsis.</w:t>
      </w:r>
    </w:p>
    <w:p w14:paraId="09D4097B" w14:textId="77777777" w:rsidR="003011A9" w:rsidRPr="00CE7A5C" w:rsidRDefault="003011A9" w:rsidP="003011A9">
      <w:pPr>
        <w:pStyle w:val="ListParagraph"/>
        <w:numPr>
          <w:ilvl w:val="0"/>
          <w:numId w:val="5"/>
        </w:numPr>
        <w:spacing w:line="360" w:lineRule="auto"/>
        <w:rPr>
          <w:rFonts w:ascii="Arial" w:hAnsi="Arial" w:cs="Arial"/>
          <w:lang w:val="en-AU"/>
        </w:rPr>
      </w:pPr>
      <w:r w:rsidRPr="00CE7A5C">
        <w:rPr>
          <w:rFonts w:ascii="Arial" w:hAnsi="Arial" w:cs="Arial"/>
          <w:lang w:val="en-AU"/>
        </w:rPr>
        <w:t>An evaluation of the diagnostic accuracy of real-time pathogen sequencing from positive blood cultures taken from critically ill children and adults with sepsis.</w:t>
      </w:r>
    </w:p>
    <w:p w14:paraId="0C5DAF47" w14:textId="77777777" w:rsidR="003011A9" w:rsidRPr="003011A9" w:rsidRDefault="003011A9" w:rsidP="003011A9">
      <w:pPr>
        <w:pStyle w:val="ListParagraph"/>
        <w:numPr>
          <w:ilvl w:val="0"/>
          <w:numId w:val="5"/>
        </w:numPr>
        <w:spacing w:line="360" w:lineRule="auto"/>
        <w:rPr>
          <w:rFonts w:ascii="Arial" w:hAnsi="Arial" w:cs="Arial"/>
          <w:lang w:val="en-AU"/>
        </w:rPr>
      </w:pPr>
      <w:r w:rsidRPr="00CE7A5C">
        <w:rPr>
          <w:rFonts w:ascii="Arial" w:hAnsi="Arial" w:cs="Arial"/>
          <w:lang w:val="en-AU"/>
        </w:rPr>
        <w:t xml:space="preserve">An evaluation of the </w:t>
      </w:r>
      <w:r>
        <w:rPr>
          <w:rFonts w:ascii="Arial" w:hAnsi="Arial" w:cs="Arial"/>
          <w:lang w:val="en-AU"/>
        </w:rPr>
        <w:t>time to</w:t>
      </w:r>
      <w:r w:rsidRPr="00CE7A5C">
        <w:rPr>
          <w:rFonts w:ascii="Arial" w:hAnsi="Arial" w:cs="Arial"/>
          <w:lang w:val="en-AU"/>
        </w:rPr>
        <w:t xml:space="preserve"> pathogen </w:t>
      </w:r>
      <w:r>
        <w:rPr>
          <w:rFonts w:ascii="Arial" w:hAnsi="Arial" w:cs="Arial"/>
          <w:lang w:val="en-AU"/>
        </w:rPr>
        <w:t>identification comparing direct sequencing versus</w:t>
      </w:r>
      <w:r w:rsidRPr="00CE7A5C">
        <w:rPr>
          <w:rFonts w:ascii="Arial" w:hAnsi="Arial" w:cs="Arial"/>
          <w:lang w:val="en-AU"/>
        </w:rPr>
        <w:t xml:space="preserve"> </w:t>
      </w:r>
      <w:r>
        <w:rPr>
          <w:rFonts w:ascii="Arial" w:hAnsi="Arial" w:cs="Arial"/>
          <w:lang w:val="en-AU"/>
        </w:rPr>
        <w:t xml:space="preserve">conventional </w:t>
      </w:r>
      <w:r w:rsidRPr="00CE7A5C">
        <w:rPr>
          <w:rFonts w:ascii="Arial" w:hAnsi="Arial" w:cs="Arial"/>
          <w:lang w:val="en-AU"/>
        </w:rPr>
        <w:t>blood cultures taken from critically ill children and adults with sepsis.</w:t>
      </w:r>
    </w:p>
    <w:p w14:paraId="0119F8A9" w14:textId="77777777" w:rsidR="003011A9" w:rsidRPr="00CE7A5C" w:rsidRDefault="003011A9" w:rsidP="003011A9">
      <w:pPr>
        <w:pStyle w:val="ListParagraph"/>
        <w:numPr>
          <w:ilvl w:val="0"/>
          <w:numId w:val="5"/>
        </w:numPr>
        <w:spacing w:line="360" w:lineRule="auto"/>
        <w:rPr>
          <w:rFonts w:ascii="Arial" w:hAnsi="Arial" w:cs="Arial"/>
          <w:lang w:val="en-AU"/>
        </w:rPr>
      </w:pPr>
      <w:r w:rsidRPr="00CE7A5C">
        <w:rPr>
          <w:rFonts w:ascii="Arial" w:hAnsi="Arial" w:cs="Arial"/>
          <w:lang w:val="en-AU"/>
        </w:rPr>
        <w:t>An improvement in the achievement of therapeutic antibiotic concentrations in patients using dosing software versus traditional dosing regimens.</w:t>
      </w:r>
    </w:p>
    <w:p w14:paraId="40460184" w14:textId="77777777" w:rsidR="003011A9" w:rsidRDefault="003011A9" w:rsidP="00957901">
      <w:pPr>
        <w:spacing w:line="360" w:lineRule="auto"/>
        <w:rPr>
          <w:rFonts w:ascii="Arial" w:hAnsi="Arial" w:cs="Arial"/>
          <w:b/>
          <w:iCs/>
          <w:sz w:val="22"/>
          <w:szCs w:val="22"/>
          <w:lang w:val="en-AU"/>
        </w:rPr>
      </w:pPr>
    </w:p>
    <w:p w14:paraId="01A56E2E" w14:textId="100505D8" w:rsidR="003011A9" w:rsidRPr="00CE7A5C" w:rsidRDefault="003011A9" w:rsidP="003011A9">
      <w:pPr>
        <w:pStyle w:val="NoSpacing"/>
        <w:spacing w:line="360" w:lineRule="auto"/>
        <w:rPr>
          <w:rFonts w:ascii="Arial" w:hAnsi="Arial" w:cs="Arial"/>
          <w:sz w:val="22"/>
          <w:szCs w:val="22"/>
          <w:lang w:val="en-GB"/>
        </w:rPr>
      </w:pPr>
      <w:r w:rsidRPr="00CE7A5C">
        <w:rPr>
          <w:rFonts w:ascii="Arial" w:hAnsi="Arial" w:cs="Arial"/>
          <w:sz w:val="22"/>
          <w:szCs w:val="22"/>
          <w:lang w:val="en-GB"/>
        </w:rPr>
        <w:t xml:space="preserve">The primary outcome is time to </w:t>
      </w:r>
      <w:r w:rsidR="0034734B">
        <w:rPr>
          <w:rFonts w:ascii="Arial" w:hAnsi="Arial" w:cs="Arial"/>
          <w:sz w:val="22"/>
          <w:szCs w:val="22"/>
          <w:lang w:val="en-GB"/>
        </w:rPr>
        <w:t xml:space="preserve">effective </w:t>
      </w:r>
      <w:r w:rsidRPr="00CE7A5C">
        <w:rPr>
          <w:rFonts w:ascii="Arial" w:hAnsi="Arial" w:cs="Arial"/>
          <w:sz w:val="22"/>
          <w:szCs w:val="22"/>
          <w:lang w:val="en-GB"/>
        </w:rPr>
        <w:t>antimicrobial therapy</w:t>
      </w:r>
      <w:r>
        <w:rPr>
          <w:rFonts w:ascii="Arial" w:hAnsi="Arial" w:cs="Arial"/>
          <w:sz w:val="22"/>
          <w:szCs w:val="22"/>
          <w:lang w:val="en-GB"/>
        </w:rPr>
        <w:t>,</w:t>
      </w:r>
      <w:r w:rsidRPr="00CE7A5C">
        <w:rPr>
          <w:rFonts w:ascii="Arial" w:hAnsi="Arial" w:cs="Arial"/>
          <w:sz w:val="22"/>
          <w:szCs w:val="22"/>
          <w:lang w:val="en-GB"/>
        </w:rPr>
        <w:t xml:space="preserve"> defined </w:t>
      </w:r>
      <w:r>
        <w:rPr>
          <w:rFonts w:ascii="Arial" w:hAnsi="Arial" w:cs="Arial"/>
          <w:sz w:val="22"/>
          <w:szCs w:val="22"/>
          <w:lang w:val="en-GB"/>
        </w:rPr>
        <w:t>as</w:t>
      </w:r>
      <w:r w:rsidRPr="00CE7A5C">
        <w:rPr>
          <w:rFonts w:ascii="Arial" w:hAnsi="Arial" w:cs="Arial"/>
          <w:sz w:val="22"/>
          <w:szCs w:val="22"/>
          <w:lang w:val="en-GB"/>
        </w:rPr>
        <w:t xml:space="preserve"> </w:t>
      </w:r>
      <w:r w:rsidRPr="0044446B">
        <w:rPr>
          <w:rFonts w:ascii="Arial" w:hAnsi="Arial" w:cs="Arial"/>
          <w:sz w:val="22"/>
          <w:szCs w:val="22"/>
          <w:lang w:val="en-GB"/>
        </w:rPr>
        <w:t>trough drug concentrations above the MIC of the pathogen</w:t>
      </w:r>
      <w:r w:rsidRPr="00CE7A5C">
        <w:rPr>
          <w:rFonts w:ascii="Arial" w:hAnsi="Arial" w:cs="Arial"/>
          <w:sz w:val="22"/>
          <w:szCs w:val="22"/>
          <w:lang w:val="en-GB"/>
        </w:rPr>
        <w:t xml:space="preserve">. Secondary outcomes are diagnostic accuracy of direct pathogen sequencing from whole blood, </w:t>
      </w:r>
      <w:r>
        <w:rPr>
          <w:rFonts w:ascii="Arial" w:hAnsi="Arial" w:cs="Arial"/>
          <w:sz w:val="22"/>
          <w:szCs w:val="22"/>
          <w:lang w:val="en-GB"/>
        </w:rPr>
        <w:t xml:space="preserve">and </w:t>
      </w:r>
      <w:r w:rsidRPr="00CE7A5C">
        <w:rPr>
          <w:rFonts w:ascii="Arial" w:hAnsi="Arial" w:cs="Arial"/>
          <w:sz w:val="22"/>
          <w:szCs w:val="22"/>
          <w:lang w:val="en-GB"/>
        </w:rPr>
        <w:t>time to pathogen identification and susceptibility testing using pathogen sequencing direct from whole blood and from positive blood culture broth.</w:t>
      </w:r>
    </w:p>
    <w:p w14:paraId="32D1E75A" w14:textId="5E2A078E" w:rsidR="003011A9" w:rsidRDefault="003011A9" w:rsidP="00957901">
      <w:pPr>
        <w:spacing w:line="360" w:lineRule="auto"/>
        <w:rPr>
          <w:rFonts w:ascii="Arial" w:hAnsi="Arial" w:cs="Arial"/>
          <w:b/>
          <w:iCs/>
          <w:sz w:val="22"/>
          <w:szCs w:val="22"/>
          <w:lang w:val="en-AU"/>
        </w:rPr>
      </w:pPr>
    </w:p>
    <w:p w14:paraId="2DFFEFEE" w14:textId="77777777" w:rsidR="00AD79CD" w:rsidRDefault="00AD79CD">
      <w:pPr>
        <w:rPr>
          <w:rFonts w:ascii="Arial" w:hAnsi="Arial" w:cs="Arial"/>
          <w:b/>
          <w:bCs/>
          <w:color w:val="000000"/>
          <w:sz w:val="22"/>
          <w:szCs w:val="22"/>
          <w:u w:color="000000"/>
          <w:lang w:val="pt-PT"/>
        </w:rPr>
      </w:pPr>
      <w:r>
        <w:rPr>
          <w:rFonts w:cs="Arial"/>
          <w:b/>
          <w:bCs/>
          <w:sz w:val="22"/>
          <w:szCs w:val="22"/>
          <w:lang w:val="pt-PT"/>
        </w:rPr>
        <w:br w:type="page"/>
      </w:r>
    </w:p>
    <w:p w14:paraId="0AF5F9E5" w14:textId="429D778B"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pt-PT"/>
        </w:rPr>
        <w:lastRenderedPageBreak/>
        <w:t>Trial design</w:t>
      </w:r>
      <w:r w:rsidR="00904968" w:rsidRPr="00CE7A5C">
        <w:rPr>
          <w:rFonts w:cs="Arial"/>
          <w:b/>
          <w:bCs/>
          <w:sz w:val="22"/>
          <w:szCs w:val="22"/>
          <w:lang w:val="pt-PT"/>
        </w:rPr>
        <w:t xml:space="preserve"> {8}</w:t>
      </w:r>
    </w:p>
    <w:p w14:paraId="529FDEB5" w14:textId="4F7147E5" w:rsidR="004C3232" w:rsidRPr="00CE7A5C" w:rsidRDefault="006D5F77" w:rsidP="00957901">
      <w:pPr>
        <w:pStyle w:val="Body"/>
        <w:widowControl w:val="0"/>
        <w:spacing w:line="360" w:lineRule="auto"/>
        <w:rPr>
          <w:rFonts w:cs="Arial"/>
          <w:sz w:val="22"/>
          <w:szCs w:val="22"/>
          <w:lang w:val="en-AU"/>
        </w:rPr>
      </w:pPr>
      <w:r w:rsidRPr="00CE7A5C">
        <w:rPr>
          <w:rFonts w:cs="Arial"/>
          <w:sz w:val="22"/>
          <w:szCs w:val="22"/>
          <w:lang w:val="en-AU"/>
        </w:rPr>
        <w:t xml:space="preserve">The DIRECT study is a </w:t>
      </w:r>
      <w:r w:rsidR="004C7175" w:rsidRPr="004C7175">
        <w:rPr>
          <w:rFonts w:cs="Arial"/>
          <w:sz w:val="22"/>
          <w:szCs w:val="22"/>
          <w:lang w:val="en-AU"/>
        </w:rPr>
        <w:t xml:space="preserve">pilot prospective, </w:t>
      </w:r>
      <w:r w:rsidR="004C7175">
        <w:rPr>
          <w:rFonts w:cs="Arial"/>
          <w:sz w:val="22"/>
          <w:szCs w:val="22"/>
          <w:lang w:val="en-AU"/>
        </w:rPr>
        <w:t xml:space="preserve">non-randomised </w:t>
      </w:r>
      <w:r w:rsidR="004C7175" w:rsidRPr="004C7175">
        <w:rPr>
          <w:rFonts w:cs="Arial"/>
          <w:sz w:val="22"/>
          <w:szCs w:val="22"/>
          <w:lang w:val="en-AU"/>
        </w:rPr>
        <w:t>multicentre</w:t>
      </w:r>
      <w:r w:rsidR="0005375E">
        <w:rPr>
          <w:rFonts w:cs="Arial"/>
          <w:sz w:val="22"/>
          <w:szCs w:val="22"/>
          <w:lang w:val="en-AU"/>
        </w:rPr>
        <w:t xml:space="preserve"> </w:t>
      </w:r>
      <w:r w:rsidRPr="00CE7A5C">
        <w:rPr>
          <w:rFonts w:cs="Arial"/>
          <w:sz w:val="22"/>
          <w:szCs w:val="22"/>
          <w:lang w:val="en-AU"/>
        </w:rPr>
        <w:t>trial of an integrated diagnostic and therapeutic algorithm combining rapid direct pathogen sequencing and software-guided, personalised antibiotic dosing in children and adults with sepsis on ICU.</w:t>
      </w:r>
    </w:p>
    <w:p w14:paraId="28768AF5" w14:textId="17772AA8" w:rsidR="006D5F77" w:rsidRPr="00CE7A5C" w:rsidRDefault="006D5F77" w:rsidP="00957901">
      <w:pPr>
        <w:pStyle w:val="Body"/>
        <w:widowControl w:val="0"/>
        <w:spacing w:line="360" w:lineRule="auto"/>
        <w:rPr>
          <w:rFonts w:cs="Arial"/>
          <w:sz w:val="22"/>
          <w:szCs w:val="22"/>
          <w:lang w:val="en-AU"/>
        </w:rPr>
      </w:pPr>
    </w:p>
    <w:p w14:paraId="51AC35C3" w14:textId="0C54046C" w:rsidR="006D5F77" w:rsidRPr="00CE7A5C" w:rsidRDefault="006D5F77" w:rsidP="00957901">
      <w:pPr>
        <w:pStyle w:val="Body"/>
        <w:widowControl w:val="0"/>
        <w:spacing w:line="360" w:lineRule="auto"/>
        <w:rPr>
          <w:rFonts w:cs="Arial"/>
          <w:sz w:val="22"/>
          <w:szCs w:val="22"/>
          <w:lang w:val="en-AU"/>
        </w:rPr>
      </w:pPr>
      <w:r w:rsidRPr="00CE7A5C">
        <w:rPr>
          <w:rFonts w:cs="Arial"/>
          <w:sz w:val="22"/>
          <w:szCs w:val="22"/>
          <w:lang w:val="en-AU"/>
        </w:rPr>
        <w:t xml:space="preserve">It includes a diagnostic accuracy study of real-time pathogen sequencing direct from patient blood using the </w:t>
      </w:r>
      <w:r w:rsidR="00A57A49">
        <w:rPr>
          <w:rFonts w:cs="Arial"/>
          <w:sz w:val="22"/>
          <w:szCs w:val="22"/>
          <w:lang w:val="en-AU"/>
        </w:rPr>
        <w:t>ONT</w:t>
      </w:r>
      <w:r w:rsidRPr="00CE7A5C">
        <w:rPr>
          <w:rFonts w:cs="Arial"/>
          <w:sz w:val="22"/>
          <w:szCs w:val="22"/>
          <w:lang w:val="en-AU"/>
        </w:rPr>
        <w:t xml:space="preserve"> </w:t>
      </w:r>
      <w:proofErr w:type="spellStart"/>
      <w:r w:rsidRPr="00CE7A5C">
        <w:rPr>
          <w:rFonts w:cs="Arial"/>
          <w:sz w:val="22"/>
          <w:szCs w:val="22"/>
          <w:lang w:val="en-AU"/>
        </w:rPr>
        <w:t>MinION</w:t>
      </w:r>
      <w:proofErr w:type="spellEnd"/>
      <w:r w:rsidRPr="00CE7A5C">
        <w:rPr>
          <w:rFonts w:cs="Arial"/>
          <w:sz w:val="22"/>
          <w:szCs w:val="22"/>
          <w:lang w:val="en-AU"/>
        </w:rPr>
        <w:t xml:space="preserve"> </w:t>
      </w:r>
      <w:r w:rsidR="00A35030">
        <w:rPr>
          <w:rFonts w:cs="Arial"/>
          <w:sz w:val="22"/>
          <w:szCs w:val="22"/>
          <w:lang w:val="en-AU"/>
        </w:rPr>
        <w:t>device,</w:t>
      </w:r>
      <w:r w:rsidRPr="00CE7A5C">
        <w:rPr>
          <w:rFonts w:cs="Arial"/>
          <w:sz w:val="22"/>
          <w:szCs w:val="22"/>
          <w:lang w:val="en-AU"/>
        </w:rPr>
        <w:t xml:space="preserve"> which will be compared to conventional pathogen sequencing of cultured isolates, and conventional blood culture and phenotypic susceptibility testing</w:t>
      </w:r>
      <w:r w:rsidR="00A35030">
        <w:rPr>
          <w:rFonts w:cs="Arial"/>
          <w:sz w:val="22"/>
          <w:szCs w:val="22"/>
          <w:lang w:val="en-AU"/>
        </w:rPr>
        <w:t xml:space="preserve">. </w:t>
      </w:r>
    </w:p>
    <w:p w14:paraId="74270B3C" w14:textId="77777777" w:rsidR="006D5F77" w:rsidRPr="00CE7A5C" w:rsidRDefault="006D5F77" w:rsidP="00957901">
      <w:pPr>
        <w:pStyle w:val="Body"/>
        <w:widowControl w:val="0"/>
        <w:spacing w:line="360" w:lineRule="auto"/>
        <w:rPr>
          <w:rFonts w:cs="Arial"/>
          <w:sz w:val="22"/>
          <w:szCs w:val="22"/>
        </w:rPr>
      </w:pPr>
    </w:p>
    <w:p w14:paraId="5A2FA8BC" w14:textId="77777777"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t>Methods: Participants, interventions and outcomes</w:t>
      </w:r>
    </w:p>
    <w:p w14:paraId="71690C1C" w14:textId="0CB034E3"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t>Study setting</w:t>
      </w:r>
      <w:r w:rsidR="00904968" w:rsidRPr="00CE7A5C">
        <w:rPr>
          <w:rFonts w:cs="Arial"/>
          <w:b/>
          <w:bCs/>
          <w:sz w:val="22"/>
          <w:szCs w:val="22"/>
          <w:lang w:val="en-US"/>
        </w:rPr>
        <w:t xml:space="preserve"> {9}</w:t>
      </w:r>
    </w:p>
    <w:p w14:paraId="5C99739F" w14:textId="57878FA7" w:rsidR="00503EEF" w:rsidRPr="00CE7A5C" w:rsidRDefault="00503EEF" w:rsidP="00957901">
      <w:pPr>
        <w:spacing w:line="360" w:lineRule="auto"/>
        <w:rPr>
          <w:rFonts w:ascii="Arial" w:hAnsi="Arial" w:cs="Arial"/>
          <w:sz w:val="22"/>
          <w:szCs w:val="22"/>
          <w:lang w:val="en-AU"/>
        </w:rPr>
      </w:pPr>
      <w:r w:rsidRPr="00CE7A5C">
        <w:rPr>
          <w:rFonts w:ascii="Arial" w:hAnsi="Arial" w:cs="Arial"/>
          <w:sz w:val="22"/>
          <w:szCs w:val="22"/>
          <w:lang w:val="en-AU"/>
        </w:rPr>
        <w:t>The study will be undertaken in the following participating ICUs in Brisbane, Australia:</w:t>
      </w:r>
    </w:p>
    <w:p w14:paraId="05F57115" w14:textId="483E211D" w:rsidR="00503EEF" w:rsidRPr="00CE7A5C" w:rsidRDefault="00503EEF" w:rsidP="00957901">
      <w:pPr>
        <w:spacing w:line="360" w:lineRule="auto"/>
        <w:ind w:left="720"/>
        <w:rPr>
          <w:rFonts w:ascii="Arial" w:hAnsi="Arial" w:cs="Arial"/>
          <w:sz w:val="22"/>
          <w:szCs w:val="22"/>
          <w:lang w:val="en-AU"/>
        </w:rPr>
      </w:pPr>
      <w:r w:rsidRPr="00CE7A5C">
        <w:rPr>
          <w:rFonts w:ascii="Arial" w:hAnsi="Arial" w:cs="Arial"/>
          <w:sz w:val="22"/>
          <w:szCs w:val="22"/>
          <w:lang w:val="en-AU"/>
        </w:rPr>
        <w:t xml:space="preserve">Royal Brisbane and Women’s Hospital </w:t>
      </w:r>
      <w:r w:rsidRPr="00CE7A5C">
        <w:rPr>
          <w:rFonts w:ascii="Arial" w:hAnsi="Arial" w:cs="Arial"/>
          <w:sz w:val="22"/>
          <w:szCs w:val="22"/>
          <w:lang w:val="en-AU"/>
        </w:rPr>
        <w:br/>
        <w:t>The Prince Charles Hospital</w:t>
      </w:r>
      <w:r w:rsidRPr="00CE7A5C">
        <w:rPr>
          <w:rFonts w:ascii="Arial" w:hAnsi="Arial" w:cs="Arial"/>
          <w:sz w:val="22"/>
          <w:szCs w:val="22"/>
          <w:lang w:val="en-AU"/>
        </w:rPr>
        <w:br/>
        <w:t>Princess Alexandra Hospital</w:t>
      </w:r>
      <w:r w:rsidRPr="00CE7A5C">
        <w:rPr>
          <w:rFonts w:ascii="Arial" w:hAnsi="Arial" w:cs="Arial"/>
          <w:sz w:val="22"/>
          <w:szCs w:val="22"/>
          <w:lang w:val="en-AU"/>
        </w:rPr>
        <w:br/>
        <w:t>Queensland Children’s Hospital</w:t>
      </w:r>
    </w:p>
    <w:p w14:paraId="7B2C9A4F" w14:textId="77777777" w:rsidR="00503EEF" w:rsidRPr="00CE7A5C" w:rsidRDefault="00503EEF" w:rsidP="00957901">
      <w:pPr>
        <w:pStyle w:val="Body"/>
        <w:widowControl w:val="0"/>
        <w:spacing w:line="360" w:lineRule="auto"/>
        <w:rPr>
          <w:rFonts w:cs="Arial"/>
          <w:sz w:val="22"/>
          <w:szCs w:val="22"/>
        </w:rPr>
      </w:pPr>
    </w:p>
    <w:p w14:paraId="121544AF" w14:textId="44D389EB"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t>Eligibility criteria</w:t>
      </w:r>
      <w:r w:rsidR="00904968" w:rsidRPr="00CE7A5C">
        <w:rPr>
          <w:rFonts w:cs="Arial"/>
          <w:b/>
          <w:bCs/>
          <w:sz w:val="22"/>
          <w:szCs w:val="22"/>
          <w:lang w:val="en-US"/>
        </w:rPr>
        <w:t xml:space="preserve"> {10}</w:t>
      </w:r>
    </w:p>
    <w:p w14:paraId="0828AF4C" w14:textId="0C1125AE" w:rsidR="00DD32CE" w:rsidRPr="00704335" w:rsidRDefault="00704335" w:rsidP="00957901">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eastAsia="Calibri" w:hAnsi="Arial" w:cs="Arial"/>
          <w:b/>
          <w:iCs/>
          <w:sz w:val="22"/>
          <w:szCs w:val="22"/>
          <w:bdr w:val="none" w:sz="0" w:space="0" w:color="auto"/>
          <w:lang w:val="en-AU"/>
        </w:rPr>
      </w:pPr>
      <w:r w:rsidRPr="00704335">
        <w:rPr>
          <w:rFonts w:ascii="Arial" w:eastAsia="Calibri" w:hAnsi="Arial" w:cs="Arial"/>
          <w:b/>
          <w:iCs/>
          <w:sz w:val="22"/>
          <w:szCs w:val="22"/>
          <w:bdr w:val="none" w:sz="0" w:space="0" w:color="auto"/>
          <w:lang w:val="en-AU"/>
        </w:rPr>
        <w:t>Inclusion criteria:</w:t>
      </w:r>
    </w:p>
    <w:p w14:paraId="1BD99FBF" w14:textId="77777777" w:rsidR="00DD32CE" w:rsidRPr="00CE7A5C" w:rsidRDefault="00DD32CE" w:rsidP="0095790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Age &gt;1month</w:t>
      </w:r>
    </w:p>
    <w:p w14:paraId="06D23184" w14:textId="77777777" w:rsidR="00DD32CE" w:rsidRPr="00CE7A5C" w:rsidRDefault="00DD32CE" w:rsidP="0095790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Admitted to paediatric or adult ICU at one of the participating centres</w:t>
      </w:r>
    </w:p>
    <w:p w14:paraId="48C2413C" w14:textId="261505AD" w:rsidR="00DD32CE" w:rsidRPr="00CE7A5C" w:rsidRDefault="006C01A6" w:rsidP="0095790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Pr>
          <w:rFonts w:ascii="Arial" w:eastAsia="Calibri" w:hAnsi="Arial" w:cs="Arial"/>
          <w:sz w:val="22"/>
          <w:szCs w:val="22"/>
          <w:bdr w:val="none" w:sz="0" w:space="0" w:color="auto"/>
          <w:lang w:val="en-AU"/>
        </w:rPr>
        <w:t>Decision to treat for s</w:t>
      </w:r>
      <w:r w:rsidR="00DD32CE" w:rsidRPr="00CE7A5C">
        <w:rPr>
          <w:rFonts w:ascii="Arial" w:eastAsia="Calibri" w:hAnsi="Arial" w:cs="Arial"/>
          <w:sz w:val="22"/>
          <w:szCs w:val="22"/>
          <w:bdr w:val="none" w:sz="0" w:space="0" w:color="auto"/>
          <w:lang w:val="en-AU"/>
        </w:rPr>
        <w:t xml:space="preserve">uspected sepsis, defined as suspected or proven infection </w:t>
      </w:r>
      <w:r w:rsidR="00B54201">
        <w:rPr>
          <w:rFonts w:ascii="Arial" w:eastAsia="Calibri" w:hAnsi="Arial" w:cs="Arial"/>
          <w:sz w:val="22"/>
          <w:szCs w:val="22"/>
          <w:bdr w:val="none" w:sz="0" w:space="0" w:color="auto"/>
          <w:lang w:val="en-AU"/>
        </w:rPr>
        <w:t>or without confirmed</w:t>
      </w:r>
      <w:r>
        <w:rPr>
          <w:rFonts w:ascii="Arial" w:eastAsia="Calibri" w:hAnsi="Arial" w:cs="Arial"/>
          <w:sz w:val="22"/>
          <w:szCs w:val="22"/>
          <w:bdr w:val="none" w:sz="0" w:space="0" w:color="auto"/>
          <w:lang w:val="en-AU"/>
        </w:rPr>
        <w:t xml:space="preserve"> </w:t>
      </w:r>
      <w:r w:rsidR="00DD32CE" w:rsidRPr="00CE7A5C">
        <w:rPr>
          <w:rFonts w:ascii="Arial" w:eastAsia="Calibri" w:hAnsi="Arial" w:cs="Arial"/>
          <w:sz w:val="22"/>
          <w:szCs w:val="22"/>
          <w:bdr w:val="none" w:sz="0" w:space="0" w:color="auto"/>
          <w:lang w:val="en-AU"/>
        </w:rPr>
        <w:t xml:space="preserve">organ dysfunction. </w:t>
      </w:r>
    </w:p>
    <w:p w14:paraId="5F4D820C" w14:textId="1E037CB4" w:rsidR="00DD32CE" w:rsidRPr="00CE7A5C" w:rsidRDefault="006C01A6" w:rsidP="0095790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Pr>
          <w:rFonts w:ascii="Arial" w:eastAsia="Calibri" w:hAnsi="Arial" w:cs="Arial"/>
          <w:sz w:val="22"/>
          <w:szCs w:val="22"/>
          <w:bdr w:val="none" w:sz="0" w:space="0" w:color="auto"/>
          <w:lang w:val="en-AU"/>
        </w:rPr>
        <w:t>C</w:t>
      </w:r>
      <w:r w:rsidR="00DD32CE" w:rsidRPr="00CE7A5C">
        <w:rPr>
          <w:rFonts w:ascii="Arial" w:eastAsia="Calibri" w:hAnsi="Arial" w:cs="Arial"/>
          <w:sz w:val="22"/>
          <w:szCs w:val="22"/>
          <w:bdr w:val="none" w:sz="0" w:space="0" w:color="auto"/>
          <w:lang w:val="en-AU"/>
        </w:rPr>
        <w:t>ommenced within 24h</w:t>
      </w:r>
      <w:r>
        <w:rPr>
          <w:rFonts w:ascii="Arial" w:eastAsia="Calibri" w:hAnsi="Arial" w:cs="Arial"/>
          <w:sz w:val="22"/>
          <w:szCs w:val="22"/>
          <w:bdr w:val="none" w:sz="0" w:space="0" w:color="auto"/>
          <w:lang w:val="en-AU"/>
        </w:rPr>
        <w:t xml:space="preserve"> </w:t>
      </w:r>
      <w:r w:rsidR="00DD32CE" w:rsidRPr="00CE7A5C">
        <w:rPr>
          <w:rFonts w:ascii="Arial" w:eastAsia="Calibri" w:hAnsi="Arial" w:cs="Arial"/>
          <w:sz w:val="22"/>
          <w:szCs w:val="22"/>
          <w:bdr w:val="none" w:sz="0" w:space="0" w:color="auto"/>
          <w:lang w:val="en-AU"/>
        </w:rPr>
        <w:t>on intravenous broad-spectrum antibiotics</w:t>
      </w:r>
      <w:r w:rsidR="00E55EDB">
        <w:rPr>
          <w:rFonts w:ascii="Arial" w:eastAsia="Calibri" w:hAnsi="Arial" w:cs="Arial"/>
          <w:sz w:val="22"/>
          <w:szCs w:val="22"/>
          <w:bdr w:val="none" w:sz="0" w:space="0" w:color="auto"/>
          <w:lang w:val="en-AU"/>
        </w:rPr>
        <w:t xml:space="preserve">, or within 24h of </w:t>
      </w:r>
      <w:r>
        <w:rPr>
          <w:rFonts w:ascii="Arial" w:eastAsia="Calibri" w:hAnsi="Arial" w:cs="Arial"/>
          <w:sz w:val="22"/>
          <w:szCs w:val="22"/>
          <w:bdr w:val="none" w:sz="0" w:space="0" w:color="auto"/>
          <w:lang w:val="en-AU"/>
        </w:rPr>
        <w:t>a</w:t>
      </w:r>
      <w:r w:rsidR="00E55EDB">
        <w:rPr>
          <w:rFonts w:ascii="Arial" w:eastAsia="Calibri" w:hAnsi="Arial" w:cs="Arial"/>
          <w:sz w:val="22"/>
          <w:szCs w:val="22"/>
          <w:bdr w:val="none" w:sz="0" w:space="0" w:color="auto"/>
          <w:lang w:val="en-AU"/>
        </w:rPr>
        <w:t xml:space="preserve"> change to new antibiotics</w:t>
      </w:r>
      <w:r>
        <w:rPr>
          <w:rFonts w:ascii="Arial" w:eastAsia="Calibri" w:hAnsi="Arial" w:cs="Arial"/>
          <w:sz w:val="22"/>
          <w:szCs w:val="22"/>
          <w:bdr w:val="none" w:sz="0" w:space="0" w:color="auto"/>
          <w:lang w:val="en-AU"/>
        </w:rPr>
        <w:t xml:space="preserve"> </w:t>
      </w:r>
      <w:r w:rsidR="00E55EDB">
        <w:rPr>
          <w:rFonts w:ascii="Arial" w:eastAsia="Calibri" w:hAnsi="Arial" w:cs="Arial"/>
          <w:sz w:val="22"/>
          <w:szCs w:val="22"/>
          <w:bdr w:val="none" w:sz="0" w:space="0" w:color="auto"/>
          <w:lang w:val="en-AU"/>
        </w:rPr>
        <w:t>consistent with treatment for a new episode of suspected sepsis</w:t>
      </w:r>
      <w:r>
        <w:rPr>
          <w:rFonts w:ascii="Arial" w:eastAsia="Calibri" w:hAnsi="Arial" w:cs="Arial"/>
          <w:sz w:val="22"/>
          <w:szCs w:val="22"/>
          <w:bdr w:val="none" w:sz="0" w:space="0" w:color="auto"/>
          <w:lang w:val="en-AU"/>
        </w:rPr>
        <w:t>.</w:t>
      </w:r>
    </w:p>
    <w:p w14:paraId="3B82EBBD" w14:textId="77777777" w:rsidR="00DD32CE" w:rsidRPr="00CE7A5C" w:rsidRDefault="00DD32CE" w:rsidP="0095790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Blood cultures are being obtained or were obtained within the past 12 hours</w:t>
      </w:r>
    </w:p>
    <w:p w14:paraId="289A8249" w14:textId="77777777" w:rsidR="00DD32CE" w:rsidRPr="00CE7A5C" w:rsidRDefault="00DD32CE" w:rsidP="00957901">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eastAsia="Calibri" w:hAnsi="Arial" w:cs="Arial"/>
          <w:b/>
          <w:i/>
          <w:sz w:val="22"/>
          <w:szCs w:val="22"/>
          <w:bdr w:val="none" w:sz="0" w:space="0" w:color="auto"/>
          <w:lang w:val="en-AU"/>
        </w:rPr>
      </w:pPr>
    </w:p>
    <w:p w14:paraId="4A84EF14" w14:textId="78033A1D" w:rsidR="00DD32CE" w:rsidRPr="00704335" w:rsidRDefault="00704335" w:rsidP="00957901">
      <w:pPr>
        <w:spacing w:line="360" w:lineRule="auto"/>
        <w:rPr>
          <w:rFonts w:ascii="Arial" w:eastAsia="Calibri" w:hAnsi="Arial" w:cs="Arial"/>
          <w:b/>
          <w:iCs/>
          <w:sz w:val="22"/>
          <w:szCs w:val="22"/>
          <w:bdr w:val="none" w:sz="0" w:space="0" w:color="auto"/>
          <w:lang w:val="en-AU"/>
        </w:rPr>
      </w:pPr>
      <w:r w:rsidRPr="00704335">
        <w:rPr>
          <w:rFonts w:ascii="Arial" w:eastAsia="Calibri" w:hAnsi="Arial" w:cs="Arial"/>
          <w:b/>
          <w:iCs/>
          <w:sz w:val="22"/>
          <w:szCs w:val="22"/>
          <w:bdr w:val="none" w:sz="0" w:space="0" w:color="auto"/>
          <w:lang w:val="en-AU"/>
        </w:rPr>
        <w:t>Exclusion criteria:</w:t>
      </w:r>
    </w:p>
    <w:p w14:paraId="68D4B3D2" w14:textId="77777777" w:rsidR="00DD32CE" w:rsidRPr="00CE7A5C" w:rsidRDefault="00DD32CE" w:rsidP="009579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Inability to gain informed consent during the study period</w:t>
      </w:r>
    </w:p>
    <w:p w14:paraId="43036C29" w14:textId="77777777" w:rsidR="00DD32CE" w:rsidRPr="00CE7A5C" w:rsidRDefault="00DD32CE" w:rsidP="009579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Neonates</w:t>
      </w:r>
    </w:p>
    <w:p w14:paraId="755937CF" w14:textId="77777777" w:rsidR="00DD32CE" w:rsidRPr="00CE7A5C" w:rsidRDefault="00DD32CE" w:rsidP="009579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Death is likely imminent</w:t>
      </w:r>
    </w:p>
    <w:p w14:paraId="7ABEF502" w14:textId="291FFCFE" w:rsidR="00DD32CE" w:rsidRDefault="00DD32CE" w:rsidP="009579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CE7A5C">
        <w:rPr>
          <w:rFonts w:ascii="Arial" w:eastAsia="Calibri" w:hAnsi="Arial" w:cs="Arial"/>
          <w:sz w:val="22"/>
          <w:szCs w:val="22"/>
          <w:bdr w:val="none" w:sz="0" w:space="0" w:color="auto"/>
          <w:lang w:val="en-AU"/>
        </w:rPr>
        <w:t>Palliative care patient</w:t>
      </w:r>
    </w:p>
    <w:p w14:paraId="334B54D1" w14:textId="77777777" w:rsidR="00B54201" w:rsidRPr="00B54201" w:rsidRDefault="00B54201" w:rsidP="00B542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B54201">
        <w:rPr>
          <w:rFonts w:ascii="Arial" w:eastAsia="Calibri" w:hAnsi="Arial" w:cs="Arial"/>
          <w:sz w:val="22"/>
          <w:szCs w:val="22"/>
          <w:bdr w:val="none" w:sz="0" w:space="0" w:color="auto"/>
          <w:lang w:val="en-AU"/>
        </w:rPr>
        <w:t>Renal replacement therapy</w:t>
      </w:r>
    </w:p>
    <w:p w14:paraId="4B397836" w14:textId="0F488231" w:rsidR="00B54201" w:rsidRPr="00B54201" w:rsidRDefault="00B54201" w:rsidP="00B542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Arial" w:eastAsia="Calibri" w:hAnsi="Arial" w:cs="Arial"/>
          <w:sz w:val="22"/>
          <w:szCs w:val="22"/>
          <w:bdr w:val="none" w:sz="0" w:space="0" w:color="auto"/>
          <w:lang w:val="en-AU"/>
        </w:rPr>
      </w:pPr>
      <w:r w:rsidRPr="00B54201">
        <w:rPr>
          <w:rFonts w:ascii="Arial" w:eastAsia="Calibri" w:hAnsi="Arial" w:cs="Arial"/>
          <w:sz w:val="22"/>
          <w:szCs w:val="22"/>
          <w:bdr w:val="none" w:sz="0" w:space="0" w:color="auto"/>
          <w:lang w:val="en-AU"/>
        </w:rPr>
        <w:t>Extra-corporeal membrane oxygenation</w:t>
      </w:r>
    </w:p>
    <w:p w14:paraId="5E8B5005" w14:textId="77777777" w:rsidR="006D7594" w:rsidRDefault="006D7594">
      <w:pPr>
        <w:rPr>
          <w:rFonts w:ascii="Arial" w:hAnsi="Arial" w:cs="Arial"/>
          <w:b/>
          <w:bCs/>
          <w:color w:val="000000"/>
          <w:sz w:val="22"/>
          <w:szCs w:val="22"/>
          <w:u w:color="000000"/>
        </w:rPr>
      </w:pPr>
      <w:r>
        <w:rPr>
          <w:rFonts w:cs="Arial"/>
          <w:b/>
          <w:bCs/>
          <w:sz w:val="22"/>
          <w:szCs w:val="22"/>
        </w:rPr>
        <w:br w:type="page"/>
      </w:r>
    </w:p>
    <w:p w14:paraId="62316CDC" w14:textId="0967649B"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lastRenderedPageBreak/>
        <w:t>Who will take informed consent?</w:t>
      </w:r>
      <w:r w:rsidR="000F24F5" w:rsidRPr="00CE7A5C">
        <w:rPr>
          <w:rFonts w:cs="Arial"/>
          <w:b/>
          <w:bCs/>
          <w:sz w:val="22"/>
          <w:szCs w:val="22"/>
          <w:lang w:val="en-US"/>
        </w:rPr>
        <w:t xml:space="preserve"> {26a}</w:t>
      </w:r>
    </w:p>
    <w:p w14:paraId="02834E4E" w14:textId="2588357E" w:rsidR="00DD32CE" w:rsidRPr="00CE7A5C" w:rsidRDefault="00DD32CE" w:rsidP="00957901">
      <w:pPr>
        <w:spacing w:line="360" w:lineRule="auto"/>
        <w:rPr>
          <w:rFonts w:ascii="Arial" w:hAnsi="Arial" w:cs="Arial"/>
          <w:sz w:val="22"/>
          <w:szCs w:val="22"/>
          <w:lang w:val="en-AU"/>
        </w:rPr>
      </w:pPr>
      <w:r w:rsidRPr="00CE7A5C">
        <w:rPr>
          <w:rFonts w:ascii="Arial" w:hAnsi="Arial" w:cs="Arial"/>
          <w:sz w:val="22"/>
          <w:szCs w:val="22"/>
          <w:lang w:val="en-AU"/>
        </w:rPr>
        <w:t xml:space="preserve">Patients and/or carers will be approached by clinical research </w:t>
      </w:r>
      <w:r w:rsidR="0099425F">
        <w:rPr>
          <w:rFonts w:ascii="Arial" w:hAnsi="Arial" w:cs="Arial"/>
          <w:sz w:val="22"/>
          <w:szCs w:val="22"/>
          <w:lang w:val="en-AU"/>
        </w:rPr>
        <w:t>staff</w:t>
      </w:r>
      <w:r w:rsidRPr="00CE7A5C">
        <w:rPr>
          <w:rFonts w:ascii="Arial" w:hAnsi="Arial" w:cs="Arial"/>
          <w:sz w:val="22"/>
          <w:szCs w:val="22"/>
          <w:lang w:val="en-AU"/>
        </w:rPr>
        <w:t xml:space="preserve"> at each participating ICU and provided with written information regarding the study. A consent to continue process will be used where prospective recruitment would lead to delays in blood sampling </w:t>
      </w:r>
      <w:r w:rsidR="00503EEF" w:rsidRPr="00CE7A5C">
        <w:rPr>
          <w:rFonts w:ascii="Arial" w:hAnsi="Arial" w:cs="Arial"/>
          <w:sz w:val="22"/>
          <w:szCs w:val="22"/>
          <w:lang w:val="en-AU"/>
        </w:rPr>
        <w:t>and p</w:t>
      </w:r>
      <w:r w:rsidRPr="00CE7A5C">
        <w:rPr>
          <w:rFonts w:ascii="Arial" w:hAnsi="Arial" w:cs="Arial"/>
          <w:sz w:val="22"/>
          <w:szCs w:val="22"/>
          <w:lang w:val="en-AU"/>
        </w:rPr>
        <w:t xml:space="preserve">reclude direct comparison with blood cultures. Carers and competent patients will be provided with the opportunity to revoke their consent and have the research blood samples </w:t>
      </w:r>
      <w:r w:rsidR="00E55EDB">
        <w:rPr>
          <w:rFonts w:ascii="Arial" w:hAnsi="Arial" w:cs="Arial"/>
          <w:sz w:val="22"/>
          <w:szCs w:val="22"/>
          <w:lang w:val="en-AU"/>
        </w:rPr>
        <w:t xml:space="preserve">and data </w:t>
      </w:r>
      <w:r w:rsidRPr="00CE7A5C">
        <w:rPr>
          <w:rFonts w:ascii="Arial" w:hAnsi="Arial" w:cs="Arial"/>
          <w:sz w:val="22"/>
          <w:szCs w:val="22"/>
          <w:lang w:val="en-AU"/>
        </w:rPr>
        <w:t xml:space="preserve">securely disposed </w:t>
      </w:r>
      <w:r w:rsidR="00503EEF" w:rsidRPr="00CE7A5C">
        <w:rPr>
          <w:rFonts w:ascii="Arial" w:hAnsi="Arial" w:cs="Arial"/>
          <w:sz w:val="22"/>
          <w:szCs w:val="22"/>
          <w:lang w:val="en-AU"/>
        </w:rPr>
        <w:t xml:space="preserve">of </w:t>
      </w:r>
      <w:r w:rsidRPr="00CE7A5C">
        <w:rPr>
          <w:rFonts w:ascii="Arial" w:hAnsi="Arial" w:cs="Arial"/>
          <w:sz w:val="22"/>
          <w:szCs w:val="22"/>
          <w:lang w:val="en-AU"/>
        </w:rPr>
        <w:t>prior to analysis.</w:t>
      </w:r>
    </w:p>
    <w:p w14:paraId="68325850" w14:textId="77777777" w:rsidR="00DD32CE" w:rsidRPr="00CE7A5C" w:rsidRDefault="00DD32CE" w:rsidP="00957901">
      <w:pPr>
        <w:pStyle w:val="Body"/>
        <w:widowControl w:val="0"/>
        <w:spacing w:before="120" w:line="360" w:lineRule="auto"/>
        <w:rPr>
          <w:rFonts w:cs="Arial"/>
          <w:sz w:val="22"/>
          <w:szCs w:val="22"/>
        </w:rPr>
      </w:pPr>
    </w:p>
    <w:p w14:paraId="72711FDA" w14:textId="0C01BF25" w:rsidR="004C3232" w:rsidRPr="00CE7A5C" w:rsidRDefault="00B727C2" w:rsidP="00957901">
      <w:pPr>
        <w:pStyle w:val="Body"/>
        <w:widowControl w:val="0"/>
        <w:spacing w:before="120" w:line="360" w:lineRule="auto"/>
        <w:rPr>
          <w:rFonts w:cs="Arial"/>
          <w:b/>
          <w:bCs/>
          <w:sz w:val="22"/>
          <w:szCs w:val="22"/>
        </w:rPr>
      </w:pPr>
      <w:r w:rsidRPr="00CE7A5C">
        <w:rPr>
          <w:rFonts w:cs="Arial"/>
          <w:b/>
          <w:bCs/>
          <w:sz w:val="22"/>
          <w:szCs w:val="22"/>
          <w:lang w:val="en-US"/>
        </w:rPr>
        <w:t>Additional consent provisions for collection and use of participant data and biological specimens</w:t>
      </w:r>
      <w:r w:rsidR="00904968" w:rsidRPr="00CE7A5C">
        <w:rPr>
          <w:rFonts w:cs="Arial"/>
          <w:b/>
          <w:bCs/>
          <w:sz w:val="22"/>
          <w:szCs w:val="22"/>
          <w:lang w:val="en-US"/>
        </w:rPr>
        <w:t xml:space="preserve"> {26b}</w:t>
      </w:r>
    </w:p>
    <w:p w14:paraId="3DA7C065" w14:textId="663E4C06" w:rsidR="004C3232" w:rsidRPr="00CE7A5C" w:rsidRDefault="00503EEF" w:rsidP="00957901">
      <w:pPr>
        <w:pStyle w:val="Body"/>
        <w:widowControl w:val="0"/>
        <w:spacing w:line="360" w:lineRule="auto"/>
        <w:rPr>
          <w:rFonts w:cs="Arial"/>
          <w:bCs/>
          <w:sz w:val="22"/>
          <w:szCs w:val="22"/>
        </w:rPr>
      </w:pPr>
      <w:r w:rsidRPr="00CE7A5C">
        <w:rPr>
          <w:rFonts w:cs="Arial"/>
          <w:bCs/>
          <w:sz w:val="22"/>
          <w:szCs w:val="22"/>
        </w:rPr>
        <w:t>Eligible patients and their carers will be approached to contribute residual blood samples for the evaluation of novel, rapid sepsis diagnostics (commercial and research, culture-dependent and culture-independent).</w:t>
      </w:r>
    </w:p>
    <w:p w14:paraId="47B622EA" w14:textId="77777777" w:rsidR="00503EEF" w:rsidRPr="00CE7A5C" w:rsidRDefault="00503EEF" w:rsidP="00957901">
      <w:pPr>
        <w:pStyle w:val="Body"/>
        <w:widowControl w:val="0"/>
        <w:spacing w:line="360" w:lineRule="auto"/>
        <w:rPr>
          <w:rFonts w:cs="Arial"/>
          <w:bCs/>
          <w:sz w:val="22"/>
          <w:szCs w:val="22"/>
        </w:rPr>
      </w:pPr>
    </w:p>
    <w:p w14:paraId="1B7492BD" w14:textId="77777777" w:rsidR="004C3232" w:rsidRPr="00CE7A5C" w:rsidRDefault="00B727C2" w:rsidP="00957901">
      <w:pPr>
        <w:pStyle w:val="Body"/>
        <w:widowControl w:val="0"/>
        <w:spacing w:line="360" w:lineRule="auto"/>
        <w:rPr>
          <w:rFonts w:cs="Arial"/>
          <w:b/>
          <w:bCs/>
          <w:sz w:val="22"/>
          <w:szCs w:val="22"/>
        </w:rPr>
      </w:pPr>
      <w:r w:rsidRPr="00753DCD">
        <w:rPr>
          <w:rFonts w:cs="Arial"/>
          <w:b/>
          <w:bCs/>
          <w:sz w:val="22"/>
          <w:szCs w:val="22"/>
        </w:rPr>
        <w:t>Interventions</w:t>
      </w:r>
    </w:p>
    <w:p w14:paraId="622E1C46" w14:textId="5FAB6E6C"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t>Explanation for the choice of comparators</w:t>
      </w:r>
      <w:r w:rsidR="00904968" w:rsidRPr="00CE7A5C">
        <w:rPr>
          <w:rFonts w:cs="Arial"/>
          <w:b/>
          <w:bCs/>
          <w:sz w:val="22"/>
          <w:szCs w:val="22"/>
          <w:lang w:val="en-US"/>
        </w:rPr>
        <w:t xml:space="preserve"> {6b}</w:t>
      </w:r>
    </w:p>
    <w:p w14:paraId="30001785" w14:textId="63F9C91D" w:rsidR="00E55EDB" w:rsidRDefault="00503EEF" w:rsidP="00957901">
      <w:pPr>
        <w:pStyle w:val="Body"/>
        <w:widowControl w:val="0"/>
        <w:spacing w:line="360" w:lineRule="auto"/>
        <w:rPr>
          <w:rFonts w:cs="Arial"/>
          <w:sz w:val="22"/>
          <w:szCs w:val="22"/>
        </w:rPr>
      </w:pPr>
      <w:r w:rsidRPr="00CE7A5C">
        <w:rPr>
          <w:rFonts w:cs="Arial"/>
          <w:sz w:val="22"/>
          <w:szCs w:val="22"/>
        </w:rPr>
        <w:t>Diagnosti</w:t>
      </w:r>
      <w:r w:rsidR="00941B2B" w:rsidRPr="00CE7A5C">
        <w:rPr>
          <w:rFonts w:cs="Arial"/>
          <w:sz w:val="22"/>
          <w:szCs w:val="22"/>
        </w:rPr>
        <w:t xml:space="preserve">c accuracy of </w:t>
      </w:r>
      <w:proofErr w:type="spellStart"/>
      <w:r w:rsidR="00C70998">
        <w:rPr>
          <w:rFonts w:cs="Arial"/>
          <w:sz w:val="22"/>
          <w:szCs w:val="22"/>
        </w:rPr>
        <w:t>MinION</w:t>
      </w:r>
      <w:proofErr w:type="spellEnd"/>
      <w:r w:rsidR="00C70998">
        <w:rPr>
          <w:rFonts w:cs="Arial"/>
          <w:sz w:val="22"/>
          <w:szCs w:val="22"/>
        </w:rPr>
        <w:t xml:space="preserve"> </w:t>
      </w:r>
      <w:r w:rsidR="00941B2B" w:rsidRPr="00CE7A5C">
        <w:rPr>
          <w:rFonts w:cs="Arial"/>
          <w:sz w:val="22"/>
          <w:szCs w:val="22"/>
        </w:rPr>
        <w:t xml:space="preserve">nanopore pathogen </w:t>
      </w:r>
      <w:r w:rsidRPr="00CE7A5C">
        <w:rPr>
          <w:rFonts w:cs="Arial"/>
          <w:sz w:val="22"/>
          <w:szCs w:val="22"/>
        </w:rPr>
        <w:t>sequencing will be compared with conventional blood cultures and antimicrobial susceptibility</w:t>
      </w:r>
      <w:r w:rsidR="009D3669">
        <w:rPr>
          <w:rFonts w:cs="Arial"/>
          <w:sz w:val="22"/>
          <w:szCs w:val="22"/>
        </w:rPr>
        <w:t xml:space="preserve"> testing</w:t>
      </w:r>
      <w:r w:rsidRPr="00CE7A5C">
        <w:rPr>
          <w:rFonts w:cs="Arial"/>
          <w:sz w:val="22"/>
          <w:szCs w:val="22"/>
        </w:rPr>
        <w:t xml:space="preserve">. </w:t>
      </w:r>
      <w:r w:rsidR="00E55EDB" w:rsidRPr="00CE7A5C">
        <w:rPr>
          <w:rFonts w:cs="Arial"/>
          <w:sz w:val="22"/>
          <w:szCs w:val="22"/>
        </w:rPr>
        <w:t>Acknowledging the limited yield of blood cultures in sepsis</w:t>
      </w:r>
      <w:r w:rsidR="00E55EDB">
        <w:rPr>
          <w:rFonts w:cs="Arial"/>
          <w:sz w:val="22"/>
          <w:szCs w:val="22"/>
        </w:rPr>
        <w:t xml:space="preserve">, a composite reference standard for sepsis will be used. This composite reference standard will incorporate blood culture results, other significant microbiological samples </w:t>
      </w:r>
      <w:r w:rsidR="002D1569">
        <w:rPr>
          <w:rFonts w:cs="Arial"/>
          <w:sz w:val="22"/>
          <w:szCs w:val="22"/>
        </w:rPr>
        <w:t>taken at the discretion of the clinical team and clinical and epidemiological features. These composite features will be interpreted independently by two experts in microbiology and infectious disease. In the event of discordance a third expert opinion will adjudicate.</w:t>
      </w:r>
    </w:p>
    <w:p w14:paraId="6256B961" w14:textId="77777777" w:rsidR="002D1569" w:rsidRDefault="002D1569" w:rsidP="00957901">
      <w:pPr>
        <w:pStyle w:val="Body"/>
        <w:widowControl w:val="0"/>
        <w:spacing w:line="360" w:lineRule="auto"/>
        <w:rPr>
          <w:rFonts w:cs="Arial"/>
          <w:sz w:val="22"/>
          <w:szCs w:val="22"/>
        </w:rPr>
      </w:pPr>
    </w:p>
    <w:p w14:paraId="503A7A70" w14:textId="1C2ABB10" w:rsidR="00503EEF" w:rsidRPr="00CE7A5C" w:rsidRDefault="004738AA" w:rsidP="00957901">
      <w:pPr>
        <w:pStyle w:val="Body"/>
        <w:widowControl w:val="0"/>
        <w:spacing w:line="360" w:lineRule="auto"/>
        <w:rPr>
          <w:rFonts w:cs="Arial"/>
          <w:sz w:val="22"/>
          <w:szCs w:val="22"/>
        </w:rPr>
      </w:pPr>
      <w:r>
        <w:rPr>
          <w:rFonts w:cs="Arial"/>
          <w:sz w:val="22"/>
          <w:szCs w:val="22"/>
        </w:rPr>
        <w:t xml:space="preserve">Complete reference genomes for </w:t>
      </w:r>
      <w:r w:rsidR="00BD4CDA">
        <w:rPr>
          <w:rFonts w:cs="Arial"/>
          <w:sz w:val="22"/>
          <w:szCs w:val="22"/>
        </w:rPr>
        <w:t>matching</w:t>
      </w:r>
      <w:r>
        <w:rPr>
          <w:rFonts w:cs="Arial"/>
          <w:sz w:val="22"/>
          <w:szCs w:val="22"/>
        </w:rPr>
        <w:t xml:space="preserve"> pathogen isolates will be analysed to evaluate </w:t>
      </w:r>
      <w:r w:rsidR="00BD5485">
        <w:rPr>
          <w:rFonts w:cs="Arial"/>
          <w:sz w:val="22"/>
          <w:szCs w:val="22"/>
        </w:rPr>
        <w:t xml:space="preserve">the </w:t>
      </w:r>
      <w:r>
        <w:rPr>
          <w:rFonts w:cs="Arial"/>
          <w:sz w:val="22"/>
          <w:szCs w:val="22"/>
        </w:rPr>
        <w:t>difference</w:t>
      </w:r>
      <w:r w:rsidR="00BD5485">
        <w:rPr>
          <w:rFonts w:cs="Arial"/>
          <w:sz w:val="22"/>
          <w:szCs w:val="22"/>
        </w:rPr>
        <w:t>s</w:t>
      </w:r>
      <w:r>
        <w:rPr>
          <w:rFonts w:cs="Arial"/>
          <w:sz w:val="22"/>
          <w:szCs w:val="22"/>
        </w:rPr>
        <w:t xml:space="preserve"> between </w:t>
      </w:r>
      <w:r w:rsidR="00BD4CDA">
        <w:rPr>
          <w:rFonts w:cs="Arial"/>
          <w:sz w:val="22"/>
          <w:szCs w:val="22"/>
        </w:rPr>
        <w:t xml:space="preserve">nanopore </w:t>
      </w:r>
      <w:r w:rsidR="00D8346D">
        <w:rPr>
          <w:rFonts w:cs="Arial"/>
          <w:sz w:val="22"/>
          <w:szCs w:val="22"/>
        </w:rPr>
        <w:t>direct sequencing and</w:t>
      </w:r>
      <w:r w:rsidR="002D1569">
        <w:rPr>
          <w:rFonts w:cs="Arial"/>
          <w:sz w:val="22"/>
          <w:szCs w:val="22"/>
        </w:rPr>
        <w:t xml:space="preserve"> cultured pathogens sequenced conventionally</w:t>
      </w:r>
      <w:r w:rsidRPr="00CE7A5C">
        <w:rPr>
          <w:rFonts w:cs="Arial"/>
          <w:sz w:val="22"/>
          <w:szCs w:val="22"/>
        </w:rPr>
        <w:t>.</w:t>
      </w:r>
    </w:p>
    <w:p w14:paraId="5A63A31A" w14:textId="77777777" w:rsidR="00C70998" w:rsidRPr="00CE7A5C" w:rsidRDefault="00C70998" w:rsidP="00957901">
      <w:pPr>
        <w:pStyle w:val="Body"/>
        <w:widowControl w:val="0"/>
        <w:spacing w:line="360" w:lineRule="auto"/>
        <w:rPr>
          <w:rFonts w:cs="Arial"/>
          <w:sz w:val="22"/>
          <w:szCs w:val="22"/>
        </w:rPr>
      </w:pPr>
    </w:p>
    <w:p w14:paraId="07AE836C" w14:textId="72E1532B" w:rsidR="008472E7" w:rsidRDefault="00B727C2" w:rsidP="00C70998">
      <w:pPr>
        <w:pStyle w:val="Body"/>
        <w:widowControl w:val="0"/>
        <w:spacing w:line="360" w:lineRule="auto"/>
        <w:rPr>
          <w:rFonts w:cs="Arial"/>
          <w:sz w:val="22"/>
          <w:szCs w:val="22"/>
          <w:lang w:val="en-AU"/>
        </w:rPr>
      </w:pPr>
      <w:r w:rsidRPr="00CE7A5C">
        <w:rPr>
          <w:rFonts w:cs="Arial"/>
          <w:b/>
          <w:bCs/>
          <w:sz w:val="22"/>
          <w:szCs w:val="22"/>
          <w:lang w:val="en-US"/>
        </w:rPr>
        <w:t xml:space="preserve">Intervention description </w:t>
      </w:r>
      <w:r w:rsidR="00904968" w:rsidRPr="00CE7A5C">
        <w:rPr>
          <w:rFonts w:cs="Arial"/>
          <w:b/>
          <w:bCs/>
          <w:sz w:val="22"/>
          <w:szCs w:val="22"/>
          <w:lang w:val="en-US"/>
        </w:rPr>
        <w:t>{11a}</w:t>
      </w:r>
      <w:r w:rsidRPr="00CE7A5C">
        <w:rPr>
          <w:rFonts w:cs="Arial"/>
          <w:sz w:val="22"/>
          <w:szCs w:val="22"/>
        </w:rPr>
        <w:br/>
      </w:r>
      <w:r w:rsidR="008472E7">
        <w:rPr>
          <w:rFonts w:cs="Arial"/>
          <w:sz w:val="22"/>
          <w:szCs w:val="22"/>
          <w:lang w:val="en-AU"/>
        </w:rPr>
        <w:t>Phase 1:</w:t>
      </w:r>
    </w:p>
    <w:p w14:paraId="4087EA88" w14:textId="30AA4DC6" w:rsidR="008472E7" w:rsidRDefault="00941B2B" w:rsidP="00C70998">
      <w:pPr>
        <w:pStyle w:val="Body"/>
        <w:widowControl w:val="0"/>
        <w:spacing w:line="360" w:lineRule="auto"/>
        <w:rPr>
          <w:rFonts w:cs="Arial"/>
          <w:sz w:val="22"/>
          <w:szCs w:val="22"/>
          <w:lang w:val="en-AU"/>
        </w:rPr>
      </w:pPr>
      <w:r w:rsidRPr="00CE7A5C">
        <w:rPr>
          <w:rFonts w:cs="Arial"/>
          <w:sz w:val="22"/>
          <w:szCs w:val="22"/>
          <w:lang w:val="en-AU"/>
        </w:rPr>
        <w:t xml:space="preserve">In an initial </w:t>
      </w:r>
      <w:r w:rsidR="008F5DE7">
        <w:rPr>
          <w:rFonts w:cs="Arial"/>
          <w:sz w:val="22"/>
          <w:szCs w:val="22"/>
          <w:lang w:val="en-AU"/>
        </w:rPr>
        <w:t xml:space="preserve">observational </w:t>
      </w:r>
      <w:r w:rsidRPr="00CE7A5C">
        <w:rPr>
          <w:rFonts w:cs="Arial"/>
          <w:sz w:val="22"/>
          <w:szCs w:val="22"/>
          <w:lang w:val="en-AU"/>
        </w:rPr>
        <w:t xml:space="preserve">phase of the study, participants will be recruited to </w:t>
      </w:r>
      <w:r w:rsidR="002D1569">
        <w:rPr>
          <w:rFonts w:cs="Arial"/>
          <w:sz w:val="22"/>
          <w:szCs w:val="22"/>
          <w:lang w:val="en-AU"/>
        </w:rPr>
        <w:t xml:space="preserve">a </w:t>
      </w:r>
      <w:r w:rsidRPr="00CE7A5C">
        <w:rPr>
          <w:rFonts w:cs="Arial"/>
          <w:sz w:val="22"/>
          <w:szCs w:val="22"/>
          <w:lang w:val="en-AU"/>
        </w:rPr>
        <w:t xml:space="preserve">diagnostic accuracy study of </w:t>
      </w:r>
      <w:proofErr w:type="spellStart"/>
      <w:r w:rsidR="002D1569">
        <w:rPr>
          <w:rFonts w:cs="Arial"/>
          <w:sz w:val="22"/>
          <w:szCs w:val="22"/>
          <w:lang w:val="en-AU"/>
        </w:rPr>
        <w:t>MinION</w:t>
      </w:r>
      <w:proofErr w:type="spellEnd"/>
      <w:r w:rsidR="002D1569">
        <w:rPr>
          <w:rFonts w:cs="Arial"/>
          <w:sz w:val="22"/>
          <w:szCs w:val="22"/>
          <w:lang w:val="en-AU"/>
        </w:rPr>
        <w:t xml:space="preserve"> </w:t>
      </w:r>
      <w:r w:rsidRPr="00CE7A5C">
        <w:rPr>
          <w:rFonts w:cs="Arial"/>
          <w:sz w:val="22"/>
          <w:szCs w:val="22"/>
          <w:lang w:val="en-AU"/>
        </w:rPr>
        <w:t xml:space="preserve">nanopore </w:t>
      </w:r>
      <w:r w:rsidR="002D1569">
        <w:rPr>
          <w:rFonts w:cs="Arial"/>
          <w:sz w:val="22"/>
          <w:szCs w:val="22"/>
          <w:lang w:val="en-AU"/>
        </w:rPr>
        <w:t xml:space="preserve">pathogen </w:t>
      </w:r>
      <w:r w:rsidRPr="00CE7A5C">
        <w:rPr>
          <w:rFonts w:cs="Arial"/>
          <w:sz w:val="22"/>
          <w:szCs w:val="22"/>
          <w:lang w:val="en-AU"/>
        </w:rPr>
        <w:t xml:space="preserve">sequencing. </w:t>
      </w:r>
      <w:r w:rsidR="008472E7">
        <w:rPr>
          <w:rFonts w:cs="Arial"/>
          <w:sz w:val="22"/>
          <w:szCs w:val="22"/>
          <w:lang w:val="en-AU"/>
        </w:rPr>
        <w:t>The sample size for this phase of the study is 50 patients</w:t>
      </w:r>
      <w:r w:rsidR="006A2021">
        <w:rPr>
          <w:rFonts w:cs="Arial"/>
          <w:sz w:val="22"/>
          <w:szCs w:val="22"/>
          <w:lang w:val="en-AU"/>
        </w:rPr>
        <w:t xml:space="preserve"> with blood culture-confirmed sepsis</w:t>
      </w:r>
      <w:r w:rsidR="002D1569">
        <w:rPr>
          <w:rFonts w:cs="Arial"/>
          <w:sz w:val="22"/>
          <w:szCs w:val="22"/>
          <w:lang w:val="en-AU"/>
        </w:rPr>
        <w:t xml:space="preserve"> admitted to ICU</w:t>
      </w:r>
      <w:r w:rsidR="008472E7">
        <w:rPr>
          <w:rFonts w:cs="Arial"/>
          <w:sz w:val="22"/>
          <w:szCs w:val="22"/>
          <w:lang w:val="en-AU"/>
        </w:rPr>
        <w:t xml:space="preserve">. </w:t>
      </w:r>
    </w:p>
    <w:p w14:paraId="2844BF26" w14:textId="77777777" w:rsidR="008472E7" w:rsidRDefault="008472E7" w:rsidP="00C70998">
      <w:pPr>
        <w:pStyle w:val="Body"/>
        <w:widowControl w:val="0"/>
        <w:spacing w:line="360" w:lineRule="auto"/>
        <w:rPr>
          <w:rFonts w:cs="Arial"/>
          <w:sz w:val="22"/>
          <w:szCs w:val="22"/>
          <w:lang w:val="en-AU"/>
        </w:rPr>
      </w:pPr>
    </w:p>
    <w:p w14:paraId="17027C9F" w14:textId="77777777" w:rsidR="002D1569" w:rsidRDefault="002D1569">
      <w:pPr>
        <w:rPr>
          <w:rFonts w:ascii="Arial" w:hAnsi="Arial" w:cs="Arial"/>
          <w:color w:val="000000"/>
          <w:sz w:val="22"/>
          <w:szCs w:val="22"/>
          <w:u w:color="000000"/>
          <w:lang w:val="en-AU"/>
        </w:rPr>
      </w:pPr>
      <w:r>
        <w:rPr>
          <w:rFonts w:cs="Arial"/>
          <w:sz w:val="22"/>
          <w:szCs w:val="22"/>
          <w:lang w:val="en-AU"/>
        </w:rPr>
        <w:br w:type="page"/>
      </w:r>
    </w:p>
    <w:p w14:paraId="04FFFB34" w14:textId="05DD5495" w:rsidR="008472E7" w:rsidRDefault="008472E7" w:rsidP="00C70998">
      <w:pPr>
        <w:pStyle w:val="Body"/>
        <w:widowControl w:val="0"/>
        <w:spacing w:line="360" w:lineRule="auto"/>
        <w:rPr>
          <w:rFonts w:cs="Arial"/>
          <w:sz w:val="22"/>
          <w:szCs w:val="22"/>
          <w:lang w:val="en-AU"/>
        </w:rPr>
      </w:pPr>
      <w:r>
        <w:rPr>
          <w:rFonts w:cs="Arial"/>
          <w:sz w:val="22"/>
          <w:szCs w:val="22"/>
          <w:lang w:val="en-AU"/>
        </w:rPr>
        <w:lastRenderedPageBreak/>
        <w:t>Phase 2:</w:t>
      </w:r>
    </w:p>
    <w:p w14:paraId="02F78DB9" w14:textId="11808BCD" w:rsidR="00941B2B" w:rsidRPr="00CE7A5C" w:rsidRDefault="002D1569" w:rsidP="008F5DE7">
      <w:pPr>
        <w:pStyle w:val="Body"/>
        <w:widowControl w:val="0"/>
        <w:spacing w:line="360" w:lineRule="auto"/>
        <w:rPr>
          <w:rFonts w:cs="Arial"/>
          <w:sz w:val="22"/>
          <w:szCs w:val="22"/>
          <w:lang w:val="en-AU"/>
        </w:rPr>
      </w:pPr>
      <w:r>
        <w:rPr>
          <w:rFonts w:cs="Arial"/>
          <w:sz w:val="22"/>
          <w:szCs w:val="22"/>
          <w:lang w:val="en-AU"/>
        </w:rPr>
        <w:t>In</w:t>
      </w:r>
      <w:r w:rsidR="008F5DE7">
        <w:rPr>
          <w:rFonts w:cs="Arial"/>
          <w:sz w:val="22"/>
          <w:szCs w:val="22"/>
          <w:lang w:val="en-AU"/>
        </w:rPr>
        <w:t xml:space="preserve"> Phase 2</w:t>
      </w:r>
      <w:r>
        <w:rPr>
          <w:rFonts w:cs="Arial"/>
          <w:sz w:val="22"/>
          <w:szCs w:val="22"/>
          <w:lang w:val="en-AU"/>
        </w:rPr>
        <w:t>,</w:t>
      </w:r>
      <w:r w:rsidR="008F5DE7">
        <w:rPr>
          <w:rFonts w:cs="Arial"/>
          <w:sz w:val="22"/>
          <w:szCs w:val="22"/>
          <w:lang w:val="en-AU"/>
        </w:rPr>
        <w:t xml:space="preserve"> consecutive patients with suspected sepsis admitted to ICU will </w:t>
      </w:r>
      <w:r>
        <w:rPr>
          <w:rFonts w:cs="Arial"/>
          <w:sz w:val="22"/>
          <w:szCs w:val="22"/>
          <w:lang w:val="en-AU"/>
        </w:rPr>
        <w:t xml:space="preserve">undergo </w:t>
      </w:r>
      <w:proofErr w:type="spellStart"/>
      <w:r>
        <w:rPr>
          <w:rFonts w:cs="Arial"/>
          <w:sz w:val="22"/>
          <w:szCs w:val="22"/>
          <w:lang w:val="en-AU"/>
        </w:rPr>
        <w:t>MinION</w:t>
      </w:r>
      <w:proofErr w:type="spellEnd"/>
      <w:r>
        <w:rPr>
          <w:rFonts w:cs="Arial"/>
          <w:sz w:val="22"/>
          <w:szCs w:val="22"/>
          <w:lang w:val="en-AU"/>
        </w:rPr>
        <w:t xml:space="preserve"> </w:t>
      </w:r>
      <w:r w:rsidRPr="00CE7A5C">
        <w:rPr>
          <w:rFonts w:cs="Arial"/>
          <w:sz w:val="22"/>
          <w:szCs w:val="22"/>
          <w:lang w:val="en-AU"/>
        </w:rPr>
        <w:t xml:space="preserve">nanopore </w:t>
      </w:r>
      <w:r>
        <w:rPr>
          <w:rFonts w:cs="Arial"/>
          <w:sz w:val="22"/>
          <w:szCs w:val="22"/>
          <w:lang w:val="en-AU"/>
        </w:rPr>
        <w:t xml:space="preserve">pathogen </w:t>
      </w:r>
      <w:r w:rsidRPr="00CE7A5C">
        <w:rPr>
          <w:rFonts w:cs="Arial"/>
          <w:sz w:val="22"/>
          <w:szCs w:val="22"/>
          <w:lang w:val="en-AU"/>
        </w:rPr>
        <w:t>sequencing</w:t>
      </w:r>
      <w:r>
        <w:rPr>
          <w:rFonts w:cs="Arial"/>
          <w:sz w:val="22"/>
          <w:szCs w:val="22"/>
          <w:lang w:val="en-AU"/>
        </w:rPr>
        <w:t xml:space="preserve"> integrated with </w:t>
      </w:r>
      <w:r w:rsidR="008F5DE7">
        <w:rPr>
          <w:rFonts w:cs="Arial"/>
          <w:sz w:val="22"/>
          <w:szCs w:val="22"/>
          <w:lang w:val="en-AU"/>
        </w:rPr>
        <w:t xml:space="preserve">personalised </w:t>
      </w:r>
      <w:r w:rsidR="00941B2B" w:rsidRPr="00CE7A5C">
        <w:rPr>
          <w:rFonts w:cs="Arial"/>
          <w:sz w:val="22"/>
          <w:szCs w:val="22"/>
          <w:lang w:val="en-AU"/>
        </w:rPr>
        <w:t>antibiotic therapy using a combination of Bayesian dosing software (ID-ODS</w:t>
      </w:r>
      <w:r w:rsidR="00941B2B" w:rsidRPr="00CE7A5C">
        <w:rPr>
          <w:rFonts w:cs="Arial"/>
          <w:sz w:val="22"/>
          <w:szCs w:val="22"/>
          <w:vertAlign w:val="superscript"/>
          <w:lang w:val="en-AU"/>
        </w:rPr>
        <w:t>TM</w:t>
      </w:r>
      <w:r w:rsidR="00941B2B" w:rsidRPr="00CE7A5C">
        <w:rPr>
          <w:rFonts w:cs="Arial"/>
          <w:sz w:val="22"/>
          <w:szCs w:val="22"/>
          <w:lang w:val="en-AU"/>
        </w:rPr>
        <w:t xml:space="preserve">) and measured antibiotic plasma concentrations. A senior ICU pharmacist/clinician at each site will lead this software-guided </w:t>
      </w:r>
      <w:r w:rsidR="008F5DE7">
        <w:rPr>
          <w:rFonts w:cs="Arial"/>
          <w:sz w:val="22"/>
          <w:szCs w:val="22"/>
          <w:lang w:val="en-AU"/>
        </w:rPr>
        <w:t>intervention</w:t>
      </w:r>
      <w:r w:rsidR="00941B2B" w:rsidRPr="00CE7A5C">
        <w:rPr>
          <w:rFonts w:cs="Arial"/>
          <w:sz w:val="22"/>
          <w:szCs w:val="22"/>
          <w:lang w:val="en-AU"/>
        </w:rPr>
        <w:t xml:space="preserve"> </w:t>
      </w:r>
      <w:r>
        <w:rPr>
          <w:rFonts w:cs="Arial"/>
          <w:sz w:val="22"/>
          <w:szCs w:val="22"/>
          <w:lang w:val="en-AU"/>
        </w:rPr>
        <w:t xml:space="preserve">of </w:t>
      </w:r>
      <w:r w:rsidR="00941B2B" w:rsidRPr="00CE7A5C">
        <w:rPr>
          <w:rFonts w:cs="Arial"/>
          <w:sz w:val="22"/>
          <w:szCs w:val="22"/>
          <w:lang w:val="en-AU"/>
        </w:rPr>
        <w:t>antimicrobial dose optimisation</w:t>
      </w:r>
      <w:r>
        <w:rPr>
          <w:rFonts w:cs="Arial"/>
          <w:sz w:val="22"/>
          <w:szCs w:val="22"/>
          <w:lang w:val="en-AU"/>
        </w:rPr>
        <w:t>. A</w:t>
      </w:r>
      <w:r w:rsidR="00941B2B" w:rsidRPr="00CE7A5C">
        <w:rPr>
          <w:rFonts w:cs="Arial"/>
          <w:sz w:val="22"/>
          <w:szCs w:val="22"/>
          <w:lang w:val="en-AU"/>
        </w:rPr>
        <w:t xml:space="preserve">ll dosing regimens will be checked by both the senior ICU pharmacist and attending ICU consultant prior to prescription. </w:t>
      </w:r>
      <w:r w:rsidR="00242769">
        <w:rPr>
          <w:rFonts w:cs="Arial"/>
          <w:sz w:val="22"/>
          <w:szCs w:val="22"/>
          <w:lang w:val="en-AU"/>
        </w:rPr>
        <w:t>The final d</w:t>
      </w:r>
      <w:r w:rsidR="00941B2B" w:rsidRPr="00CE7A5C">
        <w:rPr>
          <w:rFonts w:cs="Arial"/>
          <w:sz w:val="22"/>
          <w:szCs w:val="22"/>
          <w:lang w:val="en-AU"/>
        </w:rPr>
        <w:t xml:space="preserve">ecision regarding the </w:t>
      </w:r>
      <w:r w:rsidR="00242769">
        <w:rPr>
          <w:rFonts w:cs="Arial"/>
          <w:sz w:val="22"/>
          <w:szCs w:val="22"/>
          <w:lang w:val="en-AU"/>
        </w:rPr>
        <w:t xml:space="preserve">use of the optimised </w:t>
      </w:r>
      <w:r w:rsidR="00941B2B" w:rsidRPr="00CE7A5C">
        <w:rPr>
          <w:rFonts w:cs="Arial"/>
          <w:sz w:val="22"/>
          <w:szCs w:val="22"/>
          <w:lang w:val="en-AU"/>
        </w:rPr>
        <w:t>dosing of antibiotics will remain at the discretion of the attending ICU consultant.</w:t>
      </w:r>
    </w:p>
    <w:p w14:paraId="6AFB1749" w14:textId="77777777" w:rsidR="00941B2B" w:rsidRPr="00CE7A5C" w:rsidRDefault="00941B2B" w:rsidP="00957901">
      <w:pPr>
        <w:pStyle w:val="Body"/>
        <w:widowControl w:val="0"/>
        <w:spacing w:line="360" w:lineRule="auto"/>
        <w:rPr>
          <w:rFonts w:cs="Arial"/>
          <w:sz w:val="22"/>
          <w:szCs w:val="22"/>
        </w:rPr>
      </w:pPr>
    </w:p>
    <w:p w14:paraId="47E42A3B" w14:textId="1429349B" w:rsidR="008F5DE7" w:rsidRDefault="008F5DE7" w:rsidP="00957901">
      <w:pPr>
        <w:pStyle w:val="Body"/>
        <w:widowControl w:val="0"/>
        <w:spacing w:line="360" w:lineRule="auto"/>
        <w:rPr>
          <w:rFonts w:cs="Arial"/>
          <w:b/>
          <w:bCs/>
          <w:sz w:val="22"/>
          <w:szCs w:val="22"/>
          <w:lang w:val="en-US"/>
        </w:rPr>
      </w:pPr>
      <w:r>
        <w:rPr>
          <w:rFonts w:cs="Arial"/>
          <w:b/>
          <w:bCs/>
          <w:noProof/>
          <w:sz w:val="22"/>
          <w:szCs w:val="22"/>
          <w:lang w:val="en-AU" w:eastAsia="en-AU"/>
        </w:rPr>
        <w:drawing>
          <wp:inline distT="0" distB="0" distL="0" distR="0" wp14:anchorId="0BD3D576" wp14:editId="1BD2C533">
            <wp:extent cx="6486525"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3BC7B1" w14:textId="373A85C9" w:rsidR="00A60F34" w:rsidRDefault="00FB2B50" w:rsidP="00957901">
      <w:pPr>
        <w:pStyle w:val="Body"/>
        <w:widowControl w:val="0"/>
        <w:spacing w:line="360" w:lineRule="auto"/>
        <w:rPr>
          <w:rFonts w:cs="Arial"/>
          <w:b/>
          <w:bCs/>
          <w:sz w:val="22"/>
          <w:szCs w:val="22"/>
          <w:lang w:val="en-US"/>
        </w:rPr>
      </w:pPr>
      <w:r>
        <w:rPr>
          <w:rFonts w:cs="Arial"/>
          <w:b/>
          <w:bCs/>
          <w:sz w:val="22"/>
          <w:szCs w:val="22"/>
          <w:lang w:val="en-US"/>
        </w:rPr>
        <w:t>Figure 1: Study flow diagram</w:t>
      </w:r>
    </w:p>
    <w:p w14:paraId="7CA572BC" w14:textId="77777777" w:rsidR="002D1569" w:rsidRDefault="002D1569" w:rsidP="00957901">
      <w:pPr>
        <w:pStyle w:val="Body"/>
        <w:widowControl w:val="0"/>
        <w:spacing w:line="360" w:lineRule="auto"/>
        <w:rPr>
          <w:rFonts w:cs="Arial"/>
          <w:b/>
          <w:bCs/>
          <w:sz w:val="22"/>
          <w:szCs w:val="22"/>
          <w:lang w:val="en-US"/>
        </w:rPr>
      </w:pPr>
    </w:p>
    <w:p w14:paraId="4160AFFE" w14:textId="1565A370"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t>Criteria for discontinuing or modifying allocated interventions</w:t>
      </w:r>
      <w:r w:rsidR="00272ADF" w:rsidRPr="00CE7A5C">
        <w:rPr>
          <w:rFonts w:cs="Arial"/>
          <w:b/>
          <w:bCs/>
          <w:sz w:val="22"/>
          <w:szCs w:val="22"/>
          <w:lang w:val="en-US"/>
        </w:rPr>
        <w:t xml:space="preserve"> {11b}</w:t>
      </w:r>
    </w:p>
    <w:p w14:paraId="58C8CDD3" w14:textId="05432E6B" w:rsidR="00941B2B" w:rsidRPr="00CE7A5C" w:rsidRDefault="00941B2B" w:rsidP="00957901">
      <w:pPr>
        <w:spacing w:line="360" w:lineRule="auto"/>
        <w:rPr>
          <w:rFonts w:ascii="Arial" w:hAnsi="Arial" w:cs="Arial"/>
          <w:sz w:val="22"/>
          <w:szCs w:val="22"/>
          <w:lang w:val="en-AU"/>
        </w:rPr>
      </w:pPr>
      <w:r w:rsidRPr="00CE7A5C">
        <w:rPr>
          <w:rFonts w:ascii="Arial" w:hAnsi="Arial" w:cs="Arial"/>
          <w:sz w:val="22"/>
          <w:szCs w:val="22"/>
          <w:lang w:val="en-AU"/>
        </w:rPr>
        <w:t>Software-guided dosing will continue until either: 1) the study antibiotic(s) have been ceased by the treating clinician, 2) the p</w:t>
      </w:r>
      <w:r w:rsidR="005216A3">
        <w:rPr>
          <w:rFonts w:ascii="Arial" w:hAnsi="Arial" w:cs="Arial"/>
          <w:sz w:val="22"/>
          <w:szCs w:val="22"/>
          <w:lang w:val="en-AU"/>
        </w:rPr>
        <w:t xml:space="preserve">atient is discharged from ICU, </w:t>
      </w:r>
      <w:r w:rsidRPr="00CE7A5C">
        <w:rPr>
          <w:rFonts w:ascii="Arial" w:hAnsi="Arial" w:cs="Arial"/>
          <w:sz w:val="22"/>
          <w:szCs w:val="22"/>
          <w:lang w:val="en-AU"/>
        </w:rPr>
        <w:t>3) after 5 days of study antibiotic therapy.  If antibiotic therapy is still required thereafter, dosing will be guided by the treating clinician.</w:t>
      </w:r>
    </w:p>
    <w:p w14:paraId="588B84AE" w14:textId="77777777" w:rsidR="00941B2B" w:rsidRPr="00CE7A5C" w:rsidRDefault="00941B2B" w:rsidP="00957901">
      <w:pPr>
        <w:pStyle w:val="Body"/>
        <w:widowControl w:val="0"/>
        <w:spacing w:line="360" w:lineRule="auto"/>
        <w:rPr>
          <w:rFonts w:cs="Arial"/>
          <w:sz w:val="22"/>
          <w:szCs w:val="22"/>
        </w:rPr>
      </w:pPr>
    </w:p>
    <w:p w14:paraId="5BD68C6C" w14:textId="44EC0553"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t>Strategies to improve adherence to interventions</w:t>
      </w:r>
      <w:r w:rsidR="00272ADF" w:rsidRPr="00CE7A5C">
        <w:rPr>
          <w:rFonts w:cs="Arial"/>
          <w:b/>
          <w:bCs/>
          <w:sz w:val="22"/>
          <w:szCs w:val="22"/>
          <w:lang w:val="en-US"/>
        </w:rPr>
        <w:t xml:space="preserve"> {11c}</w:t>
      </w:r>
    </w:p>
    <w:p w14:paraId="36C5E1E9" w14:textId="4D4EBE3F" w:rsidR="00605722" w:rsidRDefault="00605722" w:rsidP="00957901">
      <w:pPr>
        <w:pStyle w:val="Body"/>
        <w:widowControl w:val="0"/>
        <w:spacing w:line="360" w:lineRule="auto"/>
        <w:rPr>
          <w:rFonts w:cs="Arial"/>
          <w:sz w:val="22"/>
          <w:szCs w:val="22"/>
        </w:rPr>
      </w:pPr>
      <w:r>
        <w:rPr>
          <w:rFonts w:cs="Arial"/>
          <w:sz w:val="22"/>
          <w:szCs w:val="22"/>
        </w:rPr>
        <w:t xml:space="preserve">Adherence to dosing strategies informed by the dosing software will be supported by the use of </w:t>
      </w:r>
      <w:r w:rsidRPr="00CE7A5C">
        <w:rPr>
          <w:rFonts w:cs="Arial"/>
          <w:sz w:val="22"/>
          <w:szCs w:val="22"/>
          <w:lang w:val="en-AU"/>
        </w:rPr>
        <w:t>senior ICU pharmacist</w:t>
      </w:r>
      <w:r>
        <w:rPr>
          <w:rFonts w:cs="Arial"/>
          <w:sz w:val="22"/>
          <w:szCs w:val="22"/>
          <w:lang w:val="en-AU"/>
        </w:rPr>
        <w:t xml:space="preserve">s trained in the use of </w:t>
      </w:r>
      <w:r w:rsidRPr="00CE7A5C">
        <w:rPr>
          <w:rFonts w:cs="Arial"/>
          <w:sz w:val="22"/>
          <w:szCs w:val="22"/>
          <w:lang w:val="en-AU"/>
        </w:rPr>
        <w:t>this software-guided approach to antimicrobial dose optimisation</w:t>
      </w:r>
      <w:r>
        <w:rPr>
          <w:rFonts w:cs="Arial"/>
          <w:sz w:val="22"/>
          <w:szCs w:val="22"/>
          <w:lang w:val="en-AU"/>
        </w:rPr>
        <w:t>. A</w:t>
      </w:r>
      <w:r w:rsidRPr="00CE7A5C">
        <w:rPr>
          <w:rFonts w:cs="Arial"/>
          <w:sz w:val="22"/>
          <w:szCs w:val="22"/>
          <w:lang w:val="en-AU"/>
        </w:rPr>
        <w:t>ll dosing regimens will be checked by both the senior ICU pharmacist and attending ICU consultant prior to prescription</w:t>
      </w:r>
      <w:r>
        <w:rPr>
          <w:rFonts w:cs="Arial"/>
          <w:sz w:val="22"/>
          <w:szCs w:val="22"/>
          <w:lang w:val="en-AU"/>
        </w:rPr>
        <w:t>, to ensure appropriateness and safety.</w:t>
      </w:r>
    </w:p>
    <w:p w14:paraId="772BE531" w14:textId="77777777" w:rsidR="00941B2B" w:rsidRPr="00CE7A5C" w:rsidRDefault="00941B2B" w:rsidP="00957901">
      <w:pPr>
        <w:pStyle w:val="Body"/>
        <w:widowControl w:val="0"/>
        <w:spacing w:line="360" w:lineRule="auto"/>
        <w:rPr>
          <w:rFonts w:cs="Arial"/>
          <w:sz w:val="22"/>
          <w:szCs w:val="22"/>
        </w:rPr>
      </w:pPr>
    </w:p>
    <w:p w14:paraId="3EFEE0A7" w14:textId="4AC0C4E3"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en-US"/>
        </w:rPr>
        <w:lastRenderedPageBreak/>
        <w:t>Relevant concomitant care permitted or prohibited during the trial</w:t>
      </w:r>
      <w:r w:rsidR="00272ADF" w:rsidRPr="00CE7A5C">
        <w:rPr>
          <w:rFonts w:cs="Arial"/>
          <w:b/>
          <w:bCs/>
          <w:sz w:val="22"/>
          <w:szCs w:val="22"/>
          <w:lang w:val="en-US"/>
        </w:rPr>
        <w:t xml:space="preserve"> {11d}</w:t>
      </w:r>
    </w:p>
    <w:p w14:paraId="56B7B1B5" w14:textId="75F1C608" w:rsidR="00941B2B" w:rsidRPr="00CE7A5C" w:rsidRDefault="00941B2B" w:rsidP="00957901">
      <w:pPr>
        <w:pStyle w:val="Body"/>
        <w:widowControl w:val="0"/>
        <w:spacing w:line="360" w:lineRule="auto"/>
        <w:rPr>
          <w:rFonts w:cs="Arial"/>
          <w:sz w:val="22"/>
          <w:szCs w:val="22"/>
        </w:rPr>
      </w:pPr>
      <w:r w:rsidRPr="00CE7A5C">
        <w:rPr>
          <w:rFonts w:cs="Arial"/>
          <w:sz w:val="22"/>
          <w:szCs w:val="22"/>
        </w:rPr>
        <w:t>Not applicable</w:t>
      </w:r>
    </w:p>
    <w:p w14:paraId="269E85A6" w14:textId="77777777" w:rsidR="00941B2B" w:rsidRPr="00CE7A5C" w:rsidRDefault="00941B2B" w:rsidP="00957901">
      <w:pPr>
        <w:pStyle w:val="Body"/>
        <w:widowControl w:val="0"/>
        <w:spacing w:line="360" w:lineRule="auto"/>
        <w:rPr>
          <w:rFonts w:cs="Arial"/>
          <w:sz w:val="22"/>
          <w:szCs w:val="22"/>
        </w:rPr>
      </w:pPr>
    </w:p>
    <w:p w14:paraId="184B4433" w14:textId="2E7A2800" w:rsidR="004C3232" w:rsidRPr="00CE7A5C" w:rsidRDefault="00B727C2" w:rsidP="00957901">
      <w:pPr>
        <w:pStyle w:val="Body"/>
        <w:widowControl w:val="0"/>
        <w:spacing w:before="120" w:line="360" w:lineRule="auto"/>
        <w:rPr>
          <w:rFonts w:cs="Arial"/>
          <w:b/>
          <w:bCs/>
          <w:sz w:val="22"/>
          <w:szCs w:val="22"/>
        </w:rPr>
      </w:pPr>
      <w:r w:rsidRPr="00CE7A5C">
        <w:rPr>
          <w:rFonts w:cs="Arial"/>
          <w:b/>
          <w:bCs/>
          <w:sz w:val="22"/>
          <w:szCs w:val="22"/>
          <w:lang w:val="en-US"/>
        </w:rPr>
        <w:t>Provisions for post-trial care</w:t>
      </w:r>
      <w:r w:rsidR="00272ADF" w:rsidRPr="00CE7A5C">
        <w:rPr>
          <w:rFonts w:cs="Arial"/>
          <w:b/>
          <w:bCs/>
          <w:sz w:val="22"/>
          <w:szCs w:val="22"/>
          <w:lang w:val="en-US"/>
        </w:rPr>
        <w:t xml:space="preserve"> {30}</w:t>
      </w:r>
    </w:p>
    <w:p w14:paraId="4BB449DE" w14:textId="77777777" w:rsidR="00605722" w:rsidRPr="00CE7A5C" w:rsidRDefault="00605722" w:rsidP="00605722">
      <w:pPr>
        <w:pStyle w:val="Body"/>
        <w:widowControl w:val="0"/>
        <w:spacing w:line="360" w:lineRule="auto"/>
        <w:rPr>
          <w:rFonts w:cs="Arial"/>
          <w:sz w:val="22"/>
          <w:szCs w:val="22"/>
        </w:rPr>
      </w:pPr>
      <w:r w:rsidRPr="00CE7A5C">
        <w:rPr>
          <w:rFonts w:cs="Arial"/>
          <w:sz w:val="22"/>
          <w:szCs w:val="22"/>
        </w:rPr>
        <w:t>Not applicable</w:t>
      </w:r>
    </w:p>
    <w:p w14:paraId="1CFE014D" w14:textId="5E82977F" w:rsidR="004C3232" w:rsidRPr="00CE7A5C" w:rsidRDefault="00B727C2" w:rsidP="00957901">
      <w:pPr>
        <w:pStyle w:val="Body"/>
        <w:widowControl w:val="0"/>
        <w:spacing w:line="360" w:lineRule="auto"/>
        <w:rPr>
          <w:rFonts w:cs="Arial"/>
          <w:b/>
          <w:bCs/>
          <w:sz w:val="22"/>
          <w:szCs w:val="22"/>
        </w:rPr>
      </w:pPr>
      <w:r w:rsidRPr="00CE7A5C">
        <w:rPr>
          <w:rFonts w:cs="Arial"/>
          <w:b/>
          <w:bCs/>
          <w:sz w:val="22"/>
          <w:szCs w:val="22"/>
          <w:lang w:val="pt-PT"/>
        </w:rPr>
        <w:t>Outcomes</w:t>
      </w:r>
      <w:r w:rsidR="00272ADF" w:rsidRPr="00CE7A5C">
        <w:rPr>
          <w:rFonts w:cs="Arial"/>
          <w:b/>
          <w:bCs/>
          <w:sz w:val="22"/>
          <w:szCs w:val="22"/>
          <w:lang w:val="pt-PT"/>
        </w:rPr>
        <w:t xml:space="preserve"> {12}</w:t>
      </w:r>
    </w:p>
    <w:p w14:paraId="4BDB9A89" w14:textId="6BDF9103" w:rsidR="00941B2B" w:rsidRPr="00CE7A5C" w:rsidRDefault="00941B2B" w:rsidP="00957901">
      <w:pPr>
        <w:pStyle w:val="NoSpacing"/>
        <w:spacing w:line="360" w:lineRule="auto"/>
        <w:rPr>
          <w:rFonts w:ascii="Arial" w:hAnsi="Arial" w:cs="Arial"/>
          <w:sz w:val="22"/>
          <w:szCs w:val="22"/>
          <w:lang w:val="en-GB"/>
        </w:rPr>
      </w:pPr>
      <w:r w:rsidRPr="00CE7A5C">
        <w:rPr>
          <w:rFonts w:ascii="Arial" w:hAnsi="Arial" w:cs="Arial"/>
          <w:b/>
          <w:bCs/>
          <w:sz w:val="22"/>
          <w:szCs w:val="22"/>
          <w:lang w:val="en-GB"/>
        </w:rPr>
        <w:t>Primary outcome:</w:t>
      </w:r>
      <w:r w:rsidRPr="00CE7A5C">
        <w:rPr>
          <w:rFonts w:ascii="Arial" w:hAnsi="Arial" w:cs="Arial"/>
          <w:sz w:val="22"/>
          <w:szCs w:val="22"/>
          <w:lang w:val="en-GB"/>
        </w:rPr>
        <w:t xml:space="preserve"> </w:t>
      </w:r>
    </w:p>
    <w:p w14:paraId="7BFBDC6B" w14:textId="004E1E89" w:rsidR="00941B2B" w:rsidRPr="00CE7A5C" w:rsidRDefault="00941B2B" w:rsidP="00957901">
      <w:pPr>
        <w:pStyle w:val="NoSpacing"/>
        <w:spacing w:line="360" w:lineRule="auto"/>
        <w:rPr>
          <w:rFonts w:ascii="Arial" w:hAnsi="Arial" w:cs="Arial"/>
          <w:sz w:val="22"/>
          <w:szCs w:val="22"/>
          <w:lang w:val="en-GB"/>
        </w:rPr>
      </w:pPr>
      <w:r w:rsidRPr="00CE7A5C">
        <w:rPr>
          <w:rFonts w:ascii="Arial" w:hAnsi="Arial" w:cs="Arial"/>
          <w:sz w:val="22"/>
          <w:szCs w:val="22"/>
          <w:lang w:val="en-GB"/>
        </w:rPr>
        <w:t xml:space="preserve">The primary outcome is time to </w:t>
      </w:r>
      <w:r w:rsidR="00F74187">
        <w:rPr>
          <w:rFonts w:ascii="Arial" w:hAnsi="Arial" w:cs="Arial"/>
          <w:sz w:val="22"/>
          <w:szCs w:val="22"/>
          <w:lang w:val="en-GB"/>
        </w:rPr>
        <w:t>effective</w:t>
      </w:r>
      <w:r w:rsidRPr="00CE7A5C">
        <w:rPr>
          <w:rFonts w:ascii="Arial" w:hAnsi="Arial" w:cs="Arial"/>
          <w:sz w:val="22"/>
          <w:szCs w:val="22"/>
          <w:lang w:val="en-GB"/>
        </w:rPr>
        <w:t xml:space="preserve"> antimicrobial therapy defined </w:t>
      </w:r>
      <w:r w:rsidR="002D1569">
        <w:rPr>
          <w:rFonts w:ascii="Arial" w:hAnsi="Arial" w:cs="Arial"/>
          <w:sz w:val="22"/>
          <w:szCs w:val="22"/>
          <w:lang w:val="en-GB"/>
        </w:rPr>
        <w:t>as</w:t>
      </w:r>
      <w:r w:rsidR="002D1569" w:rsidRPr="00CE7A5C">
        <w:rPr>
          <w:rFonts w:ascii="Arial" w:hAnsi="Arial" w:cs="Arial"/>
          <w:sz w:val="22"/>
          <w:szCs w:val="22"/>
          <w:lang w:val="en-GB"/>
        </w:rPr>
        <w:t xml:space="preserve"> </w:t>
      </w:r>
      <w:r w:rsidR="002D1569" w:rsidRPr="0044446B">
        <w:rPr>
          <w:rFonts w:ascii="Arial" w:hAnsi="Arial" w:cs="Arial"/>
          <w:sz w:val="22"/>
          <w:szCs w:val="22"/>
          <w:lang w:val="en-GB"/>
        </w:rPr>
        <w:t>trough drug concentrations above the MIC of the pathogen</w:t>
      </w:r>
      <w:r w:rsidRPr="00CE7A5C">
        <w:rPr>
          <w:rFonts w:ascii="Arial" w:hAnsi="Arial" w:cs="Arial"/>
          <w:sz w:val="22"/>
          <w:szCs w:val="22"/>
          <w:lang w:val="en-GB"/>
        </w:rPr>
        <w:t xml:space="preserve">. </w:t>
      </w:r>
    </w:p>
    <w:p w14:paraId="315B7FB2" w14:textId="13340F61" w:rsidR="00941B2B" w:rsidRPr="00CE7A5C" w:rsidRDefault="00941B2B" w:rsidP="00957901">
      <w:pPr>
        <w:pStyle w:val="NoSpacing"/>
        <w:spacing w:line="360" w:lineRule="auto"/>
        <w:rPr>
          <w:rFonts w:ascii="Arial" w:hAnsi="Arial" w:cs="Arial"/>
          <w:sz w:val="22"/>
          <w:szCs w:val="22"/>
          <w:lang w:val="en-GB"/>
        </w:rPr>
      </w:pPr>
    </w:p>
    <w:p w14:paraId="4F3EBF26" w14:textId="1F3E508B" w:rsidR="00941B2B" w:rsidRPr="00CE7A5C" w:rsidRDefault="00941B2B" w:rsidP="00957901">
      <w:pPr>
        <w:pStyle w:val="NoSpacing"/>
        <w:spacing w:line="360" w:lineRule="auto"/>
        <w:rPr>
          <w:rFonts w:ascii="Arial" w:hAnsi="Arial" w:cs="Arial"/>
          <w:b/>
          <w:sz w:val="22"/>
          <w:szCs w:val="22"/>
          <w:lang w:val="en-GB"/>
        </w:rPr>
      </w:pPr>
      <w:r w:rsidRPr="00CE7A5C">
        <w:rPr>
          <w:rFonts w:ascii="Arial" w:hAnsi="Arial" w:cs="Arial"/>
          <w:b/>
          <w:sz w:val="22"/>
          <w:szCs w:val="22"/>
          <w:lang w:val="en-GB"/>
        </w:rPr>
        <w:t>Secondary outcomes:</w:t>
      </w:r>
    </w:p>
    <w:p w14:paraId="4B5A213A" w14:textId="77777777" w:rsidR="00941B2B" w:rsidRPr="00CE7A5C" w:rsidRDefault="00941B2B" w:rsidP="00957901">
      <w:pPr>
        <w:pStyle w:val="NoSpacing"/>
        <w:spacing w:line="360" w:lineRule="auto"/>
        <w:rPr>
          <w:rFonts w:ascii="Arial" w:hAnsi="Arial" w:cs="Arial"/>
          <w:sz w:val="22"/>
          <w:szCs w:val="22"/>
          <w:lang w:val="en-GB"/>
        </w:rPr>
      </w:pPr>
      <w:r w:rsidRPr="00CE7A5C">
        <w:rPr>
          <w:rFonts w:ascii="Arial" w:hAnsi="Arial" w:cs="Arial"/>
          <w:sz w:val="22"/>
          <w:szCs w:val="22"/>
          <w:lang w:val="en-GB"/>
        </w:rPr>
        <w:t>Secondary outcomes are:</w:t>
      </w:r>
    </w:p>
    <w:p w14:paraId="66655448" w14:textId="77777777" w:rsidR="00941B2B" w:rsidRPr="00CE7A5C" w:rsidRDefault="00941B2B" w:rsidP="00957901">
      <w:pPr>
        <w:pStyle w:val="NoSpacing"/>
        <w:spacing w:line="360" w:lineRule="auto"/>
        <w:rPr>
          <w:rFonts w:ascii="Arial" w:hAnsi="Arial" w:cs="Arial"/>
          <w:sz w:val="22"/>
          <w:szCs w:val="22"/>
          <w:lang w:val="en-GB"/>
        </w:rPr>
      </w:pPr>
    </w:p>
    <w:p w14:paraId="265F2E97" w14:textId="7816210C" w:rsidR="00941B2B" w:rsidRDefault="00941B2B" w:rsidP="00957901">
      <w:pPr>
        <w:pStyle w:val="NoSpacing"/>
        <w:numPr>
          <w:ilvl w:val="0"/>
          <w:numId w:val="10"/>
        </w:numPr>
        <w:spacing w:line="360" w:lineRule="auto"/>
        <w:rPr>
          <w:rFonts w:ascii="Arial" w:hAnsi="Arial" w:cs="Arial"/>
          <w:sz w:val="22"/>
          <w:szCs w:val="22"/>
          <w:lang w:val="en-GB"/>
        </w:rPr>
      </w:pPr>
      <w:r w:rsidRPr="00CE7A5C">
        <w:rPr>
          <w:rFonts w:ascii="Arial" w:hAnsi="Arial" w:cs="Arial"/>
          <w:sz w:val="22"/>
          <w:szCs w:val="22"/>
          <w:lang w:val="en-GB"/>
        </w:rPr>
        <w:t xml:space="preserve">Diagnostic accuracy of </w:t>
      </w:r>
      <w:proofErr w:type="spellStart"/>
      <w:r w:rsidR="00142256">
        <w:rPr>
          <w:rFonts w:ascii="Arial" w:hAnsi="Arial" w:cs="Arial"/>
          <w:sz w:val="22"/>
          <w:szCs w:val="22"/>
          <w:lang w:val="en-GB"/>
        </w:rPr>
        <w:t>MinION</w:t>
      </w:r>
      <w:proofErr w:type="spellEnd"/>
      <w:r w:rsidR="00142256">
        <w:rPr>
          <w:rFonts w:ascii="Arial" w:hAnsi="Arial" w:cs="Arial"/>
          <w:sz w:val="22"/>
          <w:szCs w:val="22"/>
          <w:lang w:val="en-GB"/>
        </w:rPr>
        <w:t xml:space="preserve"> </w:t>
      </w:r>
      <w:r w:rsidRPr="00CE7A5C">
        <w:rPr>
          <w:rFonts w:ascii="Arial" w:hAnsi="Arial" w:cs="Arial"/>
          <w:sz w:val="22"/>
          <w:szCs w:val="22"/>
          <w:lang w:val="en-GB"/>
        </w:rPr>
        <w:t xml:space="preserve">nanopore pathogen sequencing </w:t>
      </w:r>
      <w:r w:rsidR="00142256">
        <w:rPr>
          <w:rFonts w:ascii="Arial" w:hAnsi="Arial" w:cs="Arial"/>
          <w:sz w:val="22"/>
          <w:szCs w:val="22"/>
          <w:lang w:val="en-GB"/>
        </w:rPr>
        <w:t xml:space="preserve">direct </w:t>
      </w:r>
      <w:r w:rsidRPr="00CE7A5C">
        <w:rPr>
          <w:rFonts w:ascii="Arial" w:hAnsi="Arial" w:cs="Arial"/>
          <w:sz w:val="22"/>
          <w:szCs w:val="22"/>
          <w:lang w:val="en-GB"/>
        </w:rPr>
        <w:t>from whole blood</w:t>
      </w:r>
    </w:p>
    <w:p w14:paraId="2390C532" w14:textId="3F6FD7CC" w:rsidR="00941B2B" w:rsidRPr="00CE7A5C" w:rsidRDefault="00941B2B" w:rsidP="00957901">
      <w:pPr>
        <w:pStyle w:val="NoSpacing"/>
        <w:numPr>
          <w:ilvl w:val="0"/>
          <w:numId w:val="10"/>
        </w:numPr>
        <w:spacing w:line="360" w:lineRule="auto"/>
        <w:rPr>
          <w:rFonts w:ascii="Arial" w:hAnsi="Arial" w:cs="Arial"/>
          <w:sz w:val="22"/>
          <w:szCs w:val="22"/>
          <w:lang w:val="en-GB"/>
        </w:rPr>
      </w:pPr>
      <w:r w:rsidRPr="00CE7A5C">
        <w:rPr>
          <w:rFonts w:ascii="Arial" w:hAnsi="Arial" w:cs="Arial"/>
          <w:sz w:val="22"/>
          <w:szCs w:val="22"/>
          <w:lang w:val="en-GB"/>
        </w:rPr>
        <w:t xml:space="preserve">Time to pathogen identification and susceptibility testing using </w:t>
      </w:r>
      <w:proofErr w:type="spellStart"/>
      <w:r w:rsidR="00142256">
        <w:rPr>
          <w:rFonts w:ascii="Arial" w:hAnsi="Arial" w:cs="Arial"/>
          <w:sz w:val="22"/>
          <w:szCs w:val="22"/>
          <w:lang w:val="en-GB"/>
        </w:rPr>
        <w:t>MinION</w:t>
      </w:r>
      <w:proofErr w:type="spellEnd"/>
      <w:r w:rsidR="00142256">
        <w:rPr>
          <w:rFonts w:ascii="Arial" w:hAnsi="Arial" w:cs="Arial"/>
          <w:sz w:val="22"/>
          <w:szCs w:val="22"/>
          <w:lang w:val="en-GB"/>
        </w:rPr>
        <w:t xml:space="preserve"> </w:t>
      </w:r>
      <w:r w:rsidR="00142256" w:rsidRPr="00CE7A5C">
        <w:rPr>
          <w:rFonts w:ascii="Arial" w:hAnsi="Arial" w:cs="Arial"/>
          <w:sz w:val="22"/>
          <w:szCs w:val="22"/>
          <w:lang w:val="en-GB"/>
        </w:rPr>
        <w:t xml:space="preserve">nanopore </w:t>
      </w:r>
      <w:r w:rsidRPr="00CE7A5C">
        <w:rPr>
          <w:rFonts w:ascii="Arial" w:hAnsi="Arial" w:cs="Arial"/>
          <w:sz w:val="22"/>
          <w:szCs w:val="22"/>
          <w:lang w:val="en-GB"/>
        </w:rPr>
        <w:t>pathogen sequencing</w:t>
      </w:r>
    </w:p>
    <w:p w14:paraId="21ECEE54" w14:textId="77777777" w:rsidR="00941B2B" w:rsidRPr="00CE7A5C" w:rsidRDefault="00941B2B" w:rsidP="00957901">
      <w:pPr>
        <w:pStyle w:val="NoSpacing"/>
        <w:numPr>
          <w:ilvl w:val="1"/>
          <w:numId w:val="10"/>
        </w:numPr>
        <w:spacing w:line="360" w:lineRule="auto"/>
        <w:rPr>
          <w:rFonts w:ascii="Arial" w:hAnsi="Arial" w:cs="Arial"/>
          <w:sz w:val="22"/>
          <w:szCs w:val="22"/>
          <w:lang w:val="en-GB"/>
        </w:rPr>
      </w:pPr>
      <w:r w:rsidRPr="00CE7A5C">
        <w:rPr>
          <w:rFonts w:ascii="Arial" w:hAnsi="Arial" w:cs="Arial"/>
          <w:sz w:val="22"/>
          <w:szCs w:val="22"/>
          <w:lang w:val="en-GB"/>
        </w:rPr>
        <w:t>direct from whole blood</w:t>
      </w:r>
    </w:p>
    <w:p w14:paraId="42C453D5" w14:textId="71A73CF0" w:rsidR="00941B2B" w:rsidRDefault="00941B2B" w:rsidP="00957901">
      <w:pPr>
        <w:pStyle w:val="NoSpacing"/>
        <w:numPr>
          <w:ilvl w:val="1"/>
          <w:numId w:val="10"/>
        </w:numPr>
        <w:spacing w:line="360" w:lineRule="auto"/>
        <w:rPr>
          <w:rFonts w:ascii="Arial" w:hAnsi="Arial" w:cs="Arial"/>
          <w:sz w:val="22"/>
          <w:szCs w:val="22"/>
          <w:lang w:val="en-GB"/>
        </w:rPr>
      </w:pPr>
      <w:r w:rsidRPr="00CE7A5C">
        <w:rPr>
          <w:rFonts w:ascii="Arial" w:hAnsi="Arial" w:cs="Arial"/>
          <w:sz w:val="22"/>
          <w:szCs w:val="22"/>
          <w:lang w:val="en-GB"/>
        </w:rPr>
        <w:t>from positive blood culture broth.</w:t>
      </w:r>
    </w:p>
    <w:p w14:paraId="37D9C291" w14:textId="2B6642C1" w:rsidR="00161424" w:rsidRPr="00CE7A5C" w:rsidRDefault="00161424" w:rsidP="00FC79C9">
      <w:pPr>
        <w:pStyle w:val="NoSpacing"/>
        <w:numPr>
          <w:ilvl w:val="0"/>
          <w:numId w:val="10"/>
        </w:numPr>
        <w:spacing w:line="360" w:lineRule="auto"/>
        <w:rPr>
          <w:rFonts w:ascii="Arial" w:hAnsi="Arial" w:cs="Arial"/>
          <w:sz w:val="22"/>
          <w:szCs w:val="22"/>
          <w:lang w:val="en-GB"/>
        </w:rPr>
      </w:pPr>
      <w:r>
        <w:rPr>
          <w:rFonts w:ascii="Arial" w:hAnsi="Arial" w:cs="Arial"/>
          <w:sz w:val="22"/>
          <w:szCs w:val="22"/>
          <w:lang w:val="en-GB"/>
        </w:rPr>
        <w:t xml:space="preserve">Evaluation of direct </w:t>
      </w:r>
      <w:proofErr w:type="spellStart"/>
      <w:r w:rsidR="00142256">
        <w:rPr>
          <w:rFonts w:ascii="Arial" w:hAnsi="Arial" w:cs="Arial"/>
          <w:sz w:val="22"/>
          <w:szCs w:val="22"/>
          <w:lang w:val="en-GB"/>
        </w:rPr>
        <w:t>MinION</w:t>
      </w:r>
      <w:proofErr w:type="spellEnd"/>
      <w:r w:rsidR="00142256">
        <w:rPr>
          <w:rFonts w:ascii="Arial" w:hAnsi="Arial" w:cs="Arial"/>
          <w:sz w:val="22"/>
          <w:szCs w:val="22"/>
          <w:lang w:val="en-GB"/>
        </w:rPr>
        <w:t xml:space="preserve"> </w:t>
      </w:r>
      <w:r>
        <w:rPr>
          <w:rFonts w:ascii="Arial" w:hAnsi="Arial" w:cs="Arial"/>
          <w:sz w:val="22"/>
          <w:szCs w:val="22"/>
          <w:lang w:val="en-GB"/>
        </w:rPr>
        <w:t xml:space="preserve">nanopore pathogen sequencing predictive capabilities using complete reference genomes from positive blood culture broth.  </w:t>
      </w:r>
    </w:p>
    <w:p w14:paraId="59881A19" w14:textId="77777777" w:rsidR="00941B2B" w:rsidRPr="00CE7A5C" w:rsidRDefault="00941B2B" w:rsidP="00957901">
      <w:pPr>
        <w:pStyle w:val="Body"/>
        <w:widowControl w:val="0"/>
        <w:spacing w:line="360" w:lineRule="auto"/>
        <w:rPr>
          <w:rFonts w:cs="Arial"/>
          <w:b/>
          <w:bCs/>
          <w:sz w:val="22"/>
          <w:szCs w:val="22"/>
          <w:lang w:val="en-US"/>
        </w:rPr>
      </w:pPr>
    </w:p>
    <w:p w14:paraId="5FD9EA2F" w14:textId="5D91CEB8" w:rsidR="004C3232" w:rsidRPr="00CE7A5C" w:rsidRDefault="00B727C2" w:rsidP="00957901">
      <w:pPr>
        <w:pStyle w:val="Body"/>
        <w:widowControl w:val="0"/>
        <w:spacing w:line="360" w:lineRule="auto"/>
        <w:rPr>
          <w:rFonts w:cs="Arial"/>
          <w:sz w:val="22"/>
          <w:szCs w:val="22"/>
        </w:rPr>
      </w:pPr>
      <w:r w:rsidRPr="00CE7A5C">
        <w:rPr>
          <w:rFonts w:cs="Arial"/>
          <w:b/>
          <w:bCs/>
          <w:sz w:val="22"/>
          <w:szCs w:val="22"/>
          <w:lang w:val="en-US"/>
        </w:rPr>
        <w:t>Participant timeline</w:t>
      </w:r>
      <w:r w:rsidR="00272ADF" w:rsidRPr="00CE7A5C">
        <w:rPr>
          <w:rFonts w:cs="Arial"/>
          <w:b/>
          <w:bCs/>
          <w:sz w:val="22"/>
          <w:szCs w:val="22"/>
          <w:lang w:val="en-US"/>
        </w:rPr>
        <w:t xml:space="preserve"> {13}</w:t>
      </w:r>
    </w:p>
    <w:p w14:paraId="61719E57" w14:textId="4A183B45" w:rsidR="00DD32CE" w:rsidRPr="00CE7A5C" w:rsidRDefault="00DD32CE" w:rsidP="00957901">
      <w:pPr>
        <w:spacing w:line="360" w:lineRule="auto"/>
        <w:rPr>
          <w:rFonts w:ascii="Arial" w:hAnsi="Arial" w:cs="Arial"/>
          <w:sz w:val="22"/>
          <w:szCs w:val="22"/>
          <w:lang w:val="en-AU"/>
        </w:rPr>
      </w:pPr>
      <w:r w:rsidRPr="00CE7A5C">
        <w:rPr>
          <w:rFonts w:ascii="Arial" w:hAnsi="Arial" w:cs="Arial"/>
          <w:sz w:val="22"/>
          <w:szCs w:val="22"/>
          <w:lang w:val="en-AU"/>
        </w:rPr>
        <w:t xml:space="preserve">Recruitment to the study commenced </w:t>
      </w:r>
      <w:r w:rsidR="005238D0">
        <w:rPr>
          <w:rFonts w:ascii="Arial" w:hAnsi="Arial" w:cs="Arial"/>
          <w:sz w:val="22"/>
          <w:szCs w:val="22"/>
          <w:lang w:val="en-AU"/>
        </w:rPr>
        <w:t>17th March</w:t>
      </w:r>
      <w:r w:rsidRPr="00CE7A5C">
        <w:rPr>
          <w:rFonts w:ascii="Arial" w:hAnsi="Arial" w:cs="Arial"/>
          <w:sz w:val="22"/>
          <w:szCs w:val="22"/>
          <w:lang w:val="en-AU"/>
        </w:rPr>
        <w:t xml:space="preserve"> 2020 and will be completed by </w:t>
      </w:r>
      <w:r w:rsidR="00AE1978">
        <w:rPr>
          <w:rFonts w:ascii="Arial" w:hAnsi="Arial" w:cs="Arial"/>
          <w:sz w:val="22"/>
          <w:szCs w:val="22"/>
          <w:lang w:val="en-AU"/>
        </w:rPr>
        <w:t>1</w:t>
      </w:r>
      <w:r w:rsidR="00AE1978" w:rsidRPr="00FC79C9">
        <w:rPr>
          <w:rFonts w:ascii="Arial" w:hAnsi="Arial" w:cs="Arial"/>
          <w:sz w:val="22"/>
          <w:szCs w:val="22"/>
          <w:vertAlign w:val="superscript"/>
          <w:lang w:val="en-AU"/>
        </w:rPr>
        <w:t>st</w:t>
      </w:r>
      <w:r w:rsidR="00AE1978">
        <w:rPr>
          <w:rFonts w:ascii="Arial" w:hAnsi="Arial" w:cs="Arial"/>
          <w:sz w:val="22"/>
          <w:szCs w:val="22"/>
          <w:lang w:val="en-AU"/>
        </w:rPr>
        <w:t xml:space="preserve"> April 2021</w:t>
      </w:r>
      <w:r w:rsidR="00E62CF0">
        <w:rPr>
          <w:rFonts w:ascii="Arial" w:hAnsi="Arial" w:cs="Arial"/>
          <w:sz w:val="22"/>
          <w:szCs w:val="22"/>
          <w:lang w:val="en-AU"/>
        </w:rPr>
        <w:t>.</w:t>
      </w:r>
    </w:p>
    <w:p w14:paraId="22779A92" w14:textId="77777777" w:rsidR="00DD32CE" w:rsidRPr="00CE7A5C" w:rsidRDefault="00DD32CE" w:rsidP="00957901">
      <w:pPr>
        <w:pStyle w:val="Body"/>
        <w:widowControl w:val="0"/>
        <w:spacing w:line="360" w:lineRule="auto"/>
        <w:rPr>
          <w:rFonts w:cs="Arial"/>
          <w:sz w:val="22"/>
          <w:szCs w:val="22"/>
        </w:rPr>
      </w:pPr>
    </w:p>
    <w:p w14:paraId="6FED58C0" w14:textId="13E3B06C"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Sample size</w:t>
      </w:r>
      <w:r w:rsidR="00272ADF" w:rsidRPr="00CE7A5C">
        <w:rPr>
          <w:rStyle w:val="None"/>
          <w:rFonts w:cs="Arial"/>
          <w:b/>
          <w:bCs/>
          <w:sz w:val="22"/>
          <w:szCs w:val="22"/>
          <w:lang w:val="en-US"/>
        </w:rPr>
        <w:t xml:space="preserve"> {14}</w:t>
      </w:r>
    </w:p>
    <w:p w14:paraId="4131781B" w14:textId="76D017E3" w:rsidR="008E034F" w:rsidRPr="00CE7A5C" w:rsidRDefault="008E034F" w:rsidP="00957901">
      <w:pPr>
        <w:spacing w:line="360" w:lineRule="auto"/>
        <w:rPr>
          <w:rFonts w:ascii="Arial" w:hAnsi="Arial" w:cs="Arial"/>
          <w:sz w:val="22"/>
          <w:szCs w:val="22"/>
          <w:lang w:val="en-AU"/>
        </w:rPr>
      </w:pPr>
      <w:r w:rsidRPr="00CE7A5C">
        <w:rPr>
          <w:rFonts w:ascii="Arial" w:hAnsi="Arial" w:cs="Arial"/>
          <w:sz w:val="22"/>
          <w:szCs w:val="22"/>
          <w:lang w:val="en-AU"/>
        </w:rPr>
        <w:t>The study will be undertaken in two phases. Phase 1 will seek to demonstrate the validity of th</w:t>
      </w:r>
      <w:r w:rsidR="00941B2B" w:rsidRPr="00CE7A5C">
        <w:rPr>
          <w:rFonts w:ascii="Arial" w:hAnsi="Arial" w:cs="Arial"/>
          <w:sz w:val="22"/>
          <w:szCs w:val="22"/>
          <w:lang w:val="en-AU"/>
        </w:rPr>
        <w:t>e sequencing method applied to</w:t>
      </w:r>
      <w:r w:rsidRPr="00CE7A5C">
        <w:rPr>
          <w:rFonts w:ascii="Arial" w:hAnsi="Arial" w:cs="Arial"/>
          <w:sz w:val="22"/>
          <w:szCs w:val="22"/>
          <w:lang w:val="en-AU"/>
        </w:rPr>
        <w:t xml:space="preserve"> patients with blood culture-confirmed sepsis (n=50). </w:t>
      </w:r>
      <w:r w:rsidR="00941B2B" w:rsidRPr="00CE7A5C">
        <w:rPr>
          <w:rFonts w:ascii="Arial" w:hAnsi="Arial" w:cs="Arial"/>
          <w:sz w:val="22"/>
          <w:szCs w:val="22"/>
          <w:lang w:val="en-AU"/>
        </w:rPr>
        <w:t xml:space="preserve">Recruitment of 50 blood culture confirmed-sepsis patients in this phase is anticipated to require the recruitment of approximately 150 patients with suspected sepsis. </w:t>
      </w:r>
      <w:r w:rsidRPr="00CE7A5C">
        <w:rPr>
          <w:rFonts w:ascii="Arial" w:hAnsi="Arial" w:cs="Arial"/>
          <w:sz w:val="22"/>
          <w:szCs w:val="22"/>
          <w:lang w:val="en-AU"/>
        </w:rPr>
        <w:t xml:space="preserve">Phase 2 will then apply these methods to </w:t>
      </w:r>
      <w:r w:rsidR="00941B2B" w:rsidRPr="00CE7A5C">
        <w:rPr>
          <w:rFonts w:ascii="Arial" w:hAnsi="Arial" w:cs="Arial"/>
          <w:sz w:val="22"/>
          <w:szCs w:val="22"/>
          <w:lang w:val="en-AU"/>
        </w:rPr>
        <w:t xml:space="preserve">consecutive </w:t>
      </w:r>
      <w:r w:rsidRPr="00CE7A5C">
        <w:rPr>
          <w:rFonts w:ascii="Arial" w:hAnsi="Arial" w:cs="Arial"/>
          <w:sz w:val="22"/>
          <w:szCs w:val="22"/>
          <w:lang w:val="en-AU"/>
        </w:rPr>
        <w:t xml:space="preserve">patients (n=50) admitted to intensive care with </w:t>
      </w:r>
      <w:r w:rsidR="00941B2B" w:rsidRPr="00CE7A5C">
        <w:rPr>
          <w:rFonts w:ascii="Arial" w:hAnsi="Arial" w:cs="Arial"/>
          <w:sz w:val="22"/>
          <w:szCs w:val="22"/>
          <w:lang w:val="en-AU"/>
        </w:rPr>
        <w:t xml:space="preserve">suspected </w:t>
      </w:r>
      <w:r w:rsidRPr="00CE7A5C">
        <w:rPr>
          <w:rFonts w:ascii="Arial" w:hAnsi="Arial" w:cs="Arial"/>
          <w:sz w:val="22"/>
          <w:szCs w:val="22"/>
          <w:lang w:val="en-AU"/>
        </w:rPr>
        <w:t>sepsis.</w:t>
      </w:r>
    </w:p>
    <w:p w14:paraId="6C397610" w14:textId="77777777" w:rsidR="004C3232" w:rsidRPr="00CE7A5C" w:rsidRDefault="004C3232" w:rsidP="00957901">
      <w:pPr>
        <w:pStyle w:val="Body"/>
        <w:widowControl w:val="0"/>
        <w:spacing w:line="360" w:lineRule="auto"/>
        <w:rPr>
          <w:rFonts w:cs="Arial"/>
          <w:sz w:val="22"/>
          <w:szCs w:val="22"/>
        </w:rPr>
      </w:pPr>
    </w:p>
    <w:p w14:paraId="25D7784B" w14:textId="48935780"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Recruitment</w:t>
      </w:r>
      <w:r w:rsidR="00272ADF" w:rsidRPr="00CE7A5C">
        <w:rPr>
          <w:rStyle w:val="None"/>
          <w:rFonts w:cs="Arial"/>
          <w:b/>
          <w:bCs/>
          <w:sz w:val="22"/>
          <w:szCs w:val="22"/>
          <w:lang w:val="en-US"/>
        </w:rPr>
        <w:t xml:space="preserve"> {15}</w:t>
      </w:r>
    </w:p>
    <w:p w14:paraId="0FFBF67A" w14:textId="2ABE9BCE" w:rsidR="004C3232" w:rsidRPr="00CE7A5C" w:rsidRDefault="00941B2B" w:rsidP="00957901">
      <w:pPr>
        <w:pStyle w:val="Body"/>
        <w:widowControl w:val="0"/>
        <w:spacing w:line="360" w:lineRule="auto"/>
        <w:rPr>
          <w:rStyle w:val="None"/>
          <w:rFonts w:cs="Arial"/>
          <w:color w:val="auto"/>
          <w:sz w:val="22"/>
          <w:szCs w:val="22"/>
          <w:u w:color="004C7F"/>
        </w:rPr>
      </w:pPr>
      <w:r w:rsidRPr="00CE7A5C">
        <w:rPr>
          <w:rStyle w:val="None"/>
          <w:rFonts w:cs="Arial"/>
          <w:color w:val="auto"/>
          <w:sz w:val="22"/>
          <w:szCs w:val="22"/>
          <w:u w:color="004C7F"/>
        </w:rPr>
        <w:t xml:space="preserve">The study </w:t>
      </w:r>
      <w:r w:rsidR="00242769">
        <w:rPr>
          <w:rStyle w:val="None"/>
          <w:rFonts w:cs="Arial"/>
          <w:color w:val="auto"/>
          <w:sz w:val="22"/>
          <w:szCs w:val="22"/>
          <w:u w:color="004C7F"/>
        </w:rPr>
        <w:t>S</w:t>
      </w:r>
      <w:r w:rsidRPr="00CE7A5C">
        <w:rPr>
          <w:rStyle w:val="None"/>
          <w:rFonts w:cs="Arial"/>
          <w:color w:val="auto"/>
          <w:sz w:val="22"/>
          <w:szCs w:val="22"/>
          <w:u w:color="004C7F"/>
        </w:rPr>
        <w:t xml:space="preserve">teering </w:t>
      </w:r>
      <w:r w:rsidR="00242769">
        <w:rPr>
          <w:rStyle w:val="None"/>
          <w:rFonts w:cs="Arial"/>
          <w:color w:val="auto"/>
          <w:sz w:val="22"/>
          <w:szCs w:val="22"/>
          <w:u w:color="004C7F"/>
        </w:rPr>
        <w:t>C</w:t>
      </w:r>
      <w:r w:rsidRPr="00CE7A5C">
        <w:rPr>
          <w:rStyle w:val="None"/>
          <w:rFonts w:cs="Arial"/>
          <w:color w:val="auto"/>
          <w:sz w:val="22"/>
          <w:szCs w:val="22"/>
          <w:u w:color="004C7F"/>
        </w:rPr>
        <w:t>ommittee includes chief investigators from each participating ICU</w:t>
      </w:r>
      <w:r w:rsidR="00073A12" w:rsidRPr="00CE7A5C">
        <w:rPr>
          <w:rStyle w:val="None"/>
          <w:rFonts w:cs="Arial"/>
          <w:color w:val="auto"/>
          <w:sz w:val="22"/>
          <w:szCs w:val="22"/>
          <w:u w:color="004C7F"/>
        </w:rPr>
        <w:t xml:space="preserve">. Education sessions </w:t>
      </w:r>
      <w:r w:rsidRPr="00CE7A5C">
        <w:rPr>
          <w:rStyle w:val="None"/>
          <w:rFonts w:cs="Arial"/>
          <w:color w:val="auto"/>
          <w:sz w:val="22"/>
          <w:szCs w:val="22"/>
          <w:u w:color="004C7F"/>
        </w:rPr>
        <w:t xml:space="preserve">were conducted with research groups from each ICU in advance of the study onset, including individual sessions with </w:t>
      </w:r>
      <w:r w:rsidR="00073A12" w:rsidRPr="00CE7A5C">
        <w:rPr>
          <w:rStyle w:val="None"/>
          <w:rFonts w:cs="Arial"/>
          <w:color w:val="auto"/>
          <w:sz w:val="22"/>
          <w:szCs w:val="22"/>
          <w:u w:color="004C7F"/>
        </w:rPr>
        <w:t xml:space="preserve">local </w:t>
      </w:r>
      <w:r w:rsidRPr="00CE7A5C">
        <w:rPr>
          <w:rStyle w:val="None"/>
          <w:rFonts w:cs="Arial"/>
          <w:color w:val="auto"/>
          <w:sz w:val="22"/>
          <w:szCs w:val="22"/>
          <w:u w:color="004C7F"/>
        </w:rPr>
        <w:t xml:space="preserve">research coordinators. Study sample packs, and flow diagrams to aid recruitment were created for participating ICUs. Research coordinators are </w:t>
      </w:r>
      <w:r w:rsidRPr="00CE7A5C">
        <w:rPr>
          <w:rStyle w:val="None"/>
          <w:rFonts w:cs="Arial"/>
          <w:color w:val="auto"/>
          <w:sz w:val="22"/>
          <w:szCs w:val="22"/>
          <w:u w:color="004C7F"/>
        </w:rPr>
        <w:lastRenderedPageBreak/>
        <w:t>responsible for screening potentially eligible patients with suspected sepsis</w:t>
      </w:r>
      <w:r w:rsidR="00073A12" w:rsidRPr="00CE7A5C">
        <w:rPr>
          <w:rStyle w:val="None"/>
          <w:rFonts w:cs="Arial"/>
          <w:color w:val="auto"/>
          <w:sz w:val="22"/>
          <w:szCs w:val="22"/>
          <w:u w:color="004C7F"/>
        </w:rPr>
        <w:t xml:space="preserve"> on a daily basis</w:t>
      </w:r>
      <w:r w:rsidRPr="00CE7A5C">
        <w:rPr>
          <w:rStyle w:val="None"/>
          <w:rFonts w:cs="Arial"/>
          <w:color w:val="auto"/>
          <w:sz w:val="22"/>
          <w:szCs w:val="22"/>
          <w:u w:color="004C7F"/>
        </w:rPr>
        <w:t xml:space="preserve">. </w:t>
      </w:r>
      <w:r w:rsidR="00073A12" w:rsidRPr="00CE7A5C">
        <w:rPr>
          <w:rStyle w:val="None"/>
          <w:rFonts w:cs="Arial"/>
          <w:color w:val="auto"/>
          <w:sz w:val="22"/>
          <w:szCs w:val="22"/>
          <w:u w:color="004C7F"/>
        </w:rPr>
        <w:t>Finally, ethical approval was sought to recruit patients with suspected sepsis on a “consent to continue” basis, reflecting the time</w:t>
      </w:r>
      <w:r w:rsidR="00605722">
        <w:rPr>
          <w:rStyle w:val="None"/>
          <w:rFonts w:cs="Arial"/>
          <w:color w:val="auto"/>
          <w:sz w:val="22"/>
          <w:szCs w:val="22"/>
          <w:u w:color="004C7F"/>
        </w:rPr>
        <w:t>-</w:t>
      </w:r>
      <w:r w:rsidR="00073A12" w:rsidRPr="00CE7A5C">
        <w:rPr>
          <w:rStyle w:val="None"/>
          <w:rFonts w:cs="Arial"/>
          <w:color w:val="auto"/>
          <w:sz w:val="22"/>
          <w:szCs w:val="22"/>
          <w:u w:color="004C7F"/>
        </w:rPr>
        <w:t>critical nature of sepsis and the importance of obtaining timely research samples.</w:t>
      </w:r>
    </w:p>
    <w:p w14:paraId="502B506E" w14:textId="7777777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Assignment of interventions: allocation</w:t>
      </w:r>
    </w:p>
    <w:p w14:paraId="68694AB2" w14:textId="22DAB2E5" w:rsidR="00605722" w:rsidRPr="00605722" w:rsidRDefault="00605722" w:rsidP="00957901">
      <w:pPr>
        <w:pStyle w:val="Body"/>
        <w:widowControl w:val="0"/>
        <w:spacing w:before="120" w:line="360" w:lineRule="auto"/>
        <w:rPr>
          <w:rStyle w:val="None"/>
          <w:rFonts w:cs="Arial"/>
          <w:sz w:val="22"/>
          <w:szCs w:val="22"/>
          <w:lang w:val="en-US"/>
        </w:rPr>
      </w:pPr>
      <w:r>
        <w:rPr>
          <w:rStyle w:val="None"/>
          <w:rFonts w:cs="Arial"/>
          <w:sz w:val="22"/>
          <w:szCs w:val="22"/>
          <w:lang w:val="en-US"/>
        </w:rPr>
        <w:t>No randomization of patients will occur.</w:t>
      </w:r>
    </w:p>
    <w:p w14:paraId="28B968F3" w14:textId="7ACB1EA4"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Sequence generation</w:t>
      </w:r>
      <w:r w:rsidR="00272ADF" w:rsidRPr="00CE7A5C">
        <w:rPr>
          <w:rStyle w:val="None"/>
          <w:rFonts w:cs="Arial"/>
          <w:b/>
          <w:bCs/>
          <w:sz w:val="22"/>
          <w:szCs w:val="22"/>
          <w:lang w:val="en-US"/>
        </w:rPr>
        <w:t xml:space="preserve"> {16a}</w:t>
      </w:r>
    </w:p>
    <w:p w14:paraId="096DC3CF" w14:textId="00C184AA" w:rsidR="00DD32CE" w:rsidRPr="00CE7A5C" w:rsidRDefault="00DD32CE" w:rsidP="00957901">
      <w:pPr>
        <w:pStyle w:val="Body"/>
        <w:widowControl w:val="0"/>
        <w:spacing w:line="360" w:lineRule="auto"/>
        <w:rPr>
          <w:rFonts w:cs="Arial"/>
          <w:sz w:val="22"/>
          <w:szCs w:val="22"/>
        </w:rPr>
      </w:pPr>
      <w:r w:rsidRPr="00CE7A5C">
        <w:rPr>
          <w:rFonts w:cs="Arial"/>
          <w:sz w:val="22"/>
          <w:szCs w:val="22"/>
        </w:rPr>
        <w:t>Not applicable</w:t>
      </w:r>
    </w:p>
    <w:p w14:paraId="07D08933" w14:textId="562725E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Concealment mechanism</w:t>
      </w:r>
      <w:r w:rsidR="00272ADF" w:rsidRPr="00CE7A5C">
        <w:rPr>
          <w:rStyle w:val="None"/>
          <w:rFonts w:cs="Arial"/>
          <w:b/>
          <w:bCs/>
          <w:sz w:val="22"/>
          <w:szCs w:val="22"/>
          <w:lang w:val="en-US"/>
        </w:rPr>
        <w:t xml:space="preserve"> {16b}</w:t>
      </w:r>
    </w:p>
    <w:p w14:paraId="193D42CF" w14:textId="77C53548" w:rsidR="00DD32CE" w:rsidRPr="00CE7A5C" w:rsidRDefault="00DD32CE" w:rsidP="00957901">
      <w:pPr>
        <w:pStyle w:val="Body"/>
        <w:widowControl w:val="0"/>
        <w:spacing w:line="360" w:lineRule="auto"/>
        <w:rPr>
          <w:rFonts w:cs="Arial"/>
          <w:sz w:val="22"/>
          <w:szCs w:val="22"/>
        </w:rPr>
      </w:pPr>
      <w:r w:rsidRPr="00CE7A5C">
        <w:rPr>
          <w:rFonts w:cs="Arial"/>
          <w:sz w:val="22"/>
          <w:szCs w:val="22"/>
        </w:rPr>
        <w:t>Not applicable</w:t>
      </w:r>
    </w:p>
    <w:p w14:paraId="3CD95FF5" w14:textId="2DFC8231"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Implementation</w:t>
      </w:r>
      <w:r w:rsidR="00272ADF" w:rsidRPr="00CE7A5C">
        <w:rPr>
          <w:rStyle w:val="None"/>
          <w:rFonts w:cs="Arial"/>
          <w:b/>
          <w:bCs/>
          <w:sz w:val="22"/>
          <w:szCs w:val="22"/>
          <w:lang w:val="en-US"/>
        </w:rPr>
        <w:t xml:space="preserve"> {16c}</w:t>
      </w:r>
    </w:p>
    <w:p w14:paraId="60CA0E0B" w14:textId="290B9D1F" w:rsidR="004C3232" w:rsidRPr="00CE7A5C" w:rsidRDefault="00DD32CE" w:rsidP="00957901">
      <w:pPr>
        <w:pStyle w:val="Body"/>
        <w:widowControl w:val="0"/>
        <w:spacing w:before="120" w:line="360" w:lineRule="auto"/>
        <w:rPr>
          <w:rFonts w:cs="Arial"/>
          <w:sz w:val="22"/>
          <w:szCs w:val="22"/>
        </w:rPr>
      </w:pPr>
      <w:r w:rsidRPr="00CE7A5C">
        <w:rPr>
          <w:rFonts w:cs="Arial"/>
          <w:sz w:val="22"/>
          <w:szCs w:val="22"/>
        </w:rPr>
        <w:t>Not applicable</w:t>
      </w:r>
    </w:p>
    <w:p w14:paraId="4289A9EB" w14:textId="7777777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Assignment of interventions: Blinding</w:t>
      </w:r>
    </w:p>
    <w:p w14:paraId="364861C1" w14:textId="745C7700"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Who will be blinded</w:t>
      </w:r>
      <w:r w:rsidR="00272ADF" w:rsidRPr="00CE7A5C">
        <w:rPr>
          <w:rStyle w:val="None"/>
          <w:rFonts w:cs="Arial"/>
          <w:b/>
          <w:bCs/>
          <w:sz w:val="22"/>
          <w:szCs w:val="22"/>
          <w:lang w:val="en-US"/>
        </w:rPr>
        <w:t xml:space="preserve"> {17a}</w:t>
      </w:r>
    </w:p>
    <w:p w14:paraId="7758F59E" w14:textId="5A43A232" w:rsidR="00DD32CE" w:rsidRPr="00CE7A5C" w:rsidRDefault="00DD32CE" w:rsidP="00957901">
      <w:pPr>
        <w:pStyle w:val="Body"/>
        <w:widowControl w:val="0"/>
        <w:spacing w:line="360" w:lineRule="auto"/>
        <w:rPr>
          <w:rFonts w:cs="Arial"/>
          <w:sz w:val="22"/>
          <w:szCs w:val="22"/>
        </w:rPr>
      </w:pPr>
      <w:r w:rsidRPr="00CE7A5C">
        <w:rPr>
          <w:rFonts w:cs="Arial"/>
          <w:sz w:val="22"/>
          <w:szCs w:val="22"/>
        </w:rPr>
        <w:t>Not applicable</w:t>
      </w:r>
    </w:p>
    <w:p w14:paraId="1406B0E8" w14:textId="77777777" w:rsidR="00DD32CE" w:rsidRPr="00CE7A5C" w:rsidRDefault="00DD32CE" w:rsidP="00957901">
      <w:pPr>
        <w:pStyle w:val="Body"/>
        <w:widowControl w:val="0"/>
        <w:spacing w:line="360" w:lineRule="auto"/>
        <w:rPr>
          <w:rFonts w:cs="Arial"/>
          <w:sz w:val="22"/>
          <w:szCs w:val="22"/>
        </w:rPr>
      </w:pPr>
    </w:p>
    <w:p w14:paraId="7412334C" w14:textId="43C1086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 xml:space="preserve">Procedure for unblinding if needed </w:t>
      </w:r>
      <w:r w:rsidR="00272ADF" w:rsidRPr="00CE7A5C">
        <w:rPr>
          <w:rStyle w:val="None"/>
          <w:rFonts w:cs="Arial"/>
          <w:b/>
          <w:bCs/>
          <w:sz w:val="22"/>
          <w:szCs w:val="22"/>
          <w:lang w:val="en-US"/>
        </w:rPr>
        <w:t>{17b}</w:t>
      </w:r>
    </w:p>
    <w:p w14:paraId="140E2DC5" w14:textId="5C996047" w:rsidR="00DD32CE" w:rsidRPr="00CE7A5C" w:rsidRDefault="00DD32CE" w:rsidP="00957901">
      <w:pPr>
        <w:pStyle w:val="Body"/>
        <w:widowControl w:val="0"/>
        <w:spacing w:line="360" w:lineRule="auto"/>
        <w:rPr>
          <w:rStyle w:val="None"/>
          <w:rFonts w:cs="Arial"/>
          <w:color w:val="auto"/>
          <w:sz w:val="22"/>
          <w:szCs w:val="22"/>
          <w:u w:color="004C7F"/>
          <w:lang w:val="en-US"/>
        </w:rPr>
      </w:pPr>
      <w:r w:rsidRPr="00CE7A5C">
        <w:rPr>
          <w:rStyle w:val="None"/>
          <w:rFonts w:cs="Arial"/>
          <w:color w:val="auto"/>
          <w:sz w:val="22"/>
          <w:szCs w:val="22"/>
          <w:u w:color="004C7F"/>
          <w:lang w:val="en-US"/>
        </w:rPr>
        <w:t>Not applicable</w:t>
      </w:r>
    </w:p>
    <w:p w14:paraId="030F66C7" w14:textId="00E691C0" w:rsidR="00DD32CE" w:rsidRPr="00CE7A5C" w:rsidRDefault="00DD32CE" w:rsidP="00957901">
      <w:pPr>
        <w:pStyle w:val="Body"/>
        <w:widowControl w:val="0"/>
        <w:spacing w:line="360" w:lineRule="auto"/>
        <w:rPr>
          <w:rStyle w:val="None"/>
          <w:rFonts w:cs="Arial"/>
          <w:color w:val="006600"/>
          <w:sz w:val="22"/>
          <w:szCs w:val="22"/>
          <w:u w:color="004C7F"/>
          <w:lang w:val="en-US"/>
        </w:rPr>
      </w:pPr>
    </w:p>
    <w:p w14:paraId="3C34D57B" w14:textId="7777777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Data collection and management</w:t>
      </w:r>
    </w:p>
    <w:p w14:paraId="51EEA7E0" w14:textId="0B86AC03"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Plans for assessment and collection of outcomes</w:t>
      </w:r>
      <w:r w:rsidR="006B5456" w:rsidRPr="00CE7A5C">
        <w:rPr>
          <w:rStyle w:val="None"/>
          <w:rFonts w:cs="Arial"/>
          <w:b/>
          <w:bCs/>
          <w:sz w:val="22"/>
          <w:szCs w:val="22"/>
          <w:lang w:val="en-US"/>
        </w:rPr>
        <w:t xml:space="preserve"> {18a}</w:t>
      </w:r>
    </w:p>
    <w:p w14:paraId="34D141FA" w14:textId="54DACB63" w:rsidR="00073A12" w:rsidRPr="00CE7A5C" w:rsidRDefault="00073A12" w:rsidP="00957901">
      <w:pPr>
        <w:pStyle w:val="Body"/>
        <w:widowControl w:val="0"/>
        <w:spacing w:line="360" w:lineRule="auto"/>
        <w:rPr>
          <w:rFonts w:cs="Arial"/>
          <w:sz w:val="22"/>
          <w:szCs w:val="22"/>
        </w:rPr>
      </w:pPr>
      <w:r w:rsidRPr="00CE7A5C">
        <w:rPr>
          <w:rFonts w:cs="Arial"/>
          <w:sz w:val="22"/>
          <w:szCs w:val="22"/>
          <w:lang w:val="en-AU"/>
        </w:rPr>
        <w:t xml:space="preserve">Clinical data on patient demographics, comorbidities, type and focus of infection, severity, clinical progress through ICU and </w:t>
      </w:r>
      <w:r w:rsidR="00605722">
        <w:rPr>
          <w:rFonts w:cs="Arial"/>
          <w:sz w:val="22"/>
          <w:szCs w:val="22"/>
          <w:lang w:val="en-AU"/>
        </w:rPr>
        <w:t xml:space="preserve">clinical </w:t>
      </w:r>
      <w:r w:rsidRPr="00CE7A5C">
        <w:rPr>
          <w:rFonts w:cs="Arial"/>
          <w:sz w:val="22"/>
          <w:szCs w:val="22"/>
          <w:lang w:val="en-AU"/>
        </w:rPr>
        <w:t>outcomes (including ICU and hospital length of stay and in-hospital mortality) will be captured by clinical research nurses into an on</w:t>
      </w:r>
      <w:r w:rsidR="00B42237">
        <w:rPr>
          <w:rFonts w:cs="Arial"/>
          <w:sz w:val="22"/>
          <w:szCs w:val="22"/>
          <w:lang w:val="en-AU"/>
        </w:rPr>
        <w:t xml:space="preserve">line </w:t>
      </w:r>
      <w:proofErr w:type="spellStart"/>
      <w:r w:rsidR="00B42237">
        <w:rPr>
          <w:rFonts w:cs="Arial"/>
          <w:sz w:val="22"/>
          <w:szCs w:val="22"/>
          <w:lang w:val="en-AU"/>
        </w:rPr>
        <w:t>REDCap</w:t>
      </w:r>
      <w:proofErr w:type="spellEnd"/>
      <w:r w:rsidR="00B42237">
        <w:rPr>
          <w:rFonts w:cs="Arial"/>
          <w:sz w:val="22"/>
          <w:szCs w:val="22"/>
          <w:lang w:val="en-AU"/>
        </w:rPr>
        <w:t xml:space="preserve"> database hosted by T</w:t>
      </w:r>
      <w:r w:rsidRPr="00CE7A5C">
        <w:rPr>
          <w:rFonts w:cs="Arial"/>
          <w:sz w:val="22"/>
          <w:szCs w:val="22"/>
          <w:lang w:val="en-AU"/>
        </w:rPr>
        <w:t>he University of Queensland.</w:t>
      </w:r>
      <w:r w:rsidR="00F74187">
        <w:rPr>
          <w:rFonts w:cs="Arial"/>
          <w:sz w:val="22"/>
          <w:szCs w:val="22"/>
          <w:lang w:val="en-AU"/>
        </w:rPr>
        <w:t xml:space="preserve"> </w:t>
      </w:r>
      <w:r w:rsidR="00F74187" w:rsidRPr="00F74187">
        <w:rPr>
          <w:rFonts w:cs="Arial"/>
          <w:sz w:val="22"/>
          <w:szCs w:val="22"/>
          <w:lang w:val="en-AU"/>
        </w:rPr>
        <w:t>Organ dysfunction in children and adults is defined in Appendix 1.</w:t>
      </w:r>
    </w:p>
    <w:p w14:paraId="30A10A31" w14:textId="147B5FF1" w:rsidR="00073A12" w:rsidRDefault="00073A12" w:rsidP="00957901">
      <w:pPr>
        <w:pStyle w:val="Body"/>
        <w:widowControl w:val="0"/>
        <w:spacing w:line="360" w:lineRule="auto"/>
        <w:rPr>
          <w:rFonts w:cs="Arial"/>
          <w:sz w:val="22"/>
          <w:szCs w:val="22"/>
        </w:rPr>
      </w:pPr>
    </w:p>
    <w:p w14:paraId="4243B5BF" w14:textId="619C4C92"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 xml:space="preserve">Initial study samples will be obtained </w:t>
      </w:r>
      <w:r w:rsidR="00E62CF0">
        <w:rPr>
          <w:rFonts w:ascii="Arial" w:hAnsi="Arial" w:cs="Arial"/>
          <w:sz w:val="22"/>
          <w:szCs w:val="22"/>
          <w:lang w:val="en-AU"/>
        </w:rPr>
        <w:t>during the course of</w:t>
      </w:r>
      <w:r w:rsidRPr="00CE7A5C">
        <w:rPr>
          <w:rFonts w:ascii="Arial" w:hAnsi="Arial" w:cs="Arial"/>
          <w:sz w:val="22"/>
          <w:szCs w:val="22"/>
          <w:lang w:val="en-AU"/>
        </w:rPr>
        <w:t xml:space="preserve"> the routine clinical sepsis workup. Samples will be stored until consent to participate has been sought, and will then be analysed if consent is given, or destroyed if consent is not given or revoked. </w:t>
      </w:r>
    </w:p>
    <w:p w14:paraId="3AA03C06" w14:textId="77777777" w:rsidR="00C70998" w:rsidRPr="00CE7A5C" w:rsidRDefault="00C70998" w:rsidP="00C70998">
      <w:pPr>
        <w:spacing w:line="360" w:lineRule="auto"/>
        <w:rPr>
          <w:rFonts w:ascii="Arial" w:hAnsi="Arial" w:cs="Arial"/>
          <w:sz w:val="22"/>
          <w:szCs w:val="22"/>
          <w:lang w:val="en-AU"/>
        </w:rPr>
      </w:pPr>
    </w:p>
    <w:p w14:paraId="302B91A4"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The following study samples will be obtained:</w:t>
      </w:r>
    </w:p>
    <w:p w14:paraId="127F03CB" w14:textId="77777777" w:rsidR="00C70998" w:rsidRPr="008472E7" w:rsidRDefault="00C70998" w:rsidP="00C70998">
      <w:pPr>
        <w:pStyle w:val="EndNoteBibliography"/>
        <w:numPr>
          <w:ilvl w:val="0"/>
          <w:numId w:val="11"/>
        </w:numPr>
        <w:spacing w:line="360" w:lineRule="auto"/>
        <w:rPr>
          <w:rFonts w:ascii="Arial" w:hAnsi="Arial" w:cs="Arial"/>
        </w:rPr>
      </w:pPr>
      <w:r w:rsidRPr="00CE7A5C">
        <w:rPr>
          <w:rFonts w:ascii="Arial" w:hAnsi="Arial" w:cs="Arial"/>
        </w:rPr>
        <w:lastRenderedPageBreak/>
        <w:t xml:space="preserve">A single study sample will be taken into an EDTA container at the time of recruitment to the study, and as close to the time of initial blood culture sampling on suspicion of sepsis. (Time=zero). Routine clinical sampling should include appropriate volumes of blood and </w:t>
      </w:r>
      <w:r w:rsidRPr="008472E7">
        <w:rPr>
          <w:rFonts w:ascii="Arial" w:hAnsi="Arial" w:cs="Arial"/>
        </w:rPr>
        <w:t>other clinical samples for culture and susceptibility testing.</w:t>
      </w:r>
    </w:p>
    <w:p w14:paraId="2DC1339A" w14:textId="77777777" w:rsidR="00C70998" w:rsidRPr="008472E7" w:rsidRDefault="00C70998" w:rsidP="00C70998">
      <w:pPr>
        <w:pStyle w:val="EndNoteBibliography"/>
        <w:spacing w:line="360" w:lineRule="auto"/>
        <w:rPr>
          <w:rFonts w:ascii="Arial" w:hAnsi="Arial" w:cs="Arial"/>
        </w:rPr>
      </w:pPr>
      <w:r w:rsidRPr="008472E7">
        <w:rPr>
          <w:rFonts w:ascii="Arial" w:hAnsi="Arial" w:cs="Arial"/>
        </w:rPr>
        <w:t xml:space="preserve">Plasma samples will be taken at the following time points of antibiotic therapy: at 24 hours, 48 hours, 72 hours and 96 hours post-commencement of antibiotic treatment to determine if target antibiotic plasma concentrations have been reached. </w:t>
      </w:r>
    </w:p>
    <w:p w14:paraId="67E55EE7" w14:textId="13D38FA6"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Clinical samples will be processed in line with existing laboratory requirements. Study EDTA samples will be stored at 4°C before shipping to The University of Queensland Centre for Clinical Research (UQCCR)</w:t>
      </w:r>
      <w:r w:rsidR="00E813A1">
        <w:rPr>
          <w:rFonts w:ascii="Arial" w:hAnsi="Arial" w:cs="Arial"/>
          <w:sz w:val="22"/>
          <w:szCs w:val="22"/>
          <w:lang w:val="en-AU"/>
        </w:rPr>
        <w:t xml:space="preserve"> and the Queensland Paediatric Infectious Disease (QPID) laboratory</w:t>
      </w:r>
      <w:r w:rsidRPr="00CE7A5C">
        <w:rPr>
          <w:rFonts w:ascii="Arial" w:hAnsi="Arial" w:cs="Arial"/>
          <w:sz w:val="22"/>
          <w:szCs w:val="22"/>
          <w:lang w:val="en-AU"/>
        </w:rPr>
        <w:t xml:space="preserve">. </w:t>
      </w:r>
      <w:r w:rsidR="005238D0">
        <w:rPr>
          <w:rFonts w:ascii="Arial" w:hAnsi="Arial" w:cs="Arial"/>
          <w:sz w:val="22"/>
          <w:szCs w:val="22"/>
          <w:lang w:val="en-AU"/>
        </w:rPr>
        <w:t>Bacterial i</w:t>
      </w:r>
      <w:r w:rsidR="005238D0" w:rsidRPr="00CE7A5C">
        <w:rPr>
          <w:rFonts w:ascii="Arial" w:hAnsi="Arial" w:cs="Arial"/>
          <w:sz w:val="22"/>
          <w:szCs w:val="22"/>
          <w:lang w:val="en-AU"/>
        </w:rPr>
        <w:t>solates will be stored at -80°C before shipping to UQCCR.</w:t>
      </w:r>
      <w:r w:rsidR="005238D0">
        <w:rPr>
          <w:rFonts w:ascii="Arial" w:hAnsi="Arial" w:cs="Arial"/>
          <w:sz w:val="22"/>
          <w:szCs w:val="22"/>
          <w:lang w:val="en-AU"/>
        </w:rPr>
        <w:t xml:space="preserve"> </w:t>
      </w:r>
      <w:r w:rsidRPr="00CE7A5C">
        <w:rPr>
          <w:rFonts w:ascii="Arial" w:hAnsi="Arial" w:cs="Arial"/>
          <w:sz w:val="22"/>
          <w:szCs w:val="22"/>
          <w:lang w:val="en-AU"/>
        </w:rPr>
        <w:t>Samples will be de-identified before shipping, and labelled with a study ID. Samples at UQCCR will be stored at -80°C until analysis.</w:t>
      </w:r>
      <w:r w:rsidR="005238D0" w:rsidRPr="005238D0">
        <w:rPr>
          <w:rFonts w:ascii="Arial" w:hAnsi="Arial" w:cs="Arial"/>
          <w:sz w:val="22"/>
          <w:szCs w:val="22"/>
          <w:lang w:val="en-AU"/>
        </w:rPr>
        <w:t xml:space="preserve"> </w:t>
      </w:r>
    </w:p>
    <w:p w14:paraId="6576BA74" w14:textId="77777777" w:rsidR="00C70998" w:rsidRPr="00CE7A5C" w:rsidRDefault="00C70998" w:rsidP="00C70998">
      <w:pPr>
        <w:spacing w:line="360" w:lineRule="auto"/>
        <w:rPr>
          <w:rFonts w:ascii="Arial" w:hAnsi="Arial" w:cs="Arial"/>
          <w:sz w:val="22"/>
          <w:szCs w:val="22"/>
          <w:lang w:val="en-AU"/>
        </w:rPr>
      </w:pPr>
    </w:p>
    <w:p w14:paraId="16DBDB9F"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Appropriate study sample volumes depending on age:</w:t>
      </w:r>
    </w:p>
    <w:p w14:paraId="0B851052"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Initial EDTA sample</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Pr="00CE7A5C">
        <w:rPr>
          <w:rFonts w:ascii="Arial" w:hAnsi="Arial" w:cs="Arial"/>
          <w:sz w:val="22"/>
          <w:szCs w:val="22"/>
          <w:lang w:val="en-AU"/>
        </w:rPr>
        <w:t>(T=0)</w:t>
      </w:r>
    </w:p>
    <w:p w14:paraId="0ACFDE0D"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Infants and Young children (&lt;5y):</w:t>
      </w:r>
      <w:r w:rsidRPr="00CE7A5C">
        <w:rPr>
          <w:rFonts w:ascii="Arial" w:hAnsi="Arial" w:cs="Arial"/>
          <w:sz w:val="22"/>
          <w:szCs w:val="22"/>
          <w:lang w:val="en-AU"/>
        </w:rPr>
        <w:tab/>
        <w:t>1-2ml</w:t>
      </w:r>
      <w:r w:rsidRPr="00CE7A5C">
        <w:rPr>
          <w:rFonts w:ascii="Arial" w:hAnsi="Arial" w:cs="Arial"/>
          <w:sz w:val="22"/>
          <w:szCs w:val="22"/>
          <w:lang w:val="en-AU"/>
        </w:rPr>
        <w:br/>
        <w:t>Older children (5-12y):</w:t>
      </w:r>
      <w:r w:rsidRPr="00CE7A5C">
        <w:rPr>
          <w:rFonts w:ascii="Arial" w:hAnsi="Arial" w:cs="Arial"/>
          <w:sz w:val="22"/>
          <w:szCs w:val="22"/>
          <w:lang w:val="en-AU"/>
        </w:rPr>
        <w:tab/>
      </w:r>
      <w:r w:rsidRPr="00CE7A5C">
        <w:rPr>
          <w:rFonts w:ascii="Arial" w:hAnsi="Arial" w:cs="Arial"/>
          <w:sz w:val="22"/>
          <w:szCs w:val="22"/>
          <w:lang w:val="en-AU"/>
        </w:rPr>
        <w:tab/>
        <w:t>2-6ml</w:t>
      </w:r>
      <w:r w:rsidRPr="00CE7A5C">
        <w:rPr>
          <w:rFonts w:ascii="Arial" w:hAnsi="Arial" w:cs="Arial"/>
          <w:sz w:val="22"/>
          <w:szCs w:val="22"/>
          <w:lang w:val="en-AU"/>
        </w:rPr>
        <w:br/>
        <w:t>Adolescents and adults:</w:t>
      </w:r>
      <w:r w:rsidRPr="00CE7A5C">
        <w:rPr>
          <w:rFonts w:ascii="Arial" w:hAnsi="Arial" w:cs="Arial"/>
          <w:sz w:val="22"/>
          <w:szCs w:val="22"/>
          <w:lang w:val="en-AU"/>
        </w:rPr>
        <w:tab/>
      </w:r>
      <w:r w:rsidRPr="00CE7A5C">
        <w:rPr>
          <w:rFonts w:ascii="Arial" w:hAnsi="Arial" w:cs="Arial"/>
          <w:sz w:val="22"/>
          <w:szCs w:val="22"/>
          <w:lang w:val="en-AU"/>
        </w:rPr>
        <w:tab/>
        <w:t>6-10ml</w:t>
      </w:r>
    </w:p>
    <w:p w14:paraId="63865E67" w14:textId="77777777" w:rsidR="00C70998" w:rsidRPr="00CE7A5C" w:rsidRDefault="00C70998" w:rsidP="00C70998">
      <w:pPr>
        <w:spacing w:line="360" w:lineRule="auto"/>
        <w:rPr>
          <w:rFonts w:ascii="Arial" w:hAnsi="Arial" w:cs="Arial"/>
          <w:sz w:val="22"/>
          <w:szCs w:val="22"/>
          <w:lang w:val="en-AU"/>
        </w:rPr>
      </w:pPr>
    </w:p>
    <w:p w14:paraId="34E092C6"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Subsequent plasma samples for antimicrobial dosing (T=24, 48, 72, 96h)</w:t>
      </w:r>
    </w:p>
    <w:p w14:paraId="266B8B5A"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Infants and Young children (&lt;5y):</w:t>
      </w:r>
      <w:r w:rsidRPr="00CE7A5C">
        <w:rPr>
          <w:rFonts w:ascii="Arial" w:hAnsi="Arial" w:cs="Arial"/>
          <w:sz w:val="22"/>
          <w:szCs w:val="22"/>
          <w:lang w:val="en-AU"/>
        </w:rPr>
        <w:tab/>
        <w:t>0.5ml</w:t>
      </w:r>
      <w:r w:rsidRPr="00CE7A5C">
        <w:rPr>
          <w:rFonts w:ascii="Arial" w:hAnsi="Arial" w:cs="Arial"/>
          <w:sz w:val="22"/>
          <w:szCs w:val="22"/>
          <w:lang w:val="en-AU"/>
        </w:rPr>
        <w:br/>
        <w:t>Older children (5-12y):</w:t>
      </w:r>
      <w:r w:rsidRPr="00CE7A5C">
        <w:rPr>
          <w:rFonts w:ascii="Arial" w:hAnsi="Arial" w:cs="Arial"/>
          <w:sz w:val="22"/>
          <w:szCs w:val="22"/>
          <w:lang w:val="en-AU"/>
        </w:rPr>
        <w:tab/>
      </w:r>
      <w:r w:rsidRPr="00CE7A5C">
        <w:rPr>
          <w:rFonts w:ascii="Arial" w:hAnsi="Arial" w:cs="Arial"/>
          <w:sz w:val="22"/>
          <w:szCs w:val="22"/>
          <w:lang w:val="en-AU"/>
        </w:rPr>
        <w:tab/>
        <w:t>1-2ml</w:t>
      </w:r>
      <w:r w:rsidRPr="00CE7A5C">
        <w:rPr>
          <w:rFonts w:ascii="Arial" w:hAnsi="Arial" w:cs="Arial"/>
          <w:sz w:val="22"/>
          <w:szCs w:val="22"/>
          <w:lang w:val="en-AU"/>
        </w:rPr>
        <w:br/>
        <w:t>Adolescents and adults:</w:t>
      </w:r>
      <w:r w:rsidRPr="00CE7A5C">
        <w:rPr>
          <w:rFonts w:ascii="Arial" w:hAnsi="Arial" w:cs="Arial"/>
          <w:sz w:val="22"/>
          <w:szCs w:val="22"/>
          <w:lang w:val="en-AU"/>
        </w:rPr>
        <w:tab/>
      </w:r>
      <w:r w:rsidRPr="00CE7A5C">
        <w:rPr>
          <w:rFonts w:ascii="Arial" w:hAnsi="Arial" w:cs="Arial"/>
          <w:sz w:val="22"/>
          <w:szCs w:val="22"/>
          <w:lang w:val="en-AU"/>
        </w:rPr>
        <w:tab/>
        <w:t>3-5ml</w:t>
      </w:r>
    </w:p>
    <w:p w14:paraId="06CDB1DF" w14:textId="77777777" w:rsidR="00C70998" w:rsidRPr="00CE7A5C" w:rsidRDefault="00C70998" w:rsidP="00C70998">
      <w:pPr>
        <w:spacing w:line="360" w:lineRule="auto"/>
        <w:rPr>
          <w:rFonts w:ascii="Arial" w:hAnsi="Arial" w:cs="Arial"/>
          <w:sz w:val="22"/>
          <w:szCs w:val="22"/>
          <w:lang w:val="en-AU"/>
        </w:rPr>
      </w:pPr>
    </w:p>
    <w:p w14:paraId="1C2D7801" w14:textId="77777777"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The volume of blood obtained (for both children and adults) will be documented at the time of recruitment and sampling. Consent will be sought to use residual EDTA samples for the evaluation of emerging, rapid methods of bacterial detection and antimicrobial resistance identification.</w:t>
      </w:r>
    </w:p>
    <w:p w14:paraId="1761767D" w14:textId="77777777" w:rsidR="00C70998" w:rsidRPr="00CE7A5C" w:rsidRDefault="00C70998" w:rsidP="00C70998">
      <w:pPr>
        <w:spacing w:line="360" w:lineRule="auto"/>
        <w:rPr>
          <w:rFonts w:ascii="Arial" w:hAnsi="Arial" w:cs="Arial"/>
          <w:b/>
          <w:sz w:val="22"/>
          <w:szCs w:val="22"/>
          <w:lang w:val="en-AU"/>
        </w:rPr>
      </w:pPr>
    </w:p>
    <w:p w14:paraId="20B4D960" w14:textId="77777777" w:rsidR="00C70998" w:rsidRPr="00B31A4A" w:rsidRDefault="00C70998" w:rsidP="00C70998">
      <w:pPr>
        <w:spacing w:line="360" w:lineRule="auto"/>
        <w:rPr>
          <w:rFonts w:ascii="Arial" w:hAnsi="Arial" w:cs="Arial"/>
          <w:b/>
          <w:iCs/>
          <w:sz w:val="22"/>
          <w:szCs w:val="22"/>
          <w:lang w:val="en-AU"/>
        </w:rPr>
      </w:pPr>
      <w:r w:rsidRPr="00B31A4A">
        <w:rPr>
          <w:rFonts w:ascii="Arial" w:hAnsi="Arial" w:cs="Arial"/>
          <w:b/>
          <w:iCs/>
          <w:sz w:val="22"/>
          <w:szCs w:val="22"/>
          <w:lang w:val="en-AU"/>
        </w:rPr>
        <w:t>Re</w:t>
      </w:r>
      <w:r>
        <w:rPr>
          <w:rFonts w:ascii="Arial" w:hAnsi="Arial" w:cs="Arial"/>
          <w:b/>
          <w:iCs/>
          <w:sz w:val="22"/>
          <w:szCs w:val="22"/>
          <w:lang w:val="en-AU"/>
        </w:rPr>
        <w:t>fe</w:t>
      </w:r>
      <w:r w:rsidRPr="00B31A4A">
        <w:rPr>
          <w:rFonts w:ascii="Arial" w:hAnsi="Arial" w:cs="Arial"/>
          <w:b/>
          <w:iCs/>
          <w:sz w:val="22"/>
          <w:szCs w:val="22"/>
          <w:lang w:val="en-AU"/>
        </w:rPr>
        <w:t>rence standard</w:t>
      </w:r>
    </w:p>
    <w:p w14:paraId="5503E940" w14:textId="47EFC9C5" w:rsidR="00C70998" w:rsidRPr="00CE7A5C" w:rsidRDefault="00C70998" w:rsidP="00C70998">
      <w:pPr>
        <w:spacing w:line="360" w:lineRule="auto"/>
        <w:rPr>
          <w:rFonts w:ascii="Arial" w:hAnsi="Arial" w:cs="Arial"/>
          <w:sz w:val="22"/>
          <w:szCs w:val="22"/>
          <w:lang w:val="en-AU"/>
        </w:rPr>
      </w:pPr>
      <w:r w:rsidRPr="00CE7A5C">
        <w:rPr>
          <w:rFonts w:ascii="Arial" w:hAnsi="Arial" w:cs="Arial"/>
          <w:sz w:val="22"/>
          <w:szCs w:val="22"/>
          <w:lang w:val="en-AU"/>
        </w:rPr>
        <w:t xml:space="preserve">The diagnostic accuracy of real-time pathogen sequencing using the </w:t>
      </w:r>
      <w:proofErr w:type="spellStart"/>
      <w:r w:rsidRPr="00CE7A5C">
        <w:rPr>
          <w:rFonts w:ascii="Arial" w:hAnsi="Arial" w:cs="Arial"/>
          <w:sz w:val="22"/>
          <w:szCs w:val="22"/>
          <w:lang w:val="en-AU"/>
        </w:rPr>
        <w:t>MinION</w:t>
      </w:r>
      <w:proofErr w:type="spellEnd"/>
      <w:r w:rsidRPr="00CE7A5C">
        <w:rPr>
          <w:rFonts w:ascii="Arial" w:hAnsi="Arial" w:cs="Arial"/>
          <w:sz w:val="22"/>
          <w:szCs w:val="22"/>
          <w:lang w:val="en-AU"/>
        </w:rPr>
        <w:t xml:space="preserve"> sequencer for the diagnosis of sepsis will be evaluated against a reference standard of conventional microbiological evaluation using blood culture and susceptibility testing. Routine clinical samples will be processed in NATA accredited laboratories at Pathology Queensland. Time to blood culture growth, time to pathogen identification, and time to susceptibility testing completion will be collected. </w:t>
      </w:r>
    </w:p>
    <w:p w14:paraId="121830FE" w14:textId="267D770F" w:rsidR="00C70998" w:rsidRDefault="00C70998" w:rsidP="00C70998">
      <w:pPr>
        <w:rPr>
          <w:rFonts w:ascii="Arial" w:hAnsi="Arial" w:cs="Arial"/>
          <w:b/>
          <w:i/>
          <w:sz w:val="22"/>
          <w:szCs w:val="22"/>
          <w:lang w:val="en-AU"/>
        </w:rPr>
      </w:pPr>
    </w:p>
    <w:p w14:paraId="451C3399" w14:textId="77777777" w:rsidR="00C70998" w:rsidRPr="00B31A4A" w:rsidRDefault="00C70998" w:rsidP="00C70998">
      <w:pPr>
        <w:spacing w:line="360" w:lineRule="auto"/>
        <w:rPr>
          <w:rFonts w:ascii="Arial" w:hAnsi="Arial" w:cs="Arial"/>
          <w:b/>
          <w:iCs/>
          <w:sz w:val="22"/>
          <w:szCs w:val="22"/>
          <w:lang w:val="en-AU"/>
        </w:rPr>
      </w:pPr>
      <w:r w:rsidRPr="00B31A4A">
        <w:rPr>
          <w:rFonts w:ascii="Arial" w:hAnsi="Arial" w:cs="Arial"/>
          <w:b/>
          <w:iCs/>
          <w:sz w:val="22"/>
          <w:szCs w:val="22"/>
          <w:lang w:val="en-AU"/>
        </w:rPr>
        <w:lastRenderedPageBreak/>
        <w:t>Broth microdilution</w:t>
      </w:r>
    </w:p>
    <w:p w14:paraId="65F45EAE" w14:textId="77777777" w:rsidR="00C70998" w:rsidRPr="00CE7A5C" w:rsidRDefault="00C70998" w:rsidP="00C70998">
      <w:pPr>
        <w:spacing w:line="360" w:lineRule="auto"/>
        <w:rPr>
          <w:rFonts w:ascii="Arial" w:hAnsi="Arial" w:cs="Arial"/>
          <w:i/>
          <w:sz w:val="22"/>
          <w:szCs w:val="22"/>
          <w:lang w:val="en-AU"/>
        </w:rPr>
      </w:pPr>
      <w:r w:rsidRPr="00CE7A5C">
        <w:rPr>
          <w:rFonts w:ascii="Arial" w:hAnsi="Arial" w:cs="Arial"/>
          <w:sz w:val="22"/>
          <w:szCs w:val="22"/>
          <w:lang w:val="en-AU"/>
        </w:rPr>
        <w:t>Susceptibility testing will be undertaken at UQCCR using a broth microdilution method (BMD). In house BMD plates will be made using the Hamilton Star liquid handling robot as per European Committee on Antimicrobial Susceptibility Testing (EUCAST) standards and testing will be performed on demand as isolates are made available. Antimicrobials tested by BMD will be chosen by the study investigators and will reflect available and readily used antimicrobials in clinical practice.</w:t>
      </w:r>
    </w:p>
    <w:p w14:paraId="6AE11AD7" w14:textId="77777777" w:rsidR="00C70998" w:rsidRPr="00CE7A5C" w:rsidRDefault="00C70998" w:rsidP="00C70998">
      <w:pPr>
        <w:spacing w:line="360" w:lineRule="auto"/>
        <w:rPr>
          <w:rFonts w:ascii="Arial" w:hAnsi="Arial" w:cs="Arial"/>
          <w:b/>
          <w:i/>
          <w:sz w:val="22"/>
          <w:szCs w:val="22"/>
          <w:lang w:val="en-AU"/>
        </w:rPr>
      </w:pPr>
    </w:p>
    <w:p w14:paraId="58CF9DF2" w14:textId="1F051BA8" w:rsidR="00C70998" w:rsidRPr="00B31A4A" w:rsidRDefault="00C70998" w:rsidP="00C70998">
      <w:pPr>
        <w:spacing w:line="360" w:lineRule="auto"/>
        <w:rPr>
          <w:rFonts w:ascii="Arial" w:hAnsi="Arial" w:cs="Arial"/>
          <w:b/>
          <w:iCs/>
          <w:sz w:val="22"/>
          <w:szCs w:val="22"/>
          <w:lang w:val="en-AU"/>
        </w:rPr>
      </w:pPr>
      <w:r w:rsidRPr="00B31A4A">
        <w:rPr>
          <w:rFonts w:ascii="Arial" w:hAnsi="Arial" w:cs="Arial"/>
          <w:b/>
          <w:iCs/>
          <w:sz w:val="22"/>
          <w:szCs w:val="22"/>
          <w:lang w:val="en-AU"/>
        </w:rPr>
        <w:t>Whole genome sequencing</w:t>
      </w:r>
      <w:r>
        <w:rPr>
          <w:rFonts w:ascii="Arial" w:hAnsi="Arial" w:cs="Arial"/>
          <w:b/>
          <w:iCs/>
          <w:sz w:val="22"/>
          <w:szCs w:val="22"/>
          <w:lang w:val="en-AU"/>
        </w:rPr>
        <w:t xml:space="preserve"> of sepsis pathogens</w:t>
      </w:r>
    </w:p>
    <w:p w14:paraId="2FEB1FDC" w14:textId="673CD3B5" w:rsidR="00C70998" w:rsidRPr="00CE7A5C" w:rsidRDefault="00A25D3F" w:rsidP="00C70998">
      <w:pPr>
        <w:spacing w:line="360" w:lineRule="auto"/>
        <w:rPr>
          <w:rFonts w:ascii="Arial" w:hAnsi="Arial" w:cs="Arial"/>
          <w:sz w:val="22"/>
          <w:szCs w:val="22"/>
          <w:lang w:val="en-AU"/>
        </w:rPr>
      </w:pPr>
      <w:r>
        <w:rPr>
          <w:rFonts w:ascii="Arial" w:hAnsi="Arial" w:cs="Arial"/>
          <w:sz w:val="22"/>
          <w:szCs w:val="22"/>
          <w:lang w:val="en-AU"/>
        </w:rPr>
        <w:t xml:space="preserve">Whole genome sequencing </w:t>
      </w:r>
      <w:r w:rsidR="00BA15D6">
        <w:rPr>
          <w:rFonts w:ascii="Arial" w:hAnsi="Arial" w:cs="Arial"/>
          <w:sz w:val="22"/>
          <w:szCs w:val="22"/>
          <w:lang w:val="en-AU"/>
        </w:rPr>
        <w:t xml:space="preserve">(WGS) </w:t>
      </w:r>
      <w:r>
        <w:rPr>
          <w:rFonts w:ascii="Arial" w:hAnsi="Arial" w:cs="Arial"/>
          <w:sz w:val="22"/>
          <w:szCs w:val="22"/>
          <w:lang w:val="en-AU"/>
        </w:rPr>
        <w:t>of</w:t>
      </w:r>
      <w:r w:rsidR="00A57A49">
        <w:rPr>
          <w:rFonts w:ascii="Arial" w:hAnsi="Arial" w:cs="Arial"/>
          <w:sz w:val="22"/>
          <w:szCs w:val="22"/>
          <w:lang w:val="en-AU"/>
        </w:rPr>
        <w:t xml:space="preserve"> sepsis pathogen isolate</w:t>
      </w:r>
      <w:r w:rsidR="00D17FAD">
        <w:rPr>
          <w:rFonts w:ascii="Arial" w:hAnsi="Arial" w:cs="Arial"/>
          <w:sz w:val="22"/>
          <w:szCs w:val="22"/>
          <w:lang w:val="en-AU"/>
        </w:rPr>
        <w:t>s</w:t>
      </w:r>
      <w:r w:rsidR="00A57A49">
        <w:rPr>
          <w:rFonts w:ascii="Arial" w:hAnsi="Arial" w:cs="Arial"/>
          <w:sz w:val="22"/>
          <w:szCs w:val="22"/>
          <w:lang w:val="en-AU"/>
        </w:rPr>
        <w:t xml:space="preserve"> </w:t>
      </w:r>
      <w:r>
        <w:rPr>
          <w:rFonts w:ascii="Arial" w:hAnsi="Arial" w:cs="Arial"/>
          <w:sz w:val="22"/>
          <w:szCs w:val="22"/>
          <w:lang w:val="en-AU"/>
        </w:rPr>
        <w:t>with</w:t>
      </w:r>
      <w:r w:rsidR="00A57A49">
        <w:rPr>
          <w:rFonts w:ascii="Arial" w:hAnsi="Arial" w:cs="Arial"/>
          <w:sz w:val="22"/>
          <w:szCs w:val="22"/>
          <w:lang w:val="en-AU"/>
        </w:rPr>
        <w:t xml:space="preserve"> ONT </w:t>
      </w:r>
      <w:proofErr w:type="spellStart"/>
      <w:r w:rsidR="00A57A49">
        <w:rPr>
          <w:rFonts w:ascii="Arial" w:hAnsi="Arial" w:cs="Arial"/>
          <w:sz w:val="22"/>
          <w:szCs w:val="22"/>
          <w:lang w:val="en-AU"/>
        </w:rPr>
        <w:t>MinION</w:t>
      </w:r>
      <w:proofErr w:type="spellEnd"/>
      <w:r w:rsidR="00A57A49">
        <w:rPr>
          <w:rFonts w:ascii="Arial" w:hAnsi="Arial" w:cs="Arial"/>
          <w:sz w:val="22"/>
          <w:szCs w:val="22"/>
          <w:lang w:val="en-AU"/>
        </w:rPr>
        <w:t xml:space="preserve"> </w:t>
      </w:r>
      <w:r>
        <w:rPr>
          <w:rFonts w:ascii="Arial" w:hAnsi="Arial" w:cs="Arial"/>
          <w:sz w:val="22"/>
          <w:szCs w:val="22"/>
          <w:lang w:val="en-AU"/>
        </w:rPr>
        <w:t>or</w:t>
      </w:r>
      <w:r w:rsidR="00A57A49">
        <w:rPr>
          <w:rFonts w:ascii="Arial" w:hAnsi="Arial" w:cs="Arial"/>
          <w:sz w:val="22"/>
          <w:szCs w:val="22"/>
          <w:lang w:val="en-AU"/>
        </w:rPr>
        <w:t xml:space="preserve"> Illumina </w:t>
      </w:r>
      <w:proofErr w:type="spellStart"/>
      <w:r>
        <w:rPr>
          <w:rFonts w:ascii="Arial" w:hAnsi="Arial" w:cs="Arial"/>
          <w:sz w:val="22"/>
          <w:szCs w:val="22"/>
          <w:lang w:val="en-AU"/>
        </w:rPr>
        <w:t>Miniseq</w:t>
      </w:r>
      <w:proofErr w:type="spellEnd"/>
      <w:r w:rsidR="00A57A49">
        <w:rPr>
          <w:rFonts w:ascii="Arial" w:hAnsi="Arial" w:cs="Arial"/>
          <w:sz w:val="22"/>
          <w:szCs w:val="22"/>
          <w:lang w:val="en-AU"/>
        </w:rPr>
        <w:t xml:space="preserve"> </w:t>
      </w:r>
      <w:r w:rsidR="00D17FAD">
        <w:rPr>
          <w:rFonts w:ascii="Arial" w:hAnsi="Arial" w:cs="Arial"/>
          <w:sz w:val="22"/>
          <w:szCs w:val="22"/>
          <w:lang w:val="en-AU"/>
        </w:rPr>
        <w:t xml:space="preserve">instruments </w:t>
      </w:r>
      <w:r>
        <w:rPr>
          <w:rFonts w:ascii="Arial" w:hAnsi="Arial" w:cs="Arial"/>
          <w:sz w:val="22"/>
          <w:szCs w:val="22"/>
          <w:lang w:val="en-AU"/>
        </w:rPr>
        <w:t>will be carried out</w:t>
      </w:r>
      <w:r w:rsidR="00A57A49">
        <w:rPr>
          <w:rFonts w:ascii="Arial" w:hAnsi="Arial" w:cs="Arial"/>
          <w:sz w:val="22"/>
          <w:szCs w:val="22"/>
          <w:lang w:val="en-AU"/>
        </w:rPr>
        <w:t xml:space="preserve"> at </w:t>
      </w:r>
      <w:r w:rsidR="00C70998" w:rsidRPr="00CE7A5C">
        <w:rPr>
          <w:rFonts w:ascii="Arial" w:hAnsi="Arial" w:cs="Arial"/>
          <w:sz w:val="22"/>
          <w:szCs w:val="22"/>
          <w:lang w:val="en-AU"/>
        </w:rPr>
        <w:t xml:space="preserve">UQCCR. </w:t>
      </w:r>
      <w:r w:rsidR="00BA15D6">
        <w:rPr>
          <w:rFonts w:ascii="Arial" w:hAnsi="Arial" w:cs="Arial"/>
          <w:sz w:val="22"/>
          <w:szCs w:val="22"/>
          <w:lang w:val="en-AU"/>
        </w:rPr>
        <w:t>Bacterial isolate identity (genus, species, sequence-type) and antimicrobial resistance genotype will be determined using the Queensland Genomics I</w:t>
      </w:r>
      <w:r w:rsidR="00BA15D6" w:rsidRPr="00CE7A5C">
        <w:rPr>
          <w:rFonts w:ascii="Arial" w:hAnsi="Arial" w:cs="Arial"/>
          <w:sz w:val="22"/>
          <w:szCs w:val="22"/>
          <w:lang w:val="en-AU"/>
        </w:rPr>
        <w:t xml:space="preserve">nfectious </w:t>
      </w:r>
      <w:r w:rsidR="00BA15D6">
        <w:rPr>
          <w:rFonts w:ascii="Arial" w:hAnsi="Arial" w:cs="Arial"/>
          <w:sz w:val="22"/>
          <w:szCs w:val="22"/>
          <w:lang w:val="en-AU"/>
        </w:rPr>
        <w:t>D</w:t>
      </w:r>
      <w:r w:rsidR="00BA15D6" w:rsidRPr="00CE7A5C">
        <w:rPr>
          <w:rFonts w:ascii="Arial" w:hAnsi="Arial" w:cs="Arial"/>
          <w:sz w:val="22"/>
          <w:szCs w:val="22"/>
          <w:lang w:val="en-AU"/>
        </w:rPr>
        <w:t>isease</w:t>
      </w:r>
      <w:r w:rsidR="00BA15D6">
        <w:rPr>
          <w:rFonts w:ascii="Arial" w:hAnsi="Arial" w:cs="Arial"/>
          <w:sz w:val="22"/>
          <w:szCs w:val="22"/>
          <w:lang w:val="en-AU"/>
        </w:rPr>
        <w:t xml:space="preserve"> (QGID) WGS pipeline. For both technologies, </w:t>
      </w:r>
      <w:r w:rsidR="00BA15D6" w:rsidRPr="00CE7A5C">
        <w:rPr>
          <w:rFonts w:ascii="Arial" w:hAnsi="Arial" w:cs="Arial"/>
          <w:sz w:val="22"/>
          <w:szCs w:val="22"/>
          <w:lang w:val="en-AU"/>
        </w:rPr>
        <w:t xml:space="preserve">time to pathogen identification, and time to susceptibility </w:t>
      </w:r>
      <w:r w:rsidR="00BA15D6">
        <w:rPr>
          <w:rFonts w:ascii="Arial" w:hAnsi="Arial" w:cs="Arial"/>
          <w:sz w:val="22"/>
          <w:szCs w:val="22"/>
          <w:lang w:val="en-AU"/>
        </w:rPr>
        <w:t>prediction</w:t>
      </w:r>
      <w:r w:rsidR="00BA15D6" w:rsidRPr="00CE7A5C">
        <w:rPr>
          <w:rFonts w:ascii="Arial" w:hAnsi="Arial" w:cs="Arial"/>
          <w:sz w:val="22"/>
          <w:szCs w:val="22"/>
          <w:lang w:val="en-AU"/>
        </w:rPr>
        <w:t xml:space="preserve"> will be </w:t>
      </w:r>
      <w:r w:rsidR="00C26772">
        <w:rPr>
          <w:rFonts w:ascii="Arial" w:hAnsi="Arial" w:cs="Arial"/>
          <w:sz w:val="22"/>
          <w:szCs w:val="22"/>
          <w:lang w:val="en-AU"/>
        </w:rPr>
        <w:t>measured</w:t>
      </w:r>
      <w:r w:rsidR="006D7594">
        <w:rPr>
          <w:rFonts w:ascii="Arial" w:hAnsi="Arial" w:cs="Arial"/>
          <w:sz w:val="22"/>
          <w:szCs w:val="22"/>
          <w:lang w:val="en-AU"/>
        </w:rPr>
        <w:t xml:space="preserve">. </w:t>
      </w:r>
      <w:r>
        <w:rPr>
          <w:rFonts w:ascii="Arial" w:hAnsi="Arial" w:cs="Arial"/>
          <w:sz w:val="22"/>
          <w:szCs w:val="22"/>
          <w:lang w:val="en-AU"/>
        </w:rPr>
        <w:t xml:space="preserve">High quality complete reference genomes will be assembled </w:t>
      </w:r>
      <w:r w:rsidR="00BA15D6">
        <w:rPr>
          <w:rFonts w:ascii="Arial" w:hAnsi="Arial" w:cs="Arial"/>
          <w:sz w:val="22"/>
          <w:szCs w:val="22"/>
          <w:lang w:val="en-AU"/>
        </w:rPr>
        <w:t xml:space="preserve">from Illumina and </w:t>
      </w:r>
      <w:proofErr w:type="spellStart"/>
      <w:r w:rsidR="00BA15D6">
        <w:rPr>
          <w:rFonts w:ascii="Arial" w:hAnsi="Arial" w:cs="Arial"/>
          <w:sz w:val="22"/>
          <w:szCs w:val="22"/>
          <w:lang w:val="en-AU"/>
        </w:rPr>
        <w:t>MinION</w:t>
      </w:r>
      <w:proofErr w:type="spellEnd"/>
      <w:r w:rsidR="00BA15D6">
        <w:rPr>
          <w:rFonts w:ascii="Arial" w:hAnsi="Arial" w:cs="Arial"/>
          <w:sz w:val="22"/>
          <w:szCs w:val="22"/>
          <w:lang w:val="en-AU"/>
        </w:rPr>
        <w:t xml:space="preserve"> data </w:t>
      </w:r>
      <w:r w:rsidR="00C70998" w:rsidRPr="00CE7A5C">
        <w:rPr>
          <w:rFonts w:ascii="Arial" w:hAnsi="Arial" w:cs="Arial"/>
          <w:sz w:val="22"/>
          <w:szCs w:val="22"/>
          <w:lang w:val="en-AU"/>
        </w:rPr>
        <w:t xml:space="preserve">using the </w:t>
      </w:r>
      <w:r>
        <w:rPr>
          <w:rFonts w:ascii="Arial" w:hAnsi="Arial" w:cs="Arial"/>
          <w:sz w:val="22"/>
          <w:szCs w:val="22"/>
          <w:lang w:val="en-AU"/>
        </w:rPr>
        <w:t>Q</w:t>
      </w:r>
      <w:r w:rsidR="00D17FAD">
        <w:rPr>
          <w:rFonts w:ascii="Arial" w:hAnsi="Arial" w:cs="Arial"/>
          <w:sz w:val="22"/>
          <w:szCs w:val="22"/>
          <w:lang w:val="en-AU"/>
        </w:rPr>
        <w:t>ueensland</w:t>
      </w:r>
      <w:r>
        <w:rPr>
          <w:rFonts w:ascii="Arial" w:hAnsi="Arial" w:cs="Arial"/>
          <w:sz w:val="22"/>
          <w:szCs w:val="22"/>
          <w:lang w:val="en-AU"/>
        </w:rPr>
        <w:t xml:space="preserve"> Genomics I</w:t>
      </w:r>
      <w:r w:rsidR="00C70998" w:rsidRPr="00CE7A5C">
        <w:rPr>
          <w:rFonts w:ascii="Arial" w:hAnsi="Arial" w:cs="Arial"/>
          <w:sz w:val="22"/>
          <w:szCs w:val="22"/>
          <w:lang w:val="en-AU"/>
        </w:rPr>
        <w:t xml:space="preserve">nfectious </w:t>
      </w:r>
      <w:r>
        <w:rPr>
          <w:rFonts w:ascii="Arial" w:hAnsi="Arial" w:cs="Arial"/>
          <w:sz w:val="22"/>
          <w:szCs w:val="22"/>
          <w:lang w:val="en-AU"/>
        </w:rPr>
        <w:t>D</w:t>
      </w:r>
      <w:r w:rsidR="00C70998" w:rsidRPr="00CE7A5C">
        <w:rPr>
          <w:rFonts w:ascii="Arial" w:hAnsi="Arial" w:cs="Arial"/>
          <w:sz w:val="22"/>
          <w:szCs w:val="22"/>
          <w:lang w:val="en-AU"/>
        </w:rPr>
        <w:t>isease</w:t>
      </w:r>
      <w:r w:rsidR="00A90A2B">
        <w:rPr>
          <w:rFonts w:ascii="Arial" w:hAnsi="Arial" w:cs="Arial"/>
          <w:sz w:val="22"/>
          <w:szCs w:val="22"/>
          <w:lang w:val="en-AU"/>
        </w:rPr>
        <w:t xml:space="preserve"> </w:t>
      </w:r>
      <w:r w:rsidR="00BA15D6">
        <w:rPr>
          <w:rFonts w:ascii="Arial" w:hAnsi="Arial" w:cs="Arial"/>
          <w:sz w:val="22"/>
          <w:szCs w:val="22"/>
          <w:lang w:val="en-AU"/>
        </w:rPr>
        <w:t xml:space="preserve">(QGID) </w:t>
      </w:r>
      <w:r w:rsidR="00A90A2B">
        <w:rPr>
          <w:rFonts w:ascii="Arial" w:hAnsi="Arial" w:cs="Arial"/>
          <w:sz w:val="22"/>
          <w:szCs w:val="22"/>
          <w:lang w:val="en-AU"/>
        </w:rPr>
        <w:t>reference genome</w:t>
      </w:r>
      <w:r>
        <w:rPr>
          <w:rFonts w:ascii="Arial" w:hAnsi="Arial" w:cs="Arial"/>
          <w:sz w:val="22"/>
          <w:szCs w:val="22"/>
          <w:lang w:val="en-AU"/>
        </w:rPr>
        <w:t xml:space="preserve"> assembly</w:t>
      </w:r>
      <w:r w:rsidRPr="00CE7A5C">
        <w:rPr>
          <w:rFonts w:ascii="Arial" w:hAnsi="Arial" w:cs="Arial"/>
          <w:sz w:val="22"/>
          <w:szCs w:val="22"/>
          <w:lang w:val="en-AU"/>
        </w:rPr>
        <w:t xml:space="preserve"> </w:t>
      </w:r>
      <w:r w:rsidR="00C70998" w:rsidRPr="00CE7A5C">
        <w:rPr>
          <w:rFonts w:ascii="Arial" w:hAnsi="Arial" w:cs="Arial"/>
          <w:sz w:val="22"/>
          <w:szCs w:val="22"/>
          <w:lang w:val="en-AU"/>
        </w:rPr>
        <w:t>pipeline.</w:t>
      </w:r>
      <w:r w:rsidR="00816234">
        <w:rPr>
          <w:rFonts w:ascii="Arial" w:hAnsi="Arial" w:cs="Arial"/>
          <w:sz w:val="22"/>
          <w:szCs w:val="22"/>
          <w:lang w:val="en-AU"/>
        </w:rPr>
        <w:t xml:space="preserve"> </w:t>
      </w:r>
      <w:r w:rsidR="00BA15D6">
        <w:rPr>
          <w:rFonts w:ascii="Arial" w:hAnsi="Arial" w:cs="Arial"/>
          <w:sz w:val="22"/>
          <w:szCs w:val="22"/>
          <w:lang w:val="en-AU"/>
        </w:rPr>
        <w:t>The</w:t>
      </w:r>
      <w:r w:rsidR="00816234">
        <w:rPr>
          <w:rFonts w:ascii="Arial" w:hAnsi="Arial" w:cs="Arial"/>
          <w:sz w:val="22"/>
          <w:szCs w:val="22"/>
          <w:lang w:val="en-AU"/>
        </w:rPr>
        <w:t xml:space="preserve"> </w:t>
      </w:r>
      <w:r w:rsidR="00BA15D6">
        <w:rPr>
          <w:rFonts w:ascii="Arial" w:hAnsi="Arial" w:cs="Arial"/>
          <w:sz w:val="22"/>
          <w:szCs w:val="22"/>
          <w:lang w:val="en-AU"/>
        </w:rPr>
        <w:t xml:space="preserve">complete </w:t>
      </w:r>
      <w:r w:rsidR="00816234">
        <w:rPr>
          <w:rFonts w:ascii="Arial" w:hAnsi="Arial" w:cs="Arial"/>
          <w:sz w:val="22"/>
          <w:szCs w:val="22"/>
          <w:lang w:val="en-AU"/>
        </w:rPr>
        <w:t xml:space="preserve">genomes will provide a </w:t>
      </w:r>
      <w:r w:rsidR="00BA15D6">
        <w:rPr>
          <w:rFonts w:ascii="Arial" w:hAnsi="Arial" w:cs="Arial"/>
          <w:sz w:val="22"/>
          <w:szCs w:val="22"/>
          <w:lang w:val="en-AU"/>
        </w:rPr>
        <w:t>gold-standard</w:t>
      </w:r>
      <w:r w:rsidR="00816234">
        <w:rPr>
          <w:rFonts w:ascii="Arial" w:hAnsi="Arial" w:cs="Arial"/>
          <w:sz w:val="22"/>
          <w:szCs w:val="22"/>
          <w:lang w:val="en-AU"/>
        </w:rPr>
        <w:t xml:space="preserve"> reference </w:t>
      </w:r>
      <w:r w:rsidR="00BA15D6">
        <w:rPr>
          <w:rFonts w:ascii="Arial" w:hAnsi="Arial" w:cs="Arial"/>
          <w:sz w:val="22"/>
          <w:szCs w:val="22"/>
          <w:lang w:val="en-AU"/>
        </w:rPr>
        <w:t xml:space="preserve">to evaluate </w:t>
      </w:r>
      <w:r w:rsidR="00C47DBB">
        <w:rPr>
          <w:rFonts w:ascii="Arial" w:hAnsi="Arial" w:cs="Arial"/>
          <w:sz w:val="22"/>
          <w:szCs w:val="22"/>
          <w:lang w:val="en-AU"/>
        </w:rPr>
        <w:t xml:space="preserve">any </w:t>
      </w:r>
      <w:r w:rsidR="00BA15D6">
        <w:rPr>
          <w:rFonts w:ascii="Arial" w:hAnsi="Arial" w:cs="Arial"/>
          <w:sz w:val="22"/>
          <w:szCs w:val="22"/>
          <w:lang w:val="en-AU"/>
        </w:rPr>
        <w:t>differences between</w:t>
      </w:r>
      <w:r w:rsidR="00816234">
        <w:rPr>
          <w:rFonts w:ascii="Arial" w:hAnsi="Arial" w:cs="Arial"/>
          <w:sz w:val="22"/>
          <w:szCs w:val="22"/>
          <w:lang w:val="en-AU"/>
        </w:rPr>
        <w:t xml:space="preserve"> direct clinical sample sequencing</w:t>
      </w:r>
      <w:r w:rsidR="00BA15D6">
        <w:rPr>
          <w:rFonts w:ascii="Arial" w:hAnsi="Arial" w:cs="Arial"/>
          <w:sz w:val="22"/>
          <w:szCs w:val="22"/>
          <w:lang w:val="en-AU"/>
        </w:rPr>
        <w:t xml:space="preserve"> and the </w:t>
      </w:r>
      <w:r w:rsidR="00C47DBB">
        <w:rPr>
          <w:rFonts w:ascii="Arial" w:hAnsi="Arial" w:cs="Arial"/>
          <w:sz w:val="22"/>
          <w:szCs w:val="22"/>
          <w:lang w:val="en-AU"/>
        </w:rPr>
        <w:t xml:space="preserve">composite </w:t>
      </w:r>
      <w:r w:rsidR="00BA15D6">
        <w:rPr>
          <w:rFonts w:ascii="Arial" w:hAnsi="Arial" w:cs="Arial"/>
          <w:sz w:val="22"/>
          <w:szCs w:val="22"/>
          <w:lang w:val="en-AU"/>
        </w:rPr>
        <w:t>reference standard</w:t>
      </w:r>
      <w:r w:rsidR="00816234">
        <w:rPr>
          <w:rFonts w:ascii="Arial" w:hAnsi="Arial" w:cs="Arial"/>
          <w:sz w:val="22"/>
          <w:szCs w:val="22"/>
          <w:lang w:val="en-AU"/>
        </w:rPr>
        <w:t xml:space="preserve">. </w:t>
      </w:r>
    </w:p>
    <w:p w14:paraId="6A3217AE" w14:textId="77777777" w:rsidR="00C70998" w:rsidRPr="00CE7A5C" w:rsidRDefault="00C70998" w:rsidP="00C70998">
      <w:pPr>
        <w:spacing w:line="360" w:lineRule="auto"/>
        <w:rPr>
          <w:rFonts w:ascii="Arial" w:hAnsi="Arial" w:cs="Arial"/>
          <w:sz w:val="22"/>
          <w:szCs w:val="22"/>
          <w:lang w:val="en-AU"/>
        </w:rPr>
      </w:pPr>
    </w:p>
    <w:p w14:paraId="1EC36978" w14:textId="77777777" w:rsidR="00C70998" w:rsidRPr="00B31A4A" w:rsidRDefault="00C70998" w:rsidP="00C70998">
      <w:pPr>
        <w:spacing w:line="360" w:lineRule="auto"/>
        <w:rPr>
          <w:rFonts w:ascii="Arial" w:hAnsi="Arial" w:cs="Arial"/>
          <w:b/>
          <w:iCs/>
          <w:sz w:val="22"/>
          <w:szCs w:val="22"/>
          <w:lang w:val="en-AU"/>
        </w:rPr>
      </w:pPr>
      <w:r w:rsidRPr="00B31A4A">
        <w:rPr>
          <w:rFonts w:ascii="Arial" w:hAnsi="Arial" w:cs="Arial"/>
          <w:b/>
          <w:iCs/>
          <w:sz w:val="22"/>
          <w:szCs w:val="22"/>
          <w:lang w:val="en-AU"/>
        </w:rPr>
        <w:t>Pathogen sequencing direct from clinical samples</w:t>
      </w:r>
    </w:p>
    <w:p w14:paraId="49B1F2B7" w14:textId="77777777" w:rsidR="00C70998" w:rsidRPr="00B31A4A" w:rsidRDefault="00C70998" w:rsidP="00C70998">
      <w:pPr>
        <w:spacing w:line="360" w:lineRule="auto"/>
        <w:rPr>
          <w:rFonts w:ascii="Arial" w:hAnsi="Arial" w:cs="Arial"/>
          <w:b/>
          <w:iCs/>
          <w:sz w:val="22"/>
          <w:szCs w:val="22"/>
          <w:lang w:val="en-AU"/>
        </w:rPr>
      </w:pPr>
      <w:r w:rsidRPr="00B31A4A">
        <w:rPr>
          <w:rFonts w:ascii="Arial" w:hAnsi="Arial" w:cs="Arial"/>
          <w:b/>
          <w:iCs/>
          <w:sz w:val="22"/>
          <w:szCs w:val="22"/>
          <w:lang w:val="en-AU"/>
        </w:rPr>
        <w:t xml:space="preserve">Human </w:t>
      </w:r>
      <w:r>
        <w:rPr>
          <w:rFonts w:ascii="Arial" w:hAnsi="Arial" w:cs="Arial"/>
          <w:b/>
          <w:iCs/>
          <w:sz w:val="22"/>
          <w:szCs w:val="22"/>
          <w:lang w:val="en-AU"/>
        </w:rPr>
        <w:t>DNA</w:t>
      </w:r>
      <w:r w:rsidRPr="00B31A4A">
        <w:rPr>
          <w:rFonts w:ascii="Arial" w:hAnsi="Arial" w:cs="Arial"/>
          <w:b/>
          <w:iCs/>
          <w:sz w:val="22"/>
          <w:szCs w:val="22"/>
          <w:lang w:val="en-AU"/>
        </w:rPr>
        <w:t xml:space="preserve"> depletion and nucleic acid extraction</w:t>
      </w:r>
    </w:p>
    <w:p w14:paraId="29638AC8" w14:textId="32F7D98D" w:rsidR="00EC7632" w:rsidRDefault="00853DD7" w:rsidP="00C70998">
      <w:pPr>
        <w:spacing w:line="360" w:lineRule="auto"/>
        <w:rPr>
          <w:rFonts w:ascii="Arial" w:hAnsi="Arial" w:cs="Arial"/>
          <w:sz w:val="22"/>
          <w:szCs w:val="22"/>
          <w:lang w:val="en-AU"/>
        </w:rPr>
      </w:pPr>
      <w:bookmarkStart w:id="1" w:name="_Hlk55750818"/>
      <w:r w:rsidRPr="00853DD7">
        <w:rPr>
          <w:rFonts w:ascii="Arial" w:hAnsi="Arial" w:cs="Arial"/>
          <w:sz w:val="22"/>
          <w:szCs w:val="22"/>
          <w:lang w:val="en-AU"/>
        </w:rPr>
        <w:t xml:space="preserve">Bacterial cells will be enriched using a differential lysis procedure. </w:t>
      </w:r>
      <w:r w:rsidR="00EC7632">
        <w:rPr>
          <w:rFonts w:ascii="Arial" w:hAnsi="Arial" w:cs="Arial"/>
          <w:sz w:val="22"/>
          <w:szCs w:val="22"/>
          <w:lang w:val="en-AU"/>
        </w:rPr>
        <w:t xml:space="preserve">Residual human DNA will be degraded using a </w:t>
      </w:r>
      <w:proofErr w:type="spellStart"/>
      <w:r w:rsidR="00EC7632">
        <w:rPr>
          <w:rFonts w:ascii="Arial" w:hAnsi="Arial" w:cs="Arial"/>
          <w:sz w:val="22"/>
          <w:szCs w:val="22"/>
          <w:lang w:val="en-AU"/>
        </w:rPr>
        <w:t>DNAse</w:t>
      </w:r>
      <w:proofErr w:type="spellEnd"/>
      <w:r w:rsidR="00EC7632">
        <w:rPr>
          <w:rFonts w:ascii="Arial" w:hAnsi="Arial" w:cs="Arial"/>
          <w:sz w:val="22"/>
          <w:szCs w:val="22"/>
          <w:lang w:val="en-AU"/>
        </w:rPr>
        <w:t xml:space="preserve"> treatment, followed by nucleic acid extraction using a rapid commercial-kit based protocol.</w:t>
      </w:r>
    </w:p>
    <w:bookmarkEnd w:id="1"/>
    <w:p w14:paraId="3DF2864A" w14:textId="77777777" w:rsidR="00C70998" w:rsidRPr="00CE7A5C" w:rsidRDefault="00C70998" w:rsidP="00C70998">
      <w:pPr>
        <w:spacing w:line="360" w:lineRule="auto"/>
        <w:rPr>
          <w:rFonts w:ascii="Arial" w:hAnsi="Arial" w:cs="Arial"/>
          <w:b/>
          <w:i/>
          <w:sz w:val="22"/>
          <w:szCs w:val="22"/>
          <w:lang w:val="en-AU"/>
        </w:rPr>
      </w:pPr>
    </w:p>
    <w:p w14:paraId="1C1692E3" w14:textId="33C35C7C" w:rsidR="00C70998" w:rsidRPr="00AC7CB0" w:rsidRDefault="00A60F34" w:rsidP="00C70998">
      <w:pPr>
        <w:spacing w:line="360" w:lineRule="auto"/>
        <w:rPr>
          <w:rFonts w:ascii="Arial" w:hAnsi="Arial" w:cs="Arial"/>
          <w:b/>
          <w:iCs/>
          <w:sz w:val="22"/>
          <w:szCs w:val="22"/>
          <w:lang w:val="en-AU"/>
        </w:rPr>
      </w:pPr>
      <w:r>
        <w:rPr>
          <w:rFonts w:ascii="Arial" w:hAnsi="Arial" w:cs="Arial"/>
          <w:b/>
          <w:iCs/>
          <w:sz w:val="22"/>
          <w:szCs w:val="22"/>
          <w:lang w:val="en-AU"/>
        </w:rPr>
        <w:t xml:space="preserve">ONT </w:t>
      </w:r>
      <w:proofErr w:type="spellStart"/>
      <w:r w:rsidR="00C70998" w:rsidRPr="00AC7CB0">
        <w:rPr>
          <w:rFonts w:ascii="Arial" w:hAnsi="Arial" w:cs="Arial"/>
          <w:b/>
          <w:iCs/>
          <w:sz w:val="22"/>
          <w:szCs w:val="22"/>
          <w:lang w:val="en-AU"/>
        </w:rPr>
        <w:t>MinION</w:t>
      </w:r>
      <w:proofErr w:type="spellEnd"/>
      <w:r w:rsidR="00C70998" w:rsidRPr="00AC7CB0">
        <w:rPr>
          <w:rFonts w:ascii="Arial" w:hAnsi="Arial" w:cs="Arial"/>
          <w:b/>
          <w:iCs/>
          <w:sz w:val="22"/>
          <w:szCs w:val="22"/>
          <w:lang w:val="en-AU"/>
        </w:rPr>
        <w:t xml:space="preserve"> nanopore sequencing</w:t>
      </w:r>
    </w:p>
    <w:p w14:paraId="290DC550" w14:textId="3E22B0EC" w:rsidR="00C70998" w:rsidRPr="001613C0" w:rsidRDefault="00EC7632" w:rsidP="00C70998">
      <w:pPr>
        <w:spacing w:line="360" w:lineRule="auto"/>
        <w:rPr>
          <w:rFonts w:ascii="Arial" w:hAnsi="Arial" w:cs="Arial"/>
          <w:sz w:val="22"/>
          <w:szCs w:val="22"/>
          <w:lang w:val="en-AU"/>
        </w:rPr>
      </w:pPr>
      <w:r w:rsidRPr="001613C0">
        <w:rPr>
          <w:rFonts w:ascii="Arial" w:hAnsi="Arial" w:cs="Arial"/>
          <w:sz w:val="22"/>
          <w:szCs w:val="22"/>
          <w:lang w:val="en-AU"/>
        </w:rPr>
        <w:t xml:space="preserve">For the direct sequencing protocol, nucleic acid extracts will undergo short multiple-displacement amplification reactions followed by purification and concentration using Monarch PCR and DNA </w:t>
      </w:r>
      <w:proofErr w:type="spellStart"/>
      <w:r w:rsidRPr="001613C0">
        <w:rPr>
          <w:rFonts w:ascii="Arial" w:hAnsi="Arial" w:cs="Arial"/>
          <w:sz w:val="22"/>
          <w:szCs w:val="22"/>
          <w:lang w:val="en-AU"/>
        </w:rPr>
        <w:t>cleanup</w:t>
      </w:r>
      <w:proofErr w:type="spellEnd"/>
      <w:r w:rsidRPr="001613C0">
        <w:rPr>
          <w:rFonts w:ascii="Arial" w:hAnsi="Arial" w:cs="Arial"/>
          <w:sz w:val="22"/>
          <w:szCs w:val="22"/>
          <w:lang w:val="en-AU"/>
        </w:rPr>
        <w:t xml:space="preserve"> columns. </w:t>
      </w:r>
      <w:r w:rsidR="00C70998" w:rsidRPr="001613C0">
        <w:rPr>
          <w:rFonts w:ascii="Arial" w:hAnsi="Arial" w:cs="Arial"/>
          <w:sz w:val="22"/>
          <w:szCs w:val="22"/>
          <w:lang w:val="en-AU"/>
        </w:rPr>
        <w:t xml:space="preserve">The nucleic acid extract will be checked for DNA yield using a QBIT 3.0 instrument, followed by a nanopore library preparation using the </w:t>
      </w:r>
      <w:r w:rsidR="008472E7">
        <w:rPr>
          <w:rFonts w:ascii="Arial" w:hAnsi="Arial" w:cs="Arial"/>
          <w:sz w:val="22"/>
          <w:szCs w:val="22"/>
          <w:lang w:val="en-AU"/>
        </w:rPr>
        <w:t>ONT</w:t>
      </w:r>
      <w:r w:rsidR="00C70998" w:rsidRPr="001613C0">
        <w:rPr>
          <w:rFonts w:ascii="Arial" w:hAnsi="Arial" w:cs="Arial"/>
          <w:sz w:val="22"/>
          <w:szCs w:val="22"/>
          <w:lang w:val="en-AU"/>
        </w:rPr>
        <w:t xml:space="preserve"> Rapid Sequencing Kit. The prepared sample will be loaded onto a </w:t>
      </w:r>
      <w:proofErr w:type="spellStart"/>
      <w:r w:rsidR="00C70998" w:rsidRPr="001613C0">
        <w:rPr>
          <w:rFonts w:ascii="Arial" w:hAnsi="Arial" w:cs="Arial"/>
          <w:sz w:val="22"/>
          <w:szCs w:val="22"/>
          <w:lang w:val="en-AU"/>
        </w:rPr>
        <w:t>MinION</w:t>
      </w:r>
      <w:proofErr w:type="spellEnd"/>
      <w:r w:rsidR="00C70998" w:rsidRPr="001613C0">
        <w:rPr>
          <w:rFonts w:ascii="Arial" w:hAnsi="Arial" w:cs="Arial"/>
          <w:sz w:val="22"/>
          <w:szCs w:val="22"/>
          <w:lang w:val="en-AU"/>
        </w:rPr>
        <w:t xml:space="preserve"> device using the R9.4.1 flow cell and run for 24 hours. </w:t>
      </w:r>
      <w:r w:rsidR="00063050" w:rsidRPr="001613C0">
        <w:rPr>
          <w:rFonts w:ascii="Arial" w:hAnsi="Arial" w:cs="Arial"/>
          <w:sz w:val="22"/>
          <w:szCs w:val="22"/>
          <w:lang w:val="en-AU"/>
        </w:rPr>
        <w:t xml:space="preserve">Time-stamped fast5 files will be stored on UQ research data manager (RDM) for emulated real-time analysis. </w:t>
      </w:r>
      <w:proofErr w:type="spellStart"/>
      <w:r w:rsidR="00063050" w:rsidRPr="001613C0">
        <w:rPr>
          <w:rFonts w:ascii="Arial" w:hAnsi="Arial" w:cs="Arial"/>
          <w:sz w:val="22"/>
          <w:szCs w:val="22"/>
          <w:lang w:val="en-AU"/>
        </w:rPr>
        <w:t>Taeper</w:t>
      </w:r>
      <w:proofErr w:type="spellEnd"/>
      <w:r w:rsidR="00063050" w:rsidRPr="001613C0">
        <w:rPr>
          <w:rFonts w:ascii="Arial" w:hAnsi="Arial" w:cs="Arial"/>
          <w:sz w:val="22"/>
          <w:szCs w:val="22"/>
          <w:lang w:val="en-AU"/>
        </w:rPr>
        <w:t xml:space="preserve"> ( </w:t>
      </w:r>
      <w:hyperlink r:id="rId18" w:history="1">
        <w:r w:rsidR="00063050" w:rsidRPr="001613C0">
          <w:rPr>
            <w:rStyle w:val="Hyperlink"/>
            <w:rFonts w:ascii="Arial" w:hAnsi="Arial" w:cs="Arial"/>
            <w:sz w:val="22"/>
            <w:szCs w:val="22"/>
          </w:rPr>
          <w:t>https://github.com/mbhall88/taeper</w:t>
        </w:r>
      </w:hyperlink>
      <w:r w:rsidR="00063050" w:rsidRPr="001613C0">
        <w:rPr>
          <w:rFonts w:ascii="Arial" w:hAnsi="Arial" w:cs="Arial"/>
          <w:sz w:val="22"/>
          <w:szCs w:val="22"/>
        </w:rPr>
        <w:t xml:space="preserve">)  will be used for emulating real-time sequencing for subsequent online analysis. </w:t>
      </w:r>
      <w:r w:rsidR="00063050" w:rsidRPr="001613C0">
        <w:rPr>
          <w:rFonts w:ascii="Arial" w:hAnsi="Arial" w:cs="Arial"/>
          <w:sz w:val="22"/>
          <w:szCs w:val="22"/>
          <w:lang w:val="en-AU"/>
        </w:rPr>
        <w:t>The following computing steps will be carried out as a streaming pipeline based on the real</w:t>
      </w:r>
      <w:r w:rsidR="00D97314" w:rsidRPr="001613C0">
        <w:rPr>
          <w:rFonts w:ascii="Arial" w:hAnsi="Arial" w:cs="Arial"/>
          <w:sz w:val="22"/>
          <w:szCs w:val="22"/>
          <w:lang w:val="en-AU"/>
        </w:rPr>
        <w:t>-</w:t>
      </w:r>
      <w:r w:rsidR="00063050" w:rsidRPr="001613C0">
        <w:rPr>
          <w:rFonts w:ascii="Arial" w:hAnsi="Arial" w:cs="Arial"/>
          <w:sz w:val="22"/>
          <w:szCs w:val="22"/>
          <w:lang w:val="en-AU"/>
        </w:rPr>
        <w:t>time data emulation: b</w:t>
      </w:r>
      <w:r w:rsidR="00D17FAD" w:rsidRPr="001613C0">
        <w:rPr>
          <w:rFonts w:ascii="Arial" w:hAnsi="Arial" w:cs="Arial"/>
          <w:sz w:val="22"/>
          <w:szCs w:val="22"/>
          <w:lang w:val="en-AU"/>
        </w:rPr>
        <w:t>ase-calling</w:t>
      </w:r>
      <w:r w:rsidR="00063050" w:rsidRPr="001613C0">
        <w:rPr>
          <w:rFonts w:ascii="Arial" w:hAnsi="Arial" w:cs="Arial"/>
          <w:sz w:val="22"/>
          <w:szCs w:val="22"/>
          <w:lang w:val="en-AU"/>
        </w:rPr>
        <w:t xml:space="preserve"> will be carried out </w:t>
      </w:r>
      <w:r w:rsidR="007D581F" w:rsidRPr="001613C0">
        <w:rPr>
          <w:rFonts w:ascii="Arial" w:hAnsi="Arial" w:cs="Arial"/>
          <w:sz w:val="22"/>
          <w:szCs w:val="22"/>
          <w:lang w:val="en-AU"/>
        </w:rPr>
        <w:t>using Guppy v4.0.11</w:t>
      </w:r>
      <w:r w:rsidR="00063050" w:rsidRPr="001613C0">
        <w:rPr>
          <w:rFonts w:ascii="Arial" w:hAnsi="Arial" w:cs="Arial"/>
          <w:sz w:val="22"/>
          <w:szCs w:val="22"/>
          <w:lang w:val="en-AU"/>
        </w:rPr>
        <w:t xml:space="preserve"> run on high performance GPU (graphics processing unit) computing facilities at UQ; subsequent</w:t>
      </w:r>
      <w:r w:rsidR="003A65B0" w:rsidRPr="001613C0">
        <w:rPr>
          <w:rFonts w:ascii="Arial" w:hAnsi="Arial" w:cs="Arial"/>
          <w:sz w:val="22"/>
          <w:szCs w:val="22"/>
          <w:lang w:val="en-AU"/>
        </w:rPr>
        <w:t xml:space="preserve"> quality control</w:t>
      </w:r>
      <w:r w:rsidR="00063050" w:rsidRPr="001613C0">
        <w:rPr>
          <w:rFonts w:ascii="Arial" w:hAnsi="Arial" w:cs="Arial"/>
          <w:sz w:val="22"/>
          <w:szCs w:val="22"/>
          <w:lang w:val="en-AU"/>
        </w:rPr>
        <w:t xml:space="preserve"> with </w:t>
      </w:r>
      <w:proofErr w:type="spellStart"/>
      <w:r w:rsidR="00063050" w:rsidRPr="001613C0">
        <w:rPr>
          <w:rFonts w:ascii="Arial" w:hAnsi="Arial" w:cs="Arial"/>
          <w:sz w:val="22"/>
          <w:szCs w:val="22"/>
          <w:lang w:val="en-AU"/>
        </w:rPr>
        <w:t>nanoq</w:t>
      </w:r>
      <w:proofErr w:type="spellEnd"/>
      <w:r w:rsidR="00063050" w:rsidRPr="001613C0">
        <w:rPr>
          <w:rFonts w:ascii="Arial" w:hAnsi="Arial" w:cs="Arial"/>
          <w:sz w:val="22"/>
          <w:szCs w:val="22"/>
          <w:lang w:val="en-AU"/>
        </w:rPr>
        <w:t xml:space="preserve"> </w:t>
      </w:r>
      <w:r w:rsidR="00E43FE0" w:rsidRPr="001613C0">
        <w:rPr>
          <w:rFonts w:ascii="Arial" w:hAnsi="Arial" w:cs="Arial"/>
          <w:sz w:val="22"/>
          <w:szCs w:val="22"/>
          <w:lang w:val="en-AU"/>
        </w:rPr>
        <w:t>(</w:t>
      </w:r>
      <w:hyperlink r:id="rId19" w:history="1">
        <w:r w:rsidR="00E43FE0" w:rsidRPr="001613C0">
          <w:rPr>
            <w:rStyle w:val="Hyperlink"/>
            <w:rFonts w:ascii="Arial" w:hAnsi="Arial" w:cs="Arial"/>
            <w:sz w:val="22"/>
            <w:szCs w:val="22"/>
          </w:rPr>
          <w:t>https://github.com/esteinig/nanoq</w:t>
        </w:r>
      </w:hyperlink>
      <w:r w:rsidR="00E43FE0" w:rsidRPr="001613C0">
        <w:rPr>
          <w:rFonts w:ascii="Arial" w:hAnsi="Arial" w:cs="Arial"/>
          <w:sz w:val="22"/>
          <w:szCs w:val="22"/>
        </w:rPr>
        <w:t xml:space="preserve">); species </w:t>
      </w:r>
      <w:r w:rsidR="00E43FE0" w:rsidRPr="001613C0">
        <w:rPr>
          <w:rFonts w:ascii="Arial" w:hAnsi="Arial" w:cs="Arial"/>
          <w:sz w:val="22"/>
          <w:szCs w:val="22"/>
        </w:rPr>
        <w:lastRenderedPageBreak/>
        <w:t>classification and identification of acquired resistance genes  using JAPSA (</w:t>
      </w:r>
      <w:hyperlink r:id="rId20" w:history="1">
        <w:r w:rsidR="00E43FE0" w:rsidRPr="001613C0">
          <w:rPr>
            <w:rStyle w:val="Hyperlink"/>
            <w:rFonts w:ascii="Arial" w:hAnsi="Arial" w:cs="Arial"/>
            <w:sz w:val="22"/>
            <w:szCs w:val="22"/>
          </w:rPr>
          <w:t>https://github.com/mdcao/npAnalysis</w:t>
        </w:r>
      </w:hyperlink>
      <w:r w:rsidR="00E43FE0" w:rsidRPr="001613C0">
        <w:rPr>
          <w:rFonts w:ascii="Arial" w:hAnsi="Arial" w:cs="Arial"/>
          <w:sz w:val="22"/>
          <w:szCs w:val="22"/>
        </w:rPr>
        <w:t>); and strain identification using Sketchy (</w:t>
      </w:r>
      <w:hyperlink r:id="rId21" w:history="1">
        <w:r w:rsidR="00E43FE0" w:rsidRPr="001613C0">
          <w:rPr>
            <w:rStyle w:val="Hyperlink"/>
            <w:rFonts w:ascii="Arial" w:hAnsi="Arial" w:cs="Arial"/>
            <w:sz w:val="22"/>
            <w:szCs w:val="22"/>
          </w:rPr>
          <w:t>https://github.com/esteinig/sketchy</w:t>
        </w:r>
      </w:hyperlink>
      <w:r w:rsidR="00E43FE0" w:rsidRPr="001613C0">
        <w:rPr>
          <w:rFonts w:ascii="Arial" w:hAnsi="Arial" w:cs="Arial"/>
          <w:sz w:val="22"/>
          <w:szCs w:val="22"/>
        </w:rPr>
        <w:t xml:space="preserve"> ), for Klebsiella pneumoniae and Staphyl</w:t>
      </w:r>
      <w:r w:rsidR="00D97314" w:rsidRPr="001613C0">
        <w:rPr>
          <w:rFonts w:ascii="Arial" w:hAnsi="Arial" w:cs="Arial"/>
          <w:sz w:val="22"/>
          <w:szCs w:val="22"/>
        </w:rPr>
        <w:t>o</w:t>
      </w:r>
      <w:r w:rsidR="00E43FE0" w:rsidRPr="001613C0">
        <w:rPr>
          <w:rFonts w:ascii="Arial" w:hAnsi="Arial" w:cs="Arial"/>
          <w:sz w:val="22"/>
          <w:szCs w:val="22"/>
        </w:rPr>
        <w:t xml:space="preserve">coccus aureus identified infections. </w:t>
      </w:r>
      <w:r w:rsidR="0044474E" w:rsidRPr="001613C0">
        <w:rPr>
          <w:rFonts w:ascii="Arial" w:hAnsi="Arial" w:cs="Arial"/>
          <w:sz w:val="22"/>
          <w:szCs w:val="22"/>
        </w:rPr>
        <w:t xml:space="preserve">JAPSA calculates confidence intervals for the proportion of reads generated by each species identified.  A species will be classified as identified if the 95% lower confidence interval of the proportion of reads from this species is greater than 0. </w:t>
      </w:r>
      <w:r w:rsidR="00E43FE0" w:rsidRPr="001613C0">
        <w:rPr>
          <w:rFonts w:ascii="Arial" w:hAnsi="Arial" w:cs="Arial"/>
          <w:sz w:val="22"/>
          <w:szCs w:val="22"/>
        </w:rPr>
        <w:t xml:space="preserve"> </w:t>
      </w:r>
    </w:p>
    <w:p w14:paraId="10576668" w14:textId="77777777" w:rsidR="00C70998" w:rsidRPr="00CE7A5C" w:rsidRDefault="00C70998" w:rsidP="00C70998">
      <w:pPr>
        <w:spacing w:line="360" w:lineRule="auto"/>
        <w:rPr>
          <w:rStyle w:val="Strong"/>
          <w:rFonts w:ascii="Arial" w:hAnsi="Arial" w:cs="Arial"/>
          <w:i/>
          <w:sz w:val="22"/>
          <w:szCs w:val="22"/>
        </w:rPr>
      </w:pPr>
    </w:p>
    <w:p w14:paraId="04005D2E" w14:textId="121BDB8A" w:rsidR="00C70998" w:rsidRPr="00AC7CB0" w:rsidRDefault="00C70998" w:rsidP="00C70998">
      <w:pPr>
        <w:spacing w:line="360" w:lineRule="auto"/>
        <w:rPr>
          <w:rStyle w:val="Strong"/>
          <w:rFonts w:ascii="Arial" w:hAnsi="Arial" w:cs="Arial"/>
          <w:iCs/>
          <w:sz w:val="22"/>
          <w:szCs w:val="22"/>
        </w:rPr>
      </w:pPr>
      <w:r w:rsidRPr="00AC7CB0">
        <w:rPr>
          <w:rStyle w:val="Strong"/>
          <w:rFonts w:ascii="Arial" w:hAnsi="Arial" w:cs="Arial"/>
          <w:iCs/>
          <w:sz w:val="22"/>
          <w:szCs w:val="22"/>
        </w:rPr>
        <w:t xml:space="preserve">Rapid pathogen detection and antimicrobial resistance identification </w:t>
      </w:r>
    </w:p>
    <w:p w14:paraId="1D03666F" w14:textId="77777777" w:rsidR="00C70998" w:rsidRPr="005216A3" w:rsidRDefault="00C70998" w:rsidP="00C70998">
      <w:pPr>
        <w:spacing w:line="360" w:lineRule="auto"/>
        <w:rPr>
          <w:rStyle w:val="Strong"/>
          <w:rFonts w:ascii="Arial" w:hAnsi="Arial" w:cs="Arial"/>
          <w:b w:val="0"/>
          <w:sz w:val="22"/>
          <w:szCs w:val="22"/>
        </w:rPr>
      </w:pPr>
      <w:r w:rsidRPr="005216A3">
        <w:rPr>
          <w:rStyle w:val="Strong"/>
          <w:rFonts w:ascii="Arial" w:hAnsi="Arial" w:cs="Arial"/>
          <w:b w:val="0"/>
          <w:sz w:val="22"/>
          <w:szCs w:val="22"/>
        </w:rPr>
        <w:t xml:space="preserve">Residual samples not required for use in the </w:t>
      </w:r>
      <w:proofErr w:type="spellStart"/>
      <w:r w:rsidRPr="005216A3">
        <w:rPr>
          <w:rStyle w:val="Strong"/>
          <w:rFonts w:ascii="Arial" w:hAnsi="Arial" w:cs="Arial"/>
          <w:b w:val="0"/>
          <w:sz w:val="22"/>
          <w:szCs w:val="22"/>
        </w:rPr>
        <w:t>MinION</w:t>
      </w:r>
      <w:proofErr w:type="spellEnd"/>
      <w:r w:rsidRPr="005216A3">
        <w:rPr>
          <w:rStyle w:val="Strong"/>
          <w:rFonts w:ascii="Arial" w:hAnsi="Arial" w:cs="Arial"/>
          <w:b w:val="0"/>
          <w:sz w:val="22"/>
          <w:szCs w:val="22"/>
        </w:rPr>
        <w:t xml:space="preserve"> nanopore sequencing study will be salvaged for the evaluation of other emerging rapid detection technologies that may become available during the course of the study, such as T2 biosystems. This will not require any further sample collection from patients enrolled in the study. </w:t>
      </w:r>
    </w:p>
    <w:p w14:paraId="2709E931" w14:textId="77777777" w:rsidR="00C70998" w:rsidRPr="00CE7A5C" w:rsidRDefault="00C70998" w:rsidP="00957901">
      <w:pPr>
        <w:pStyle w:val="Body"/>
        <w:widowControl w:val="0"/>
        <w:spacing w:line="360" w:lineRule="auto"/>
        <w:rPr>
          <w:rFonts w:cs="Arial"/>
          <w:sz w:val="22"/>
          <w:szCs w:val="22"/>
        </w:rPr>
      </w:pPr>
    </w:p>
    <w:p w14:paraId="1D2A56C2" w14:textId="34A1681E"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Plans to promote participant retention and complete follow-up</w:t>
      </w:r>
      <w:r w:rsidR="0059433C" w:rsidRPr="00CE7A5C">
        <w:rPr>
          <w:rStyle w:val="None"/>
          <w:rFonts w:cs="Arial"/>
          <w:b/>
          <w:bCs/>
          <w:sz w:val="22"/>
          <w:szCs w:val="22"/>
          <w:lang w:val="en-US"/>
        </w:rPr>
        <w:t xml:space="preserve"> {18b}</w:t>
      </w:r>
    </w:p>
    <w:p w14:paraId="6B4DB23C" w14:textId="1EBB92A6" w:rsidR="00DD32CE" w:rsidRPr="00CE7A5C" w:rsidRDefault="00DD32CE" w:rsidP="00957901">
      <w:pPr>
        <w:pStyle w:val="Body"/>
        <w:widowControl w:val="0"/>
        <w:spacing w:line="360" w:lineRule="auto"/>
        <w:rPr>
          <w:rFonts w:cs="Arial"/>
          <w:sz w:val="22"/>
          <w:szCs w:val="22"/>
        </w:rPr>
      </w:pPr>
      <w:r w:rsidRPr="00CE7A5C">
        <w:rPr>
          <w:rFonts w:cs="Arial"/>
          <w:sz w:val="22"/>
          <w:szCs w:val="22"/>
        </w:rPr>
        <w:t>Not applicable</w:t>
      </w:r>
    </w:p>
    <w:p w14:paraId="31DF8703" w14:textId="77777777" w:rsidR="00DD32CE" w:rsidRPr="00CE7A5C" w:rsidRDefault="00DD32CE" w:rsidP="00957901">
      <w:pPr>
        <w:pStyle w:val="Body"/>
        <w:widowControl w:val="0"/>
        <w:spacing w:line="360" w:lineRule="auto"/>
        <w:rPr>
          <w:rFonts w:cs="Arial"/>
          <w:sz w:val="22"/>
          <w:szCs w:val="22"/>
        </w:rPr>
      </w:pPr>
    </w:p>
    <w:p w14:paraId="3940C6DE" w14:textId="14A1BC38"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Data management</w:t>
      </w:r>
      <w:r w:rsidR="00F06690" w:rsidRPr="00CE7A5C">
        <w:rPr>
          <w:rStyle w:val="None"/>
          <w:rFonts w:cs="Arial"/>
          <w:b/>
          <w:bCs/>
          <w:sz w:val="22"/>
          <w:szCs w:val="22"/>
          <w:lang w:val="en-US"/>
        </w:rPr>
        <w:t xml:space="preserve"> {19}</w:t>
      </w:r>
    </w:p>
    <w:p w14:paraId="2DE2F2A2" w14:textId="45EC430B" w:rsidR="00DD32CE" w:rsidRPr="00CE7A5C" w:rsidRDefault="00073A12" w:rsidP="00957901">
      <w:pPr>
        <w:spacing w:line="360" w:lineRule="auto"/>
        <w:rPr>
          <w:rFonts w:ascii="Arial" w:hAnsi="Arial" w:cs="Arial"/>
          <w:sz w:val="22"/>
          <w:szCs w:val="22"/>
          <w:lang w:val="en-AU"/>
        </w:rPr>
      </w:pPr>
      <w:r w:rsidRPr="00CE7A5C">
        <w:rPr>
          <w:rFonts w:ascii="Arial" w:hAnsi="Arial" w:cs="Arial"/>
          <w:sz w:val="22"/>
          <w:szCs w:val="22"/>
          <w:lang w:val="en-AU"/>
        </w:rPr>
        <w:t xml:space="preserve">Data will be entered directly into an online </w:t>
      </w:r>
      <w:proofErr w:type="spellStart"/>
      <w:r w:rsidRPr="00CE7A5C">
        <w:rPr>
          <w:rFonts w:ascii="Arial" w:hAnsi="Arial" w:cs="Arial"/>
          <w:sz w:val="22"/>
          <w:szCs w:val="22"/>
          <w:lang w:val="en-AU"/>
        </w:rPr>
        <w:t>REDCap</w:t>
      </w:r>
      <w:proofErr w:type="spellEnd"/>
      <w:r w:rsidRPr="00CE7A5C">
        <w:rPr>
          <w:rFonts w:ascii="Arial" w:hAnsi="Arial" w:cs="Arial"/>
          <w:sz w:val="22"/>
          <w:szCs w:val="22"/>
          <w:lang w:val="en-AU"/>
        </w:rPr>
        <w:t xml:space="preserve"> database hosted by the University of Queensland. In the event that a paper Case report form is used, forms will be stored in an appropriate locked storage facility with restricted access. </w:t>
      </w:r>
      <w:r w:rsidR="00DD32CE" w:rsidRPr="00CE7A5C">
        <w:rPr>
          <w:rFonts w:ascii="Arial" w:hAnsi="Arial" w:cs="Arial"/>
          <w:sz w:val="22"/>
          <w:szCs w:val="22"/>
          <w:lang w:val="en-AU"/>
        </w:rPr>
        <w:t>A study ID number will be used to link de-identified clinical data with the laboratory samples.</w:t>
      </w:r>
      <w:r w:rsidR="00816234">
        <w:rPr>
          <w:rFonts w:ascii="Arial" w:hAnsi="Arial" w:cs="Arial"/>
          <w:sz w:val="22"/>
          <w:szCs w:val="22"/>
          <w:lang w:val="en-AU"/>
        </w:rPr>
        <w:t xml:space="preserve"> </w:t>
      </w:r>
      <w:r w:rsidR="00816234" w:rsidRPr="00FC79C9">
        <w:rPr>
          <w:rFonts w:ascii="Arial" w:hAnsi="Arial" w:cs="Arial"/>
          <w:sz w:val="22"/>
          <w:szCs w:val="22"/>
        </w:rPr>
        <w:t xml:space="preserve">Deidentified genome sequence data will be shared by deposition in a public </w:t>
      </w:r>
      <w:r w:rsidR="00774CBD" w:rsidRPr="00FC79C9">
        <w:rPr>
          <w:rFonts w:ascii="Arial" w:hAnsi="Arial" w:cs="Arial"/>
          <w:sz w:val="22"/>
          <w:szCs w:val="22"/>
        </w:rPr>
        <w:t xml:space="preserve">nucleotide </w:t>
      </w:r>
      <w:r w:rsidR="00816234" w:rsidRPr="00FC79C9">
        <w:rPr>
          <w:rFonts w:ascii="Arial" w:hAnsi="Arial" w:cs="Arial"/>
          <w:sz w:val="22"/>
          <w:szCs w:val="22"/>
        </w:rPr>
        <w:t xml:space="preserve">repository </w:t>
      </w:r>
      <w:r w:rsidR="00774CBD" w:rsidRPr="00FC79C9">
        <w:rPr>
          <w:rFonts w:ascii="Arial" w:hAnsi="Arial" w:cs="Arial"/>
          <w:sz w:val="22"/>
          <w:szCs w:val="22"/>
        </w:rPr>
        <w:t>(GenBank and Sequence Read Archive).</w:t>
      </w:r>
      <w:r w:rsidR="00816234">
        <w:t xml:space="preserve">  </w:t>
      </w:r>
    </w:p>
    <w:p w14:paraId="1E64234E" w14:textId="571DB1D6" w:rsidR="001B314D" w:rsidRPr="00CE7A5C" w:rsidRDefault="001B314D" w:rsidP="00957901">
      <w:pPr>
        <w:spacing w:line="360" w:lineRule="auto"/>
        <w:rPr>
          <w:rFonts w:ascii="Arial" w:hAnsi="Arial" w:cs="Arial"/>
          <w:sz w:val="22"/>
          <w:szCs w:val="22"/>
          <w:lang w:val="en-AU"/>
        </w:rPr>
      </w:pPr>
      <w:bookmarkStart w:id="2" w:name="_Hlk15754501"/>
    </w:p>
    <w:p w14:paraId="188964A7" w14:textId="325FC061" w:rsidR="00DD32CE" w:rsidRPr="00CE7A5C" w:rsidRDefault="00DD32CE" w:rsidP="00957901">
      <w:pPr>
        <w:spacing w:line="360" w:lineRule="auto"/>
        <w:rPr>
          <w:rFonts w:ascii="Arial" w:hAnsi="Arial" w:cs="Arial"/>
          <w:sz w:val="22"/>
          <w:szCs w:val="22"/>
          <w:lang w:val="en-AU"/>
        </w:rPr>
      </w:pPr>
      <w:r w:rsidRPr="00CE7A5C">
        <w:rPr>
          <w:rFonts w:ascii="Arial" w:hAnsi="Arial" w:cs="Arial"/>
          <w:sz w:val="22"/>
          <w:szCs w:val="22"/>
          <w:lang w:val="en-AU"/>
        </w:rPr>
        <w:t>Data and samples will be retained in line with the Queensland Health Retention and Disposal Schedule and with the Australian Code for the Responsible Conduct of Research Section 2.1.1.</w:t>
      </w:r>
    </w:p>
    <w:bookmarkEnd w:id="2"/>
    <w:p w14:paraId="7B19193F" w14:textId="77777777" w:rsidR="001B314D" w:rsidRPr="00CE7A5C" w:rsidRDefault="001B314D" w:rsidP="00957901">
      <w:pPr>
        <w:spacing w:line="360" w:lineRule="auto"/>
        <w:rPr>
          <w:rFonts w:ascii="Arial" w:hAnsi="Arial" w:cs="Arial"/>
          <w:b/>
          <w:sz w:val="22"/>
          <w:szCs w:val="22"/>
          <w:lang w:val="en-AU"/>
        </w:rPr>
      </w:pPr>
    </w:p>
    <w:p w14:paraId="69E71EED" w14:textId="4AEF357A" w:rsidR="00DD32CE" w:rsidRPr="00605722" w:rsidRDefault="00605722" w:rsidP="00957901">
      <w:pPr>
        <w:spacing w:line="360" w:lineRule="auto"/>
        <w:rPr>
          <w:rFonts w:ascii="Arial" w:hAnsi="Arial" w:cs="Arial"/>
          <w:b/>
          <w:iCs/>
          <w:sz w:val="22"/>
          <w:szCs w:val="22"/>
          <w:lang w:val="en-AU"/>
        </w:rPr>
      </w:pPr>
      <w:r w:rsidRPr="00605722">
        <w:rPr>
          <w:rFonts w:ascii="Arial" w:hAnsi="Arial" w:cs="Arial"/>
          <w:b/>
          <w:iCs/>
          <w:sz w:val="22"/>
          <w:szCs w:val="22"/>
          <w:lang w:val="en-AU"/>
        </w:rPr>
        <w:t xml:space="preserve">Data monitoring </w:t>
      </w:r>
    </w:p>
    <w:p w14:paraId="629A5624" w14:textId="75FF095C" w:rsidR="00DD32CE" w:rsidRPr="00CE7A5C" w:rsidRDefault="00DD32CE" w:rsidP="00957901">
      <w:pPr>
        <w:spacing w:line="360" w:lineRule="auto"/>
        <w:rPr>
          <w:rFonts w:ascii="Arial" w:hAnsi="Arial" w:cs="Arial"/>
          <w:sz w:val="22"/>
          <w:szCs w:val="22"/>
          <w:lang w:val="en-AU"/>
        </w:rPr>
      </w:pPr>
      <w:r w:rsidRPr="00CE7A5C">
        <w:rPr>
          <w:rFonts w:ascii="Arial" w:hAnsi="Arial" w:cs="Arial"/>
          <w:sz w:val="22"/>
          <w:szCs w:val="22"/>
          <w:lang w:val="en-AU"/>
        </w:rPr>
        <w:t xml:space="preserve">Adherence to the study protocol will be monitored by the Coordinating Principal Investigator, and the </w:t>
      </w:r>
      <w:r w:rsidR="00605722">
        <w:rPr>
          <w:rFonts w:ascii="Arial" w:hAnsi="Arial" w:cs="Arial"/>
          <w:sz w:val="22"/>
          <w:szCs w:val="22"/>
          <w:lang w:val="en-AU"/>
        </w:rPr>
        <w:t>steering committee</w:t>
      </w:r>
      <w:r w:rsidRPr="00CE7A5C">
        <w:rPr>
          <w:rFonts w:ascii="Arial" w:hAnsi="Arial" w:cs="Arial"/>
          <w:sz w:val="22"/>
          <w:szCs w:val="22"/>
          <w:lang w:val="en-AU"/>
        </w:rPr>
        <w:t>. Patient eligibility, consents, and sample processing will be audited every 6</w:t>
      </w:r>
      <w:r w:rsidR="00073A12" w:rsidRPr="00CE7A5C">
        <w:rPr>
          <w:rFonts w:ascii="Arial" w:hAnsi="Arial" w:cs="Arial"/>
          <w:sz w:val="22"/>
          <w:szCs w:val="22"/>
          <w:lang w:val="en-AU"/>
        </w:rPr>
        <w:t xml:space="preserve"> </w:t>
      </w:r>
      <w:r w:rsidRPr="00CE7A5C">
        <w:rPr>
          <w:rFonts w:ascii="Arial" w:hAnsi="Arial" w:cs="Arial"/>
          <w:sz w:val="22"/>
          <w:szCs w:val="22"/>
          <w:lang w:val="en-AU"/>
        </w:rPr>
        <w:t xml:space="preserve">months at each site. An annual progress report will be submitted to the approving </w:t>
      </w:r>
      <w:r w:rsidR="00073A12" w:rsidRPr="00CE7A5C">
        <w:rPr>
          <w:rFonts w:ascii="Arial" w:hAnsi="Arial" w:cs="Arial"/>
          <w:sz w:val="22"/>
          <w:szCs w:val="22"/>
          <w:lang w:val="en-AU"/>
        </w:rPr>
        <w:t>human research ethics committee (</w:t>
      </w:r>
      <w:r w:rsidRPr="00CE7A5C">
        <w:rPr>
          <w:rFonts w:ascii="Arial" w:hAnsi="Arial" w:cs="Arial"/>
          <w:sz w:val="22"/>
          <w:szCs w:val="22"/>
          <w:lang w:val="en-AU"/>
        </w:rPr>
        <w:t>HREC</w:t>
      </w:r>
      <w:r w:rsidR="00073A12" w:rsidRPr="00CE7A5C">
        <w:rPr>
          <w:rFonts w:ascii="Arial" w:hAnsi="Arial" w:cs="Arial"/>
          <w:sz w:val="22"/>
          <w:szCs w:val="22"/>
          <w:lang w:val="en-AU"/>
        </w:rPr>
        <w:t>)</w:t>
      </w:r>
      <w:r w:rsidRPr="00CE7A5C">
        <w:rPr>
          <w:rFonts w:ascii="Arial" w:hAnsi="Arial" w:cs="Arial"/>
          <w:sz w:val="22"/>
          <w:szCs w:val="22"/>
          <w:lang w:val="en-AU"/>
        </w:rPr>
        <w:t xml:space="preserve"> </w:t>
      </w:r>
      <w:r w:rsidR="00E05955">
        <w:rPr>
          <w:rFonts w:ascii="Arial" w:hAnsi="Arial" w:cs="Arial"/>
          <w:sz w:val="22"/>
          <w:szCs w:val="22"/>
          <w:lang w:val="en-AU"/>
        </w:rPr>
        <w:t>and</w:t>
      </w:r>
      <w:r w:rsidRPr="00CE7A5C">
        <w:rPr>
          <w:rFonts w:ascii="Arial" w:hAnsi="Arial" w:cs="Arial"/>
          <w:sz w:val="22"/>
          <w:szCs w:val="22"/>
          <w:lang w:val="en-AU"/>
        </w:rPr>
        <w:t xml:space="preserve"> local </w:t>
      </w:r>
      <w:r w:rsidR="00073A12" w:rsidRPr="00CE7A5C">
        <w:rPr>
          <w:rFonts w:ascii="Arial" w:hAnsi="Arial" w:cs="Arial"/>
          <w:sz w:val="22"/>
          <w:szCs w:val="22"/>
          <w:lang w:val="en-AU"/>
        </w:rPr>
        <w:t>research governance officers (</w:t>
      </w:r>
      <w:r w:rsidRPr="00CE7A5C">
        <w:rPr>
          <w:rFonts w:ascii="Arial" w:hAnsi="Arial" w:cs="Arial"/>
          <w:sz w:val="22"/>
          <w:szCs w:val="22"/>
          <w:lang w:val="en-AU"/>
        </w:rPr>
        <w:t>RGOs</w:t>
      </w:r>
      <w:r w:rsidR="00073A12" w:rsidRPr="00CE7A5C">
        <w:rPr>
          <w:rFonts w:ascii="Arial" w:hAnsi="Arial" w:cs="Arial"/>
          <w:sz w:val="22"/>
          <w:szCs w:val="22"/>
          <w:lang w:val="en-AU"/>
        </w:rPr>
        <w:t>)</w:t>
      </w:r>
      <w:r w:rsidRPr="00CE7A5C">
        <w:rPr>
          <w:rFonts w:ascii="Arial" w:hAnsi="Arial" w:cs="Arial"/>
          <w:sz w:val="22"/>
          <w:szCs w:val="22"/>
          <w:lang w:val="en-AU"/>
        </w:rPr>
        <w:t>. No adverse events are anticipated, and a D</w:t>
      </w:r>
      <w:r w:rsidR="00605722">
        <w:rPr>
          <w:rFonts w:ascii="Arial" w:hAnsi="Arial" w:cs="Arial"/>
          <w:sz w:val="22"/>
          <w:szCs w:val="22"/>
          <w:lang w:val="en-AU"/>
        </w:rPr>
        <w:t>ata</w:t>
      </w:r>
      <w:r w:rsidRPr="00CE7A5C">
        <w:rPr>
          <w:rFonts w:ascii="Arial" w:hAnsi="Arial" w:cs="Arial"/>
          <w:sz w:val="22"/>
          <w:szCs w:val="22"/>
          <w:lang w:val="en-AU"/>
        </w:rPr>
        <w:t xml:space="preserve"> Safety an</w:t>
      </w:r>
      <w:r w:rsidR="0044474E">
        <w:rPr>
          <w:rFonts w:ascii="Arial" w:hAnsi="Arial" w:cs="Arial"/>
          <w:sz w:val="22"/>
          <w:szCs w:val="22"/>
          <w:lang w:val="en-AU"/>
        </w:rPr>
        <w:t>\</w:t>
      </w:r>
      <w:r w:rsidRPr="00CE7A5C">
        <w:rPr>
          <w:rFonts w:ascii="Arial" w:hAnsi="Arial" w:cs="Arial"/>
          <w:sz w:val="22"/>
          <w:szCs w:val="22"/>
          <w:lang w:val="en-AU"/>
        </w:rPr>
        <w:t xml:space="preserve">d Monitoring Board </w:t>
      </w:r>
      <w:r w:rsidR="00605722">
        <w:rPr>
          <w:rFonts w:ascii="Arial" w:hAnsi="Arial" w:cs="Arial"/>
          <w:sz w:val="22"/>
          <w:szCs w:val="22"/>
          <w:lang w:val="en-AU"/>
        </w:rPr>
        <w:t>has not been convened</w:t>
      </w:r>
      <w:r w:rsidRPr="00CE7A5C">
        <w:rPr>
          <w:rFonts w:ascii="Arial" w:hAnsi="Arial" w:cs="Arial"/>
          <w:sz w:val="22"/>
          <w:szCs w:val="22"/>
          <w:lang w:val="en-AU"/>
        </w:rPr>
        <w:t>.</w:t>
      </w:r>
    </w:p>
    <w:p w14:paraId="77590A09" w14:textId="77777777" w:rsidR="00DD32CE" w:rsidRPr="00CE7A5C" w:rsidRDefault="00DD32CE" w:rsidP="00957901">
      <w:pPr>
        <w:pStyle w:val="Body"/>
        <w:widowControl w:val="0"/>
        <w:spacing w:line="360" w:lineRule="auto"/>
        <w:rPr>
          <w:rFonts w:cs="Arial"/>
          <w:sz w:val="22"/>
          <w:szCs w:val="22"/>
        </w:rPr>
      </w:pPr>
    </w:p>
    <w:p w14:paraId="2D84B72A" w14:textId="729DBA3C"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Confidentiality</w:t>
      </w:r>
      <w:r w:rsidR="00F06690" w:rsidRPr="00CE7A5C">
        <w:rPr>
          <w:rStyle w:val="None"/>
          <w:rFonts w:cs="Arial"/>
          <w:b/>
          <w:bCs/>
          <w:sz w:val="22"/>
          <w:szCs w:val="22"/>
          <w:lang w:val="en-US"/>
        </w:rPr>
        <w:t xml:space="preserve"> {27}</w:t>
      </w:r>
    </w:p>
    <w:p w14:paraId="068776A6" w14:textId="31FECADE" w:rsidR="004C3232" w:rsidRPr="00CE7A5C" w:rsidRDefault="00EB526B" w:rsidP="00957901">
      <w:pPr>
        <w:pStyle w:val="Body"/>
        <w:widowControl w:val="0"/>
        <w:spacing w:line="360" w:lineRule="auto"/>
        <w:rPr>
          <w:rFonts w:cs="Arial"/>
          <w:sz w:val="22"/>
          <w:szCs w:val="22"/>
        </w:rPr>
      </w:pPr>
      <w:r w:rsidRPr="00CE7A5C">
        <w:rPr>
          <w:rFonts w:cs="Arial"/>
          <w:sz w:val="22"/>
          <w:szCs w:val="22"/>
          <w:lang w:val="en-AU"/>
        </w:rPr>
        <w:t xml:space="preserve">Clinical data on patient demographics, comorbidities, type and focus of infection, severity, clinical progress through ICU and </w:t>
      </w:r>
      <w:r>
        <w:rPr>
          <w:rFonts w:cs="Arial"/>
          <w:sz w:val="22"/>
          <w:szCs w:val="22"/>
          <w:lang w:val="en-AU"/>
        </w:rPr>
        <w:t xml:space="preserve">clinical </w:t>
      </w:r>
      <w:r w:rsidRPr="00CE7A5C">
        <w:rPr>
          <w:rFonts w:cs="Arial"/>
          <w:sz w:val="22"/>
          <w:szCs w:val="22"/>
          <w:lang w:val="en-AU"/>
        </w:rPr>
        <w:t>outcomes (including ICU and hospital length of stay and in-</w:t>
      </w:r>
      <w:r w:rsidRPr="00CE7A5C">
        <w:rPr>
          <w:rFonts w:cs="Arial"/>
          <w:sz w:val="22"/>
          <w:szCs w:val="22"/>
          <w:lang w:val="en-AU"/>
        </w:rPr>
        <w:lastRenderedPageBreak/>
        <w:t>hospital mortality) will be captured by clinical research nurses into a</w:t>
      </w:r>
      <w:r>
        <w:rPr>
          <w:rFonts w:cs="Arial"/>
          <w:sz w:val="22"/>
          <w:szCs w:val="22"/>
          <w:lang w:val="en-AU"/>
        </w:rPr>
        <w:t xml:space="preserve"> secure, password-restricted</w:t>
      </w:r>
      <w:r w:rsidRPr="00CE7A5C">
        <w:rPr>
          <w:rFonts w:cs="Arial"/>
          <w:sz w:val="22"/>
          <w:szCs w:val="22"/>
          <w:lang w:val="en-AU"/>
        </w:rPr>
        <w:t xml:space="preserve"> on</w:t>
      </w:r>
      <w:r>
        <w:rPr>
          <w:rFonts w:cs="Arial"/>
          <w:sz w:val="22"/>
          <w:szCs w:val="22"/>
          <w:lang w:val="en-AU"/>
        </w:rPr>
        <w:t xml:space="preserve">line </w:t>
      </w:r>
      <w:proofErr w:type="spellStart"/>
      <w:r>
        <w:rPr>
          <w:rFonts w:cs="Arial"/>
          <w:sz w:val="22"/>
          <w:szCs w:val="22"/>
          <w:lang w:val="en-AU"/>
        </w:rPr>
        <w:t>REDCap</w:t>
      </w:r>
      <w:proofErr w:type="spellEnd"/>
      <w:r>
        <w:rPr>
          <w:rFonts w:cs="Arial"/>
          <w:sz w:val="22"/>
          <w:szCs w:val="22"/>
          <w:lang w:val="en-AU"/>
        </w:rPr>
        <w:t xml:space="preserve"> database hosted by T</w:t>
      </w:r>
      <w:r w:rsidRPr="00CE7A5C">
        <w:rPr>
          <w:rFonts w:cs="Arial"/>
          <w:sz w:val="22"/>
          <w:szCs w:val="22"/>
          <w:lang w:val="en-AU"/>
        </w:rPr>
        <w:t>he University of Queensland</w:t>
      </w:r>
      <w:r>
        <w:rPr>
          <w:rFonts w:cs="Arial"/>
          <w:sz w:val="22"/>
          <w:szCs w:val="22"/>
          <w:lang w:val="en-AU"/>
        </w:rPr>
        <w:t xml:space="preserve">. </w:t>
      </w:r>
      <w:r w:rsidRPr="00EB526B">
        <w:rPr>
          <w:rFonts w:cs="Arial"/>
          <w:sz w:val="22"/>
          <w:szCs w:val="22"/>
          <w:lang w:val="en-AU"/>
        </w:rPr>
        <w:t>A study ID number will be used to link de-identified clinical data with the laboratory samples.</w:t>
      </w:r>
    </w:p>
    <w:p w14:paraId="0DEB9A8B" w14:textId="6E08848D" w:rsidR="00073A12" w:rsidRPr="00CE7A5C" w:rsidRDefault="00073A12" w:rsidP="00957901">
      <w:pPr>
        <w:pStyle w:val="Body"/>
        <w:widowControl w:val="0"/>
        <w:spacing w:line="360" w:lineRule="auto"/>
        <w:rPr>
          <w:rFonts w:cs="Arial"/>
          <w:sz w:val="22"/>
          <w:szCs w:val="22"/>
        </w:rPr>
      </w:pPr>
    </w:p>
    <w:p w14:paraId="15DF838B" w14:textId="322C2301" w:rsidR="004C3232" w:rsidRPr="00CE7A5C" w:rsidRDefault="00B727C2" w:rsidP="00957901">
      <w:pPr>
        <w:pStyle w:val="Body"/>
        <w:widowControl w:val="0"/>
        <w:spacing w:before="120" w:line="360" w:lineRule="auto"/>
        <w:jc w:val="both"/>
        <w:rPr>
          <w:rStyle w:val="None"/>
          <w:rFonts w:cs="Arial"/>
          <w:b/>
          <w:bCs/>
          <w:sz w:val="22"/>
          <w:szCs w:val="22"/>
        </w:rPr>
      </w:pPr>
      <w:r w:rsidRPr="00CE7A5C">
        <w:rPr>
          <w:rStyle w:val="None"/>
          <w:rFonts w:cs="Arial"/>
          <w:b/>
          <w:bCs/>
          <w:sz w:val="22"/>
          <w:szCs w:val="22"/>
          <w:lang w:val="en-US"/>
        </w:rPr>
        <w:t>Plans for collection, laboratory evaluation and storage of biological specimens for genetic or molecular analysis in this trial/future use</w:t>
      </w:r>
      <w:r w:rsidR="00DB2BB4" w:rsidRPr="00CE7A5C">
        <w:rPr>
          <w:rStyle w:val="None"/>
          <w:rFonts w:cs="Arial"/>
          <w:b/>
          <w:bCs/>
          <w:sz w:val="22"/>
          <w:szCs w:val="22"/>
          <w:lang w:val="en-US"/>
        </w:rPr>
        <w:t xml:space="preserve"> {33}</w:t>
      </w:r>
    </w:p>
    <w:p w14:paraId="3770E6A3" w14:textId="77777777" w:rsidR="00A60F34" w:rsidRDefault="00A60F34" w:rsidP="00957901">
      <w:pPr>
        <w:pStyle w:val="Body"/>
        <w:widowControl w:val="0"/>
        <w:spacing w:before="120" w:line="360" w:lineRule="auto"/>
        <w:rPr>
          <w:rStyle w:val="None"/>
          <w:rFonts w:cs="Arial"/>
          <w:b/>
          <w:bCs/>
          <w:sz w:val="22"/>
          <w:szCs w:val="22"/>
          <w:lang w:val="en-US"/>
        </w:rPr>
      </w:pPr>
    </w:p>
    <w:p w14:paraId="59631BFC" w14:textId="62EF6938" w:rsidR="004C3232" w:rsidRPr="00CE7A5C" w:rsidRDefault="00233125"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Statistical methods</w:t>
      </w:r>
      <w:r w:rsidR="00A60F34">
        <w:rPr>
          <w:rStyle w:val="None"/>
          <w:rFonts w:cs="Arial"/>
          <w:b/>
          <w:bCs/>
          <w:sz w:val="22"/>
          <w:szCs w:val="22"/>
          <w:lang w:val="en-US"/>
        </w:rPr>
        <w:br/>
      </w:r>
      <w:r w:rsidR="00B727C2" w:rsidRPr="00CE7A5C">
        <w:rPr>
          <w:rStyle w:val="None"/>
          <w:rFonts w:cs="Arial"/>
          <w:b/>
          <w:bCs/>
          <w:sz w:val="22"/>
          <w:szCs w:val="22"/>
          <w:lang w:val="en-US"/>
        </w:rPr>
        <w:t>Statistical methods for primary and secondary outcomes</w:t>
      </w:r>
      <w:r w:rsidR="00DB2BB4" w:rsidRPr="00CE7A5C">
        <w:rPr>
          <w:rStyle w:val="None"/>
          <w:rFonts w:cs="Arial"/>
          <w:b/>
          <w:bCs/>
          <w:sz w:val="22"/>
          <w:szCs w:val="22"/>
          <w:lang w:val="en-US"/>
        </w:rPr>
        <w:t xml:space="preserve"> {20a}</w:t>
      </w:r>
    </w:p>
    <w:p w14:paraId="638F8C88" w14:textId="38E2A27D" w:rsidR="00F641D9" w:rsidRDefault="00F641D9" w:rsidP="00C70998">
      <w:pPr>
        <w:pStyle w:val="NoSpacing"/>
        <w:spacing w:line="360" w:lineRule="auto"/>
        <w:rPr>
          <w:rFonts w:ascii="Arial" w:hAnsi="Arial" w:cs="Arial"/>
          <w:sz w:val="22"/>
          <w:szCs w:val="22"/>
          <w:lang w:val="en-GB"/>
        </w:rPr>
      </w:pPr>
      <w:r>
        <w:rPr>
          <w:rFonts w:ascii="Arial" w:hAnsi="Arial" w:cs="Arial"/>
          <w:sz w:val="22"/>
          <w:szCs w:val="22"/>
          <w:lang w:val="en-GB"/>
        </w:rPr>
        <w:t>The primary outcome measure, time to optimal antimicrobial therapy will be reported by median and interquartile range. Comparison between projected time to optimal antimicrobial therapy u</w:t>
      </w:r>
      <w:r w:rsidR="00850DFC">
        <w:rPr>
          <w:rFonts w:ascii="Arial" w:hAnsi="Arial" w:cs="Arial"/>
          <w:sz w:val="22"/>
          <w:szCs w:val="22"/>
          <w:lang w:val="en-GB"/>
        </w:rPr>
        <w:t>sing an integrated diagnostic sequencing and dosing algorithm will be compared with the observed time to optimal therapy using a suitable non-parametric test such as the Kruskal-Wallis test.</w:t>
      </w:r>
    </w:p>
    <w:p w14:paraId="00C1C921" w14:textId="77777777" w:rsidR="00F641D9" w:rsidRPr="00CE7A5C" w:rsidRDefault="00F641D9" w:rsidP="00C70998">
      <w:pPr>
        <w:pStyle w:val="NoSpacing"/>
        <w:spacing w:line="360" w:lineRule="auto"/>
        <w:rPr>
          <w:rFonts w:ascii="Arial" w:hAnsi="Arial" w:cs="Arial"/>
          <w:sz w:val="22"/>
          <w:szCs w:val="22"/>
          <w:lang w:val="en-GB"/>
        </w:rPr>
      </w:pPr>
    </w:p>
    <w:p w14:paraId="00996A99" w14:textId="5EA400AD" w:rsidR="00F641D9" w:rsidRPr="00F641D9" w:rsidRDefault="00F641D9" w:rsidP="00C70998">
      <w:pPr>
        <w:pStyle w:val="NoSpacing"/>
        <w:spacing w:line="360" w:lineRule="auto"/>
        <w:rPr>
          <w:rFonts w:ascii="Arial" w:hAnsi="Arial" w:cs="Arial"/>
          <w:bCs/>
          <w:sz w:val="22"/>
          <w:szCs w:val="22"/>
          <w:lang w:val="en-GB"/>
        </w:rPr>
      </w:pPr>
      <w:r>
        <w:rPr>
          <w:rFonts w:ascii="Arial" w:hAnsi="Arial" w:cs="Arial"/>
          <w:bCs/>
          <w:sz w:val="22"/>
          <w:szCs w:val="22"/>
          <w:lang w:val="en-GB"/>
        </w:rPr>
        <w:t xml:space="preserve">Diagnostic accuracy of </w:t>
      </w:r>
      <w:proofErr w:type="spellStart"/>
      <w:r>
        <w:rPr>
          <w:rFonts w:ascii="Arial" w:hAnsi="Arial" w:cs="Arial"/>
          <w:bCs/>
          <w:sz w:val="22"/>
          <w:szCs w:val="22"/>
          <w:lang w:val="en-GB"/>
        </w:rPr>
        <w:t>MinION</w:t>
      </w:r>
      <w:proofErr w:type="spellEnd"/>
      <w:r>
        <w:rPr>
          <w:rFonts w:ascii="Arial" w:hAnsi="Arial" w:cs="Arial"/>
          <w:bCs/>
          <w:sz w:val="22"/>
          <w:szCs w:val="22"/>
          <w:lang w:val="en-GB"/>
        </w:rPr>
        <w:t xml:space="preserve"> nanopore pathogen sequencing will be reported as sensitivity, specificity, positive and negative likelihood ratios against the composite reference standard reported above and illustrated by a 2x2 table.</w:t>
      </w:r>
    </w:p>
    <w:p w14:paraId="7E7264D8" w14:textId="77777777" w:rsidR="00850DFC" w:rsidRDefault="00850DFC" w:rsidP="00957901">
      <w:pPr>
        <w:pStyle w:val="Body"/>
        <w:widowControl w:val="0"/>
        <w:spacing w:before="120" w:line="360" w:lineRule="auto"/>
        <w:rPr>
          <w:rStyle w:val="None"/>
          <w:rFonts w:cs="Arial"/>
          <w:b/>
          <w:bCs/>
          <w:sz w:val="22"/>
          <w:szCs w:val="22"/>
          <w:lang w:val="en-US"/>
        </w:rPr>
      </w:pPr>
    </w:p>
    <w:p w14:paraId="0C1AD14B" w14:textId="69806A14"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Interim analyses</w:t>
      </w:r>
      <w:r w:rsidR="003D65DD" w:rsidRPr="00CE7A5C">
        <w:rPr>
          <w:rStyle w:val="None"/>
          <w:rFonts w:cs="Arial"/>
          <w:b/>
          <w:bCs/>
          <w:sz w:val="22"/>
          <w:szCs w:val="22"/>
          <w:lang w:val="en-US"/>
        </w:rPr>
        <w:t xml:space="preserve"> {21b}</w:t>
      </w:r>
    </w:p>
    <w:p w14:paraId="3F934B51" w14:textId="2AF345D5" w:rsidR="004C3232" w:rsidRPr="00CE7A5C" w:rsidRDefault="00AC7CB0" w:rsidP="00957901">
      <w:pPr>
        <w:pStyle w:val="Body"/>
        <w:widowControl w:val="0"/>
        <w:spacing w:line="360" w:lineRule="auto"/>
        <w:rPr>
          <w:rFonts w:cs="Arial"/>
          <w:sz w:val="22"/>
          <w:szCs w:val="22"/>
        </w:rPr>
      </w:pPr>
      <w:r>
        <w:rPr>
          <w:rFonts w:cs="Arial"/>
          <w:sz w:val="22"/>
          <w:szCs w:val="22"/>
        </w:rPr>
        <w:t>Not applicable</w:t>
      </w:r>
    </w:p>
    <w:p w14:paraId="10BD41D0" w14:textId="29C206BE"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Methods for additional analyses (e.g. subgroup analyses)</w:t>
      </w:r>
      <w:r w:rsidR="00A90F31" w:rsidRPr="00CE7A5C">
        <w:rPr>
          <w:rStyle w:val="None"/>
          <w:rFonts w:cs="Arial"/>
          <w:b/>
          <w:bCs/>
          <w:sz w:val="22"/>
          <w:szCs w:val="22"/>
          <w:lang w:val="en-US"/>
        </w:rPr>
        <w:t xml:space="preserve"> {20b}</w:t>
      </w:r>
    </w:p>
    <w:p w14:paraId="5AFDAE2C" w14:textId="2FC84A92" w:rsidR="004C3232" w:rsidRPr="00CE7A5C" w:rsidRDefault="00AC7CB0" w:rsidP="00957901">
      <w:pPr>
        <w:pStyle w:val="Body"/>
        <w:widowControl w:val="0"/>
        <w:spacing w:line="360" w:lineRule="auto"/>
        <w:rPr>
          <w:rFonts w:cs="Arial"/>
          <w:sz w:val="22"/>
          <w:szCs w:val="22"/>
        </w:rPr>
      </w:pPr>
      <w:r>
        <w:rPr>
          <w:rFonts w:cs="Arial"/>
          <w:sz w:val="22"/>
          <w:szCs w:val="22"/>
        </w:rPr>
        <w:t>Not applicable</w:t>
      </w:r>
    </w:p>
    <w:p w14:paraId="510FB7EF" w14:textId="19EB54F2"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 xml:space="preserve">Methods in analysis to handle protocol non-adherence and any statistical methods to handle missing data </w:t>
      </w:r>
      <w:r w:rsidR="00A90F31" w:rsidRPr="00CE7A5C">
        <w:rPr>
          <w:rStyle w:val="None"/>
          <w:rFonts w:cs="Arial"/>
          <w:b/>
          <w:bCs/>
          <w:sz w:val="22"/>
          <w:szCs w:val="22"/>
          <w:lang w:val="en-US"/>
        </w:rPr>
        <w:t>{20c}</w:t>
      </w:r>
    </w:p>
    <w:p w14:paraId="1311A3C1" w14:textId="707AD91A" w:rsidR="00AC7CB0" w:rsidRDefault="00850DFC" w:rsidP="00957901">
      <w:pPr>
        <w:pStyle w:val="Body"/>
        <w:widowControl w:val="0"/>
        <w:spacing w:line="360" w:lineRule="auto"/>
        <w:rPr>
          <w:rFonts w:cs="Arial"/>
          <w:sz w:val="22"/>
          <w:szCs w:val="22"/>
        </w:rPr>
      </w:pPr>
      <w:r>
        <w:rPr>
          <w:rFonts w:cs="Arial"/>
          <w:sz w:val="22"/>
          <w:szCs w:val="22"/>
        </w:rPr>
        <w:t xml:space="preserve">Appropriate methods to handle missing data will be developed following an investigation of the pattern of missingness. Where appropriate, multiple imputation </w:t>
      </w:r>
      <w:r w:rsidR="002D54DF">
        <w:rPr>
          <w:rFonts w:cs="Arial"/>
          <w:sz w:val="22"/>
          <w:szCs w:val="22"/>
        </w:rPr>
        <w:t>will be used to replace missing values from a distribution of plausible values</w:t>
      </w:r>
    </w:p>
    <w:p w14:paraId="2298B651" w14:textId="076ECDEE"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Plans to give access to the full protocol, participant level-data and statistical code</w:t>
      </w:r>
      <w:r w:rsidR="00A90F31" w:rsidRPr="00CE7A5C">
        <w:rPr>
          <w:rStyle w:val="None"/>
          <w:rFonts w:cs="Arial"/>
          <w:b/>
          <w:bCs/>
          <w:sz w:val="22"/>
          <w:szCs w:val="22"/>
          <w:lang w:val="en-US"/>
        </w:rPr>
        <w:t xml:space="preserve"> {31c}</w:t>
      </w:r>
    </w:p>
    <w:p w14:paraId="6EBD7F1D" w14:textId="7469D9DC" w:rsidR="00850DFC" w:rsidRPr="00CE7A5C" w:rsidRDefault="00850DFC" w:rsidP="00850DFC">
      <w:pPr>
        <w:pStyle w:val="Body"/>
        <w:widowControl w:val="0"/>
        <w:spacing w:line="360" w:lineRule="auto"/>
        <w:rPr>
          <w:rStyle w:val="None"/>
          <w:rFonts w:cs="Arial"/>
          <w:color w:val="auto"/>
          <w:sz w:val="22"/>
          <w:szCs w:val="22"/>
          <w:u w:color="004C7F"/>
          <w:lang w:val="en-US"/>
        </w:rPr>
      </w:pPr>
      <w:r w:rsidRPr="00CE7A5C">
        <w:rPr>
          <w:rStyle w:val="None"/>
          <w:rFonts w:cs="Arial"/>
          <w:color w:val="auto"/>
          <w:sz w:val="22"/>
          <w:szCs w:val="22"/>
          <w:u w:color="004C7F"/>
          <w:lang w:val="en-US"/>
        </w:rPr>
        <w:t xml:space="preserve">The full </w:t>
      </w:r>
      <w:r>
        <w:rPr>
          <w:rStyle w:val="None"/>
          <w:rFonts w:cs="Arial"/>
          <w:color w:val="auto"/>
          <w:sz w:val="22"/>
          <w:szCs w:val="22"/>
          <w:u w:color="004C7F"/>
          <w:lang w:val="en-US"/>
        </w:rPr>
        <w:t xml:space="preserve">protocol, patient-level </w:t>
      </w:r>
      <w:r w:rsidRPr="00CE7A5C">
        <w:rPr>
          <w:rStyle w:val="None"/>
          <w:rFonts w:cs="Arial"/>
          <w:color w:val="auto"/>
          <w:sz w:val="22"/>
          <w:szCs w:val="22"/>
          <w:u w:color="004C7F"/>
          <w:lang w:val="en-US"/>
        </w:rPr>
        <w:t xml:space="preserve">dataset </w:t>
      </w:r>
      <w:r>
        <w:rPr>
          <w:rStyle w:val="None"/>
          <w:rFonts w:cs="Arial"/>
          <w:color w:val="auto"/>
          <w:sz w:val="22"/>
          <w:szCs w:val="22"/>
          <w:u w:color="004C7F"/>
          <w:lang w:val="en-US"/>
        </w:rPr>
        <w:t xml:space="preserve">and statistical code </w:t>
      </w:r>
      <w:r w:rsidRPr="00CE7A5C">
        <w:rPr>
          <w:rStyle w:val="None"/>
          <w:rFonts w:cs="Arial"/>
          <w:color w:val="auto"/>
          <w:sz w:val="22"/>
          <w:szCs w:val="22"/>
          <w:u w:color="004C7F"/>
          <w:lang w:val="en-US"/>
        </w:rPr>
        <w:t>will be made available on reasonable request.</w:t>
      </w:r>
    </w:p>
    <w:p w14:paraId="16F99963" w14:textId="77777777" w:rsidR="004C3232" w:rsidRPr="00CE7A5C" w:rsidRDefault="004C3232" w:rsidP="00957901">
      <w:pPr>
        <w:pStyle w:val="Body"/>
        <w:widowControl w:val="0"/>
        <w:spacing w:before="120" w:line="360" w:lineRule="auto"/>
        <w:rPr>
          <w:rFonts w:cs="Arial"/>
          <w:sz w:val="22"/>
          <w:szCs w:val="22"/>
        </w:rPr>
      </w:pPr>
    </w:p>
    <w:p w14:paraId="007E2E08" w14:textId="7777777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Oversight and monitoring</w:t>
      </w:r>
    </w:p>
    <w:p w14:paraId="03B88BD4" w14:textId="1BED4199"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 xml:space="preserve">Composition of the coordinating centre and </w:t>
      </w:r>
      <w:r w:rsidR="00242769">
        <w:rPr>
          <w:rStyle w:val="None"/>
          <w:rFonts w:cs="Arial"/>
          <w:b/>
          <w:bCs/>
          <w:sz w:val="22"/>
          <w:szCs w:val="22"/>
          <w:lang w:val="en-US"/>
        </w:rPr>
        <w:t>T</w:t>
      </w:r>
      <w:r w:rsidRPr="00CE7A5C">
        <w:rPr>
          <w:rStyle w:val="None"/>
          <w:rFonts w:cs="Arial"/>
          <w:b/>
          <w:bCs/>
          <w:sz w:val="22"/>
          <w:szCs w:val="22"/>
          <w:lang w:val="en-US"/>
        </w:rPr>
        <w:t xml:space="preserve">rial </w:t>
      </w:r>
      <w:r w:rsidR="00242769">
        <w:rPr>
          <w:rStyle w:val="None"/>
          <w:rFonts w:cs="Arial"/>
          <w:b/>
          <w:bCs/>
          <w:sz w:val="22"/>
          <w:szCs w:val="22"/>
          <w:lang w:val="en-US"/>
        </w:rPr>
        <w:t>S</w:t>
      </w:r>
      <w:r w:rsidRPr="00CE7A5C">
        <w:rPr>
          <w:rStyle w:val="None"/>
          <w:rFonts w:cs="Arial"/>
          <w:b/>
          <w:bCs/>
          <w:sz w:val="22"/>
          <w:szCs w:val="22"/>
          <w:lang w:val="en-US"/>
        </w:rPr>
        <w:t xml:space="preserve">teering </w:t>
      </w:r>
      <w:r w:rsidR="00242769">
        <w:rPr>
          <w:rStyle w:val="None"/>
          <w:rFonts w:cs="Arial"/>
          <w:b/>
          <w:bCs/>
          <w:sz w:val="22"/>
          <w:szCs w:val="22"/>
          <w:lang w:val="en-US"/>
        </w:rPr>
        <w:t>C</w:t>
      </w:r>
      <w:r w:rsidRPr="00CE7A5C">
        <w:rPr>
          <w:rStyle w:val="None"/>
          <w:rFonts w:cs="Arial"/>
          <w:b/>
          <w:bCs/>
          <w:sz w:val="22"/>
          <w:szCs w:val="22"/>
          <w:lang w:val="en-US"/>
        </w:rPr>
        <w:t>ommittee</w:t>
      </w:r>
      <w:r w:rsidR="00226190" w:rsidRPr="00CE7A5C">
        <w:rPr>
          <w:rStyle w:val="None"/>
          <w:rFonts w:cs="Arial"/>
          <w:b/>
          <w:bCs/>
          <w:sz w:val="22"/>
          <w:szCs w:val="22"/>
          <w:lang w:val="en-US"/>
        </w:rPr>
        <w:t xml:space="preserve"> {5d}</w:t>
      </w:r>
    </w:p>
    <w:p w14:paraId="2391C51A" w14:textId="1DC322E4" w:rsidR="00656E68" w:rsidRPr="00CE7A5C" w:rsidRDefault="00656E68" w:rsidP="00957901">
      <w:pPr>
        <w:pStyle w:val="Body"/>
        <w:widowControl w:val="0"/>
        <w:spacing w:line="360" w:lineRule="auto"/>
        <w:rPr>
          <w:rFonts w:cs="Arial"/>
          <w:sz w:val="22"/>
          <w:szCs w:val="22"/>
        </w:rPr>
      </w:pPr>
      <w:r w:rsidRPr="00CE7A5C">
        <w:rPr>
          <w:rFonts w:cs="Arial"/>
          <w:sz w:val="22"/>
          <w:szCs w:val="22"/>
        </w:rPr>
        <w:lastRenderedPageBreak/>
        <w:t>Luregn Schlapbach</w:t>
      </w:r>
      <w:r w:rsidRPr="00CE7A5C">
        <w:rPr>
          <w:rFonts w:cs="Arial"/>
          <w:sz w:val="22"/>
          <w:szCs w:val="22"/>
        </w:rPr>
        <w:tab/>
      </w:r>
      <w:r w:rsidRPr="00CE7A5C">
        <w:rPr>
          <w:rFonts w:cs="Arial"/>
          <w:sz w:val="22"/>
          <w:szCs w:val="22"/>
        </w:rPr>
        <w:tab/>
      </w:r>
      <w:r w:rsidRPr="00CE7A5C">
        <w:rPr>
          <w:rFonts w:cs="Arial"/>
          <w:sz w:val="22"/>
          <w:szCs w:val="22"/>
        </w:rPr>
        <w:tab/>
        <w:t>Intensive Care</w:t>
      </w:r>
    </w:p>
    <w:p w14:paraId="2A432953" w14:textId="01B43EF2" w:rsidR="00656E68" w:rsidRPr="00CE7A5C" w:rsidRDefault="00656E68" w:rsidP="00957901">
      <w:pPr>
        <w:pStyle w:val="Body"/>
        <w:widowControl w:val="0"/>
        <w:spacing w:line="360" w:lineRule="auto"/>
        <w:rPr>
          <w:rFonts w:cs="Arial"/>
          <w:sz w:val="22"/>
          <w:szCs w:val="22"/>
        </w:rPr>
      </w:pPr>
      <w:r w:rsidRPr="00CE7A5C">
        <w:rPr>
          <w:rFonts w:cs="Arial"/>
          <w:sz w:val="22"/>
          <w:szCs w:val="22"/>
        </w:rPr>
        <w:t>Adam Irwin</w:t>
      </w:r>
      <w:r w:rsidRPr="00CE7A5C">
        <w:rPr>
          <w:rFonts w:cs="Arial"/>
          <w:sz w:val="22"/>
          <w:szCs w:val="22"/>
        </w:rPr>
        <w:tab/>
      </w:r>
      <w:r w:rsidRPr="00CE7A5C">
        <w:rPr>
          <w:rFonts w:cs="Arial"/>
          <w:sz w:val="22"/>
          <w:szCs w:val="22"/>
        </w:rPr>
        <w:tab/>
      </w:r>
      <w:r w:rsidRPr="00CE7A5C">
        <w:rPr>
          <w:rFonts w:cs="Arial"/>
          <w:sz w:val="22"/>
          <w:szCs w:val="22"/>
        </w:rPr>
        <w:tab/>
      </w:r>
      <w:r w:rsidRPr="00CE7A5C">
        <w:rPr>
          <w:rFonts w:cs="Arial"/>
          <w:sz w:val="22"/>
          <w:szCs w:val="22"/>
        </w:rPr>
        <w:tab/>
        <w:t>Infectious Diseases</w:t>
      </w:r>
    </w:p>
    <w:p w14:paraId="6D951570" w14:textId="5C77892C" w:rsidR="00656E68" w:rsidRPr="00CE7A5C" w:rsidRDefault="00656E68" w:rsidP="00957901">
      <w:pPr>
        <w:pStyle w:val="Body"/>
        <w:widowControl w:val="0"/>
        <w:spacing w:line="360" w:lineRule="auto"/>
        <w:rPr>
          <w:rFonts w:cs="Arial"/>
          <w:sz w:val="22"/>
          <w:szCs w:val="22"/>
        </w:rPr>
      </w:pPr>
      <w:r w:rsidRPr="00CE7A5C">
        <w:rPr>
          <w:rFonts w:cs="Arial"/>
          <w:sz w:val="22"/>
          <w:szCs w:val="22"/>
        </w:rPr>
        <w:t>Lachlan Coin</w:t>
      </w:r>
      <w:r w:rsidRPr="00CE7A5C">
        <w:rPr>
          <w:rFonts w:cs="Arial"/>
          <w:sz w:val="22"/>
          <w:szCs w:val="22"/>
        </w:rPr>
        <w:tab/>
      </w:r>
      <w:r w:rsidRPr="00CE7A5C">
        <w:rPr>
          <w:rFonts w:cs="Arial"/>
          <w:sz w:val="22"/>
          <w:szCs w:val="22"/>
        </w:rPr>
        <w:tab/>
      </w:r>
      <w:r w:rsidRPr="00CE7A5C">
        <w:rPr>
          <w:rFonts w:cs="Arial"/>
          <w:sz w:val="22"/>
          <w:szCs w:val="22"/>
        </w:rPr>
        <w:tab/>
      </w:r>
      <w:r w:rsidRPr="00CE7A5C">
        <w:rPr>
          <w:rFonts w:cs="Arial"/>
          <w:sz w:val="22"/>
          <w:szCs w:val="22"/>
        </w:rPr>
        <w:tab/>
        <w:t>Bioinformatics</w:t>
      </w:r>
    </w:p>
    <w:p w14:paraId="0B64640D" w14:textId="7444B45F" w:rsidR="00656E68" w:rsidRPr="00CE7A5C" w:rsidRDefault="00656E68" w:rsidP="00957901">
      <w:pPr>
        <w:pStyle w:val="Body"/>
        <w:widowControl w:val="0"/>
        <w:spacing w:line="360" w:lineRule="auto"/>
        <w:rPr>
          <w:rFonts w:cs="Arial"/>
          <w:sz w:val="22"/>
          <w:szCs w:val="22"/>
        </w:rPr>
      </w:pPr>
      <w:r w:rsidRPr="00CE7A5C">
        <w:rPr>
          <w:rFonts w:cs="Arial"/>
          <w:sz w:val="22"/>
          <w:szCs w:val="22"/>
        </w:rPr>
        <w:t>Patrick Harris</w:t>
      </w:r>
      <w:r w:rsidRPr="00CE7A5C">
        <w:rPr>
          <w:rFonts w:cs="Arial"/>
          <w:sz w:val="22"/>
          <w:szCs w:val="22"/>
        </w:rPr>
        <w:tab/>
      </w:r>
      <w:r w:rsidRPr="00CE7A5C">
        <w:rPr>
          <w:rFonts w:cs="Arial"/>
          <w:sz w:val="22"/>
          <w:szCs w:val="22"/>
        </w:rPr>
        <w:tab/>
      </w:r>
      <w:r w:rsidRPr="00CE7A5C">
        <w:rPr>
          <w:rFonts w:cs="Arial"/>
          <w:sz w:val="22"/>
          <w:szCs w:val="22"/>
        </w:rPr>
        <w:tab/>
      </w:r>
      <w:r w:rsidRPr="00CE7A5C">
        <w:rPr>
          <w:rFonts w:cs="Arial"/>
          <w:sz w:val="22"/>
          <w:szCs w:val="22"/>
        </w:rPr>
        <w:tab/>
        <w:t>Microbiology</w:t>
      </w:r>
    </w:p>
    <w:p w14:paraId="10BC7887" w14:textId="77777777" w:rsidR="0004606D" w:rsidRPr="00CE7A5C" w:rsidRDefault="0004606D" w:rsidP="00957901">
      <w:pPr>
        <w:pStyle w:val="Body"/>
        <w:widowControl w:val="0"/>
        <w:spacing w:line="360" w:lineRule="auto"/>
        <w:rPr>
          <w:rFonts w:cs="Arial"/>
          <w:sz w:val="22"/>
          <w:szCs w:val="22"/>
        </w:rPr>
      </w:pPr>
      <w:r w:rsidRPr="00CE7A5C">
        <w:rPr>
          <w:rFonts w:cs="Arial"/>
          <w:sz w:val="22"/>
          <w:szCs w:val="22"/>
        </w:rPr>
        <w:t>Seweryn Bialasiewicz</w:t>
      </w:r>
      <w:r w:rsidRPr="00CE7A5C">
        <w:rPr>
          <w:rFonts w:cs="Arial"/>
          <w:sz w:val="22"/>
          <w:szCs w:val="22"/>
        </w:rPr>
        <w:tab/>
      </w:r>
      <w:r w:rsidRPr="00CE7A5C">
        <w:rPr>
          <w:rFonts w:cs="Arial"/>
          <w:sz w:val="22"/>
          <w:szCs w:val="22"/>
        </w:rPr>
        <w:tab/>
      </w:r>
      <w:r w:rsidRPr="00CE7A5C">
        <w:rPr>
          <w:rFonts w:cs="Arial"/>
          <w:sz w:val="22"/>
          <w:szCs w:val="22"/>
        </w:rPr>
        <w:tab/>
        <w:t>Microbiology</w:t>
      </w:r>
    </w:p>
    <w:p w14:paraId="34CC236F" w14:textId="77777777" w:rsidR="0004606D" w:rsidRPr="00CE7A5C" w:rsidRDefault="0004606D" w:rsidP="00957901">
      <w:pPr>
        <w:pStyle w:val="Body"/>
        <w:widowControl w:val="0"/>
        <w:spacing w:line="360" w:lineRule="auto"/>
        <w:rPr>
          <w:rFonts w:cs="Arial"/>
          <w:sz w:val="22"/>
          <w:szCs w:val="22"/>
        </w:rPr>
      </w:pPr>
      <w:r w:rsidRPr="00CE7A5C">
        <w:rPr>
          <w:rFonts w:cs="Arial"/>
          <w:sz w:val="22"/>
          <w:szCs w:val="22"/>
        </w:rPr>
        <w:t>Kiran Shekar</w:t>
      </w:r>
      <w:r w:rsidRPr="00CE7A5C">
        <w:rPr>
          <w:rFonts w:cs="Arial"/>
          <w:sz w:val="22"/>
          <w:szCs w:val="22"/>
        </w:rPr>
        <w:tab/>
      </w:r>
      <w:r w:rsidRPr="00CE7A5C">
        <w:rPr>
          <w:rFonts w:cs="Arial"/>
          <w:sz w:val="22"/>
          <w:szCs w:val="22"/>
        </w:rPr>
        <w:tab/>
      </w:r>
      <w:r w:rsidRPr="00CE7A5C">
        <w:rPr>
          <w:rFonts w:cs="Arial"/>
          <w:sz w:val="22"/>
          <w:szCs w:val="22"/>
        </w:rPr>
        <w:tab/>
      </w:r>
      <w:r w:rsidRPr="00CE7A5C">
        <w:rPr>
          <w:rFonts w:cs="Arial"/>
          <w:sz w:val="22"/>
          <w:szCs w:val="22"/>
        </w:rPr>
        <w:tab/>
        <w:t>Intensive Care</w:t>
      </w:r>
    </w:p>
    <w:p w14:paraId="16781C63" w14:textId="77777777" w:rsidR="0004606D" w:rsidRPr="00CE7A5C" w:rsidRDefault="0004606D" w:rsidP="00957901">
      <w:pPr>
        <w:pStyle w:val="Body"/>
        <w:widowControl w:val="0"/>
        <w:spacing w:line="360" w:lineRule="auto"/>
        <w:rPr>
          <w:rFonts w:cs="Arial"/>
          <w:sz w:val="22"/>
          <w:szCs w:val="22"/>
        </w:rPr>
      </w:pPr>
      <w:r w:rsidRPr="00CE7A5C">
        <w:rPr>
          <w:rFonts w:cs="Arial"/>
          <w:sz w:val="22"/>
          <w:szCs w:val="22"/>
        </w:rPr>
        <w:t>Peter Kruger</w:t>
      </w:r>
      <w:r w:rsidRPr="00CE7A5C">
        <w:rPr>
          <w:rFonts w:cs="Arial"/>
          <w:sz w:val="22"/>
          <w:szCs w:val="22"/>
        </w:rPr>
        <w:tab/>
      </w:r>
      <w:r w:rsidRPr="00CE7A5C">
        <w:rPr>
          <w:rFonts w:cs="Arial"/>
          <w:sz w:val="22"/>
          <w:szCs w:val="22"/>
        </w:rPr>
        <w:tab/>
      </w:r>
      <w:r w:rsidRPr="00CE7A5C">
        <w:rPr>
          <w:rFonts w:cs="Arial"/>
          <w:sz w:val="22"/>
          <w:szCs w:val="22"/>
        </w:rPr>
        <w:tab/>
      </w:r>
      <w:r w:rsidRPr="00CE7A5C">
        <w:rPr>
          <w:rFonts w:cs="Arial"/>
          <w:sz w:val="22"/>
          <w:szCs w:val="22"/>
        </w:rPr>
        <w:tab/>
        <w:t>Intensive Care</w:t>
      </w:r>
    </w:p>
    <w:p w14:paraId="4583A14A" w14:textId="20E5326F" w:rsidR="00656E68" w:rsidRPr="00CE7A5C" w:rsidRDefault="00656E68" w:rsidP="00957901">
      <w:pPr>
        <w:pStyle w:val="Body"/>
        <w:widowControl w:val="0"/>
        <w:spacing w:line="360" w:lineRule="auto"/>
        <w:rPr>
          <w:rFonts w:cs="Arial"/>
          <w:sz w:val="22"/>
          <w:szCs w:val="22"/>
        </w:rPr>
      </w:pPr>
      <w:r w:rsidRPr="00CE7A5C">
        <w:rPr>
          <w:rFonts w:cs="Arial"/>
          <w:sz w:val="22"/>
          <w:szCs w:val="22"/>
        </w:rPr>
        <w:t>Jeff</w:t>
      </w:r>
      <w:r w:rsidR="00E91FC0">
        <w:rPr>
          <w:rFonts w:cs="Arial"/>
          <w:sz w:val="22"/>
          <w:szCs w:val="22"/>
        </w:rPr>
        <w:t>rey</w:t>
      </w:r>
      <w:r w:rsidR="001613C0">
        <w:rPr>
          <w:rFonts w:cs="Arial"/>
          <w:sz w:val="22"/>
          <w:szCs w:val="22"/>
        </w:rPr>
        <w:t xml:space="preserve"> Lipman</w:t>
      </w:r>
      <w:r w:rsidR="001613C0">
        <w:rPr>
          <w:rFonts w:cs="Arial"/>
          <w:sz w:val="22"/>
          <w:szCs w:val="22"/>
        </w:rPr>
        <w:tab/>
      </w:r>
      <w:r w:rsidR="001613C0">
        <w:rPr>
          <w:rFonts w:cs="Arial"/>
          <w:sz w:val="22"/>
          <w:szCs w:val="22"/>
        </w:rPr>
        <w:tab/>
      </w:r>
      <w:r w:rsidR="001613C0">
        <w:rPr>
          <w:rFonts w:cs="Arial"/>
          <w:sz w:val="22"/>
          <w:szCs w:val="22"/>
        </w:rPr>
        <w:tab/>
        <w:t>Intensive Care</w:t>
      </w:r>
    </w:p>
    <w:p w14:paraId="09580CE9" w14:textId="0D041917" w:rsidR="0004606D" w:rsidRPr="00CE7A5C" w:rsidRDefault="0004606D" w:rsidP="00957901">
      <w:pPr>
        <w:pStyle w:val="Body"/>
        <w:widowControl w:val="0"/>
        <w:spacing w:line="360" w:lineRule="auto"/>
        <w:rPr>
          <w:rFonts w:cs="Arial"/>
          <w:sz w:val="22"/>
          <w:szCs w:val="22"/>
        </w:rPr>
      </w:pPr>
      <w:r w:rsidRPr="00CE7A5C">
        <w:rPr>
          <w:rFonts w:cs="Arial"/>
          <w:sz w:val="22"/>
          <w:szCs w:val="22"/>
        </w:rPr>
        <w:t>Jason Roberts</w:t>
      </w:r>
      <w:r w:rsidRPr="00CE7A5C">
        <w:rPr>
          <w:rFonts w:cs="Arial"/>
          <w:sz w:val="22"/>
          <w:szCs w:val="22"/>
        </w:rPr>
        <w:tab/>
      </w:r>
      <w:r w:rsidRPr="00CE7A5C">
        <w:rPr>
          <w:rFonts w:cs="Arial"/>
          <w:sz w:val="22"/>
          <w:szCs w:val="22"/>
        </w:rPr>
        <w:tab/>
      </w:r>
      <w:r w:rsidRPr="00CE7A5C">
        <w:rPr>
          <w:rFonts w:cs="Arial"/>
          <w:sz w:val="22"/>
          <w:szCs w:val="22"/>
        </w:rPr>
        <w:tab/>
      </w:r>
      <w:r w:rsidRPr="00CE7A5C">
        <w:rPr>
          <w:rFonts w:cs="Arial"/>
          <w:sz w:val="22"/>
          <w:szCs w:val="22"/>
        </w:rPr>
        <w:tab/>
        <w:t>Pharmac</w:t>
      </w:r>
      <w:r w:rsidR="00242769">
        <w:rPr>
          <w:rFonts w:cs="Arial"/>
          <w:sz w:val="22"/>
          <w:szCs w:val="22"/>
        </w:rPr>
        <w:t>y</w:t>
      </w:r>
    </w:p>
    <w:p w14:paraId="738791F5" w14:textId="71A6E5F4" w:rsidR="00656E68" w:rsidRPr="00CE7A5C" w:rsidRDefault="00656E68" w:rsidP="00957901">
      <w:pPr>
        <w:pStyle w:val="Body"/>
        <w:widowControl w:val="0"/>
        <w:spacing w:line="360" w:lineRule="auto"/>
        <w:rPr>
          <w:rFonts w:cs="Arial"/>
          <w:sz w:val="22"/>
          <w:szCs w:val="22"/>
        </w:rPr>
      </w:pPr>
    </w:p>
    <w:p w14:paraId="19137A85" w14:textId="36A49396" w:rsidR="00656E68" w:rsidRPr="00CE7A5C" w:rsidRDefault="00656E68" w:rsidP="00957901">
      <w:pPr>
        <w:pStyle w:val="Body"/>
        <w:widowControl w:val="0"/>
        <w:spacing w:line="360" w:lineRule="auto"/>
        <w:rPr>
          <w:rFonts w:cs="Arial"/>
          <w:sz w:val="22"/>
          <w:szCs w:val="22"/>
        </w:rPr>
      </w:pPr>
      <w:r w:rsidRPr="00CE7A5C">
        <w:rPr>
          <w:rFonts w:cs="Arial"/>
          <w:sz w:val="22"/>
          <w:szCs w:val="22"/>
        </w:rPr>
        <w:t xml:space="preserve">The </w:t>
      </w:r>
      <w:r w:rsidR="00242769">
        <w:rPr>
          <w:rFonts w:cs="Arial"/>
          <w:sz w:val="22"/>
          <w:szCs w:val="22"/>
        </w:rPr>
        <w:t>T</w:t>
      </w:r>
      <w:r w:rsidRPr="00CE7A5C">
        <w:rPr>
          <w:rFonts w:cs="Arial"/>
          <w:sz w:val="22"/>
          <w:szCs w:val="22"/>
        </w:rPr>
        <w:t xml:space="preserve">rial </w:t>
      </w:r>
      <w:r w:rsidR="00242769">
        <w:rPr>
          <w:rFonts w:cs="Arial"/>
          <w:sz w:val="22"/>
          <w:szCs w:val="22"/>
        </w:rPr>
        <w:t>S</w:t>
      </w:r>
      <w:r w:rsidRPr="00CE7A5C">
        <w:rPr>
          <w:rFonts w:cs="Arial"/>
          <w:sz w:val="22"/>
          <w:szCs w:val="22"/>
        </w:rPr>
        <w:t xml:space="preserve">teering </w:t>
      </w:r>
      <w:r w:rsidR="00242769">
        <w:rPr>
          <w:rFonts w:cs="Arial"/>
          <w:sz w:val="22"/>
          <w:szCs w:val="22"/>
        </w:rPr>
        <w:t>C</w:t>
      </w:r>
      <w:r w:rsidRPr="00CE7A5C">
        <w:rPr>
          <w:rFonts w:cs="Arial"/>
          <w:sz w:val="22"/>
          <w:szCs w:val="22"/>
        </w:rPr>
        <w:t xml:space="preserve">ommittee </w:t>
      </w:r>
      <w:r w:rsidR="00242769">
        <w:rPr>
          <w:rFonts w:cs="Arial"/>
          <w:sz w:val="22"/>
          <w:szCs w:val="22"/>
        </w:rPr>
        <w:t xml:space="preserve">(TSC) </w:t>
      </w:r>
      <w:r w:rsidRPr="00CE7A5C">
        <w:rPr>
          <w:rFonts w:cs="Arial"/>
          <w:sz w:val="22"/>
          <w:szCs w:val="22"/>
        </w:rPr>
        <w:t xml:space="preserve">is comprised of experienced chief investigators from the participating ICUs, </w:t>
      </w:r>
      <w:r w:rsidR="0004606D" w:rsidRPr="00CE7A5C">
        <w:rPr>
          <w:rFonts w:cs="Arial"/>
          <w:sz w:val="22"/>
          <w:szCs w:val="22"/>
        </w:rPr>
        <w:t>along with expertise in Infectious Diseases, Microbiology, and Pharmac</w:t>
      </w:r>
      <w:r w:rsidR="00695BC7">
        <w:rPr>
          <w:rFonts w:cs="Arial"/>
          <w:sz w:val="22"/>
          <w:szCs w:val="22"/>
        </w:rPr>
        <w:t>y</w:t>
      </w:r>
      <w:r w:rsidR="0004606D" w:rsidRPr="00CE7A5C">
        <w:rPr>
          <w:rFonts w:cs="Arial"/>
          <w:sz w:val="22"/>
          <w:szCs w:val="22"/>
        </w:rPr>
        <w:t xml:space="preserve">. The </w:t>
      </w:r>
      <w:r w:rsidR="00242769">
        <w:rPr>
          <w:rFonts w:cs="Arial"/>
          <w:sz w:val="22"/>
          <w:szCs w:val="22"/>
        </w:rPr>
        <w:t>TSC</w:t>
      </w:r>
      <w:r w:rsidR="0004606D" w:rsidRPr="00CE7A5C">
        <w:rPr>
          <w:rFonts w:cs="Arial"/>
          <w:sz w:val="22"/>
          <w:szCs w:val="22"/>
        </w:rPr>
        <w:t xml:space="preserve"> developed the protocol and meet monthly during the course of the trial. The </w:t>
      </w:r>
      <w:r w:rsidR="00242769">
        <w:rPr>
          <w:rFonts w:cs="Arial"/>
          <w:sz w:val="22"/>
          <w:szCs w:val="22"/>
        </w:rPr>
        <w:t>TSC</w:t>
      </w:r>
      <w:r w:rsidR="0004606D" w:rsidRPr="00CE7A5C">
        <w:rPr>
          <w:rFonts w:cs="Arial"/>
          <w:sz w:val="22"/>
          <w:szCs w:val="22"/>
        </w:rPr>
        <w:t xml:space="preserve"> will evaluate any reports of adverse events. </w:t>
      </w:r>
    </w:p>
    <w:p w14:paraId="162E79A0" w14:textId="77777777" w:rsidR="00656E68" w:rsidRPr="00CE7A5C" w:rsidRDefault="00656E68" w:rsidP="00957901">
      <w:pPr>
        <w:pStyle w:val="Body"/>
        <w:widowControl w:val="0"/>
        <w:spacing w:line="360" w:lineRule="auto"/>
        <w:rPr>
          <w:rFonts w:cs="Arial"/>
          <w:sz w:val="22"/>
          <w:szCs w:val="22"/>
        </w:rPr>
      </w:pPr>
    </w:p>
    <w:p w14:paraId="4892AAE2" w14:textId="6D1E0B66"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Composition of the data monitoring committee, its role and reporting structure</w:t>
      </w:r>
      <w:r w:rsidR="00226190" w:rsidRPr="00CE7A5C">
        <w:rPr>
          <w:rStyle w:val="None"/>
          <w:rFonts w:cs="Arial"/>
          <w:b/>
          <w:bCs/>
          <w:sz w:val="22"/>
          <w:szCs w:val="22"/>
          <w:lang w:val="en-US"/>
        </w:rPr>
        <w:t xml:space="preserve"> {21a}</w:t>
      </w:r>
    </w:p>
    <w:p w14:paraId="4A46405B" w14:textId="576E1CD4" w:rsidR="002D54DF" w:rsidRPr="00CE7A5C" w:rsidRDefault="002D54DF" w:rsidP="002D54DF">
      <w:pPr>
        <w:pStyle w:val="FreeForm"/>
        <w:spacing w:before="120" w:after="120" w:line="360" w:lineRule="auto"/>
        <w:jc w:val="both"/>
        <w:rPr>
          <w:rFonts w:ascii="Arial" w:hAnsi="Arial" w:cs="Arial"/>
          <w:color w:val="auto"/>
          <w:u w:color="004C7F"/>
        </w:rPr>
      </w:pPr>
      <w:r w:rsidRPr="00CE7A5C">
        <w:rPr>
          <w:rFonts w:ascii="Arial" w:hAnsi="Arial" w:cs="Arial"/>
          <w:color w:val="auto"/>
          <w:u w:color="004C7F"/>
        </w:rPr>
        <w:t xml:space="preserve">No significant adverse events </w:t>
      </w:r>
      <w:r>
        <w:rPr>
          <w:rFonts w:ascii="Arial" w:hAnsi="Arial" w:cs="Arial"/>
          <w:color w:val="auto"/>
          <w:u w:color="004C7F"/>
        </w:rPr>
        <w:t>are</w:t>
      </w:r>
      <w:r w:rsidRPr="00CE7A5C">
        <w:rPr>
          <w:rFonts w:ascii="Arial" w:hAnsi="Arial" w:cs="Arial"/>
          <w:color w:val="auto"/>
          <w:u w:color="004C7F"/>
        </w:rPr>
        <w:t xml:space="preserve"> anticipated in this study</w:t>
      </w:r>
      <w:r w:rsidR="001613C0" w:rsidRPr="001613C0">
        <w:rPr>
          <w:rFonts w:ascii="Arial" w:hAnsi="Arial" w:cs="Arial"/>
          <w:color w:val="auto"/>
          <w:u w:color="004C7F"/>
        </w:rPr>
        <w:t xml:space="preserve"> </w:t>
      </w:r>
      <w:r w:rsidR="001613C0">
        <w:rPr>
          <w:rFonts w:ascii="Arial" w:hAnsi="Arial" w:cs="Arial"/>
          <w:color w:val="auto"/>
          <w:u w:color="004C7F"/>
        </w:rPr>
        <w:t xml:space="preserve">and </w:t>
      </w:r>
      <w:r w:rsidR="001613C0" w:rsidRPr="00CE7A5C">
        <w:rPr>
          <w:rFonts w:ascii="Arial" w:hAnsi="Arial" w:cs="Arial"/>
          <w:color w:val="auto"/>
          <w:u w:color="004C7F"/>
        </w:rPr>
        <w:t>a</w:t>
      </w:r>
      <w:r w:rsidR="001613C0">
        <w:rPr>
          <w:rFonts w:ascii="Arial" w:hAnsi="Arial" w:cs="Arial"/>
          <w:color w:val="auto"/>
          <w:u w:color="004C7F"/>
        </w:rPr>
        <w:t xml:space="preserve"> </w:t>
      </w:r>
      <w:r w:rsidR="001613C0" w:rsidRPr="00A7049E">
        <w:rPr>
          <w:rFonts w:ascii="Arial" w:hAnsi="Arial" w:cs="Arial"/>
          <w:color w:val="auto"/>
          <w:u w:color="004C7F"/>
        </w:rPr>
        <w:t>Data</w:t>
      </w:r>
      <w:r w:rsidR="001613C0">
        <w:rPr>
          <w:rFonts w:ascii="Arial" w:hAnsi="Arial" w:cs="Arial"/>
          <w:color w:val="auto"/>
          <w:u w:color="004C7F"/>
        </w:rPr>
        <w:t xml:space="preserve"> Safety Monitoring Board (D</w:t>
      </w:r>
      <w:r w:rsidR="001613C0" w:rsidRPr="00CE7A5C">
        <w:rPr>
          <w:rFonts w:ascii="Arial" w:hAnsi="Arial" w:cs="Arial"/>
          <w:color w:val="auto"/>
          <w:u w:color="004C7F"/>
        </w:rPr>
        <w:t>SMB) was not convened.</w:t>
      </w:r>
    </w:p>
    <w:p w14:paraId="5C836E24" w14:textId="77777777" w:rsidR="00656E68" w:rsidRPr="00CE7A5C" w:rsidRDefault="00656E68" w:rsidP="00957901">
      <w:pPr>
        <w:pStyle w:val="Body"/>
        <w:widowControl w:val="0"/>
        <w:spacing w:line="360" w:lineRule="auto"/>
        <w:rPr>
          <w:rFonts w:cs="Arial"/>
          <w:sz w:val="22"/>
          <w:szCs w:val="22"/>
        </w:rPr>
      </w:pPr>
    </w:p>
    <w:p w14:paraId="40F844E7" w14:textId="32C70D51"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Adverse event reporting and harms</w:t>
      </w:r>
      <w:r w:rsidR="00226190" w:rsidRPr="00CE7A5C">
        <w:rPr>
          <w:rStyle w:val="None"/>
          <w:rFonts w:cs="Arial"/>
          <w:b/>
          <w:bCs/>
          <w:sz w:val="22"/>
          <w:szCs w:val="22"/>
          <w:lang w:val="en-US"/>
        </w:rPr>
        <w:t xml:space="preserve"> {22}</w:t>
      </w:r>
    </w:p>
    <w:p w14:paraId="2C20D2A0" w14:textId="27F40566" w:rsidR="0004606D" w:rsidRPr="00CE7A5C" w:rsidRDefault="00073A12" w:rsidP="00957901">
      <w:pPr>
        <w:spacing w:line="360" w:lineRule="auto"/>
        <w:rPr>
          <w:rFonts w:ascii="Arial" w:hAnsi="Arial" w:cs="Arial"/>
          <w:sz w:val="22"/>
          <w:szCs w:val="22"/>
          <w:lang w:val="en-AU"/>
        </w:rPr>
      </w:pPr>
      <w:r w:rsidRPr="00CE7A5C">
        <w:rPr>
          <w:rFonts w:ascii="Arial" w:hAnsi="Arial" w:cs="Arial"/>
          <w:sz w:val="22"/>
          <w:szCs w:val="22"/>
        </w:rPr>
        <w:t>Adverse events (AEs) are defined as any untoward medical occurrence in a participant administered the study intervention which does not necessarily have to have a causal relationship with the study treatment.</w:t>
      </w:r>
      <w:r w:rsidRPr="00CE7A5C">
        <w:rPr>
          <w:rFonts w:ascii="Arial" w:hAnsi="Arial" w:cs="Arial"/>
          <w:sz w:val="22"/>
          <w:szCs w:val="22"/>
          <w:lang w:val="en-AU"/>
        </w:rPr>
        <w:t xml:space="preserve"> </w:t>
      </w:r>
      <w:r w:rsidR="0004606D" w:rsidRPr="00CE7A5C">
        <w:rPr>
          <w:rFonts w:ascii="Arial" w:hAnsi="Arial" w:cs="Arial"/>
          <w:sz w:val="22"/>
          <w:szCs w:val="22"/>
          <w:lang w:val="en-AU"/>
        </w:rPr>
        <w:t xml:space="preserve">Few or no adverse events are anticipated, and a </w:t>
      </w:r>
      <w:r w:rsidR="001613C0">
        <w:rPr>
          <w:rFonts w:ascii="Arial" w:hAnsi="Arial" w:cs="Arial"/>
          <w:sz w:val="22"/>
          <w:szCs w:val="22"/>
          <w:lang w:val="en-AU"/>
        </w:rPr>
        <w:t>DSMB</w:t>
      </w:r>
      <w:r w:rsidR="0004606D" w:rsidRPr="00CE7A5C">
        <w:rPr>
          <w:rFonts w:ascii="Arial" w:hAnsi="Arial" w:cs="Arial"/>
          <w:sz w:val="22"/>
          <w:szCs w:val="22"/>
          <w:lang w:val="en-AU"/>
        </w:rPr>
        <w:t xml:space="preserve"> is not required.</w:t>
      </w:r>
    </w:p>
    <w:p w14:paraId="6BAC1521" w14:textId="77777777" w:rsidR="0004606D" w:rsidRPr="00CE7A5C" w:rsidRDefault="0004606D" w:rsidP="00957901">
      <w:pPr>
        <w:spacing w:line="360" w:lineRule="auto"/>
        <w:rPr>
          <w:rFonts w:ascii="Arial" w:hAnsi="Arial" w:cs="Arial"/>
          <w:sz w:val="22"/>
          <w:szCs w:val="22"/>
          <w:lang w:val="en-AU"/>
        </w:rPr>
      </w:pPr>
    </w:p>
    <w:p w14:paraId="3BCC7768" w14:textId="62657AAE" w:rsidR="00073A12" w:rsidRPr="00CE7A5C" w:rsidDel="002233D3" w:rsidRDefault="00073A12" w:rsidP="00957901">
      <w:pPr>
        <w:spacing w:line="360" w:lineRule="auto"/>
        <w:rPr>
          <w:rFonts w:ascii="Arial" w:hAnsi="Arial" w:cs="Arial"/>
          <w:sz w:val="22"/>
          <w:szCs w:val="22"/>
          <w:lang w:val="en-AU"/>
        </w:rPr>
      </w:pPr>
      <w:r w:rsidRPr="00CE7A5C" w:rsidDel="002233D3">
        <w:rPr>
          <w:rFonts w:ascii="Arial" w:hAnsi="Arial" w:cs="Arial"/>
          <w:sz w:val="22"/>
          <w:szCs w:val="22"/>
          <w:lang w:val="en-AU"/>
        </w:rPr>
        <w:t xml:space="preserve">It is recognised that the patient population in the ICU will experience a number of aberrations in laboratory values, signs and symptoms due to the severity of the underlying disease and the impact of standard treatments in the ICU. These will not necessarily constitute </w:t>
      </w:r>
      <w:r w:rsidR="00DD0907">
        <w:rPr>
          <w:rFonts w:ascii="Arial" w:hAnsi="Arial" w:cs="Arial"/>
          <w:sz w:val="22"/>
          <w:szCs w:val="22"/>
          <w:lang w:val="en-AU"/>
        </w:rPr>
        <w:t>AEs</w:t>
      </w:r>
      <w:r w:rsidRPr="00CE7A5C" w:rsidDel="002233D3">
        <w:rPr>
          <w:rFonts w:ascii="Arial" w:hAnsi="Arial" w:cs="Arial"/>
          <w:sz w:val="22"/>
          <w:szCs w:val="22"/>
          <w:lang w:val="en-AU"/>
        </w:rPr>
        <w:t xml:space="preserve"> unless they are considered to be related to study treatment/procedures (</w:t>
      </w:r>
      <w:proofErr w:type="spellStart"/>
      <w:r w:rsidRPr="00CE7A5C">
        <w:rPr>
          <w:rFonts w:ascii="Arial" w:hAnsi="Arial" w:cs="Arial"/>
          <w:sz w:val="22"/>
          <w:szCs w:val="22"/>
          <w:lang w:val="en-AU"/>
        </w:rPr>
        <w:t>ie</w:t>
      </w:r>
      <w:proofErr w:type="spellEnd"/>
      <w:r w:rsidRPr="00CE7A5C">
        <w:rPr>
          <w:rFonts w:ascii="Arial" w:hAnsi="Arial" w:cs="Arial"/>
          <w:sz w:val="22"/>
          <w:szCs w:val="22"/>
          <w:lang w:val="en-AU"/>
        </w:rPr>
        <w:t>. blood sampling and software-guided dosing</w:t>
      </w:r>
      <w:r w:rsidRPr="00CE7A5C" w:rsidDel="002233D3">
        <w:rPr>
          <w:rFonts w:ascii="Arial" w:hAnsi="Arial" w:cs="Arial"/>
          <w:sz w:val="22"/>
          <w:szCs w:val="22"/>
          <w:lang w:val="en-AU"/>
        </w:rPr>
        <w:t xml:space="preserve">) or in the Principal Investigator’s clinical judgement are not recognised events consistent with the patient’s underlying disease and expected clinical course. Therefore, reporting of </w:t>
      </w:r>
      <w:r w:rsidR="00DD0907">
        <w:rPr>
          <w:rFonts w:ascii="Arial" w:hAnsi="Arial" w:cs="Arial"/>
          <w:sz w:val="22"/>
          <w:szCs w:val="22"/>
          <w:lang w:val="en-AU"/>
        </w:rPr>
        <w:t>AE</w:t>
      </w:r>
      <w:r w:rsidRPr="00CE7A5C" w:rsidDel="002233D3">
        <w:rPr>
          <w:rFonts w:ascii="Arial" w:hAnsi="Arial" w:cs="Arial"/>
          <w:sz w:val="22"/>
          <w:szCs w:val="22"/>
          <w:lang w:val="en-AU"/>
        </w:rPr>
        <w:t xml:space="preserve">s in this study will be restricted to events that occur </w:t>
      </w:r>
      <w:r w:rsidRPr="00CE7A5C">
        <w:rPr>
          <w:rFonts w:ascii="Arial" w:hAnsi="Arial" w:cs="Arial"/>
          <w:sz w:val="22"/>
          <w:szCs w:val="22"/>
          <w:lang w:val="en-AU"/>
        </w:rPr>
        <w:t>during the study period (i.e., during and up to 48 hours after ceasing software-guided dosing</w:t>
      </w:r>
      <w:r w:rsidRPr="00CE7A5C" w:rsidDel="002233D3">
        <w:rPr>
          <w:rFonts w:ascii="Arial" w:hAnsi="Arial" w:cs="Arial"/>
          <w:sz w:val="22"/>
          <w:szCs w:val="22"/>
          <w:lang w:val="en-AU"/>
        </w:rPr>
        <w:t xml:space="preserve">), </w:t>
      </w:r>
      <w:r w:rsidR="00DD0907">
        <w:rPr>
          <w:rFonts w:ascii="Arial" w:hAnsi="Arial" w:cs="Arial"/>
          <w:sz w:val="22"/>
          <w:szCs w:val="22"/>
          <w:lang w:val="en-AU"/>
        </w:rPr>
        <w:t xml:space="preserve">and </w:t>
      </w:r>
      <w:r w:rsidRPr="00CE7A5C" w:rsidDel="002233D3">
        <w:rPr>
          <w:rFonts w:ascii="Arial" w:hAnsi="Arial" w:cs="Arial"/>
          <w:sz w:val="22"/>
          <w:szCs w:val="22"/>
          <w:lang w:val="en-AU"/>
        </w:rPr>
        <w:t>which are considered to be related to study-specific</w:t>
      </w:r>
      <w:r w:rsidRPr="00CE7A5C">
        <w:rPr>
          <w:rFonts w:ascii="Arial" w:hAnsi="Arial" w:cs="Arial"/>
          <w:sz w:val="22"/>
          <w:szCs w:val="22"/>
          <w:lang w:val="en-AU"/>
        </w:rPr>
        <w:t xml:space="preserve"> </w:t>
      </w:r>
      <w:r w:rsidRPr="00CE7A5C" w:rsidDel="002233D3">
        <w:rPr>
          <w:rFonts w:ascii="Arial" w:hAnsi="Arial" w:cs="Arial"/>
          <w:sz w:val="22"/>
          <w:szCs w:val="22"/>
          <w:lang w:val="en-AU"/>
        </w:rPr>
        <w:t>procedures.</w:t>
      </w:r>
    </w:p>
    <w:p w14:paraId="08B1FE3E" w14:textId="77777777" w:rsidR="00073A12" w:rsidRPr="00CE7A5C" w:rsidRDefault="00073A12" w:rsidP="00957901">
      <w:pPr>
        <w:spacing w:line="360" w:lineRule="auto"/>
        <w:rPr>
          <w:rFonts w:ascii="Arial" w:hAnsi="Arial" w:cs="Arial"/>
          <w:b/>
          <w:i/>
          <w:sz w:val="22"/>
          <w:szCs w:val="22"/>
        </w:rPr>
      </w:pPr>
      <w:bookmarkStart w:id="3" w:name="_Toc12014600"/>
    </w:p>
    <w:p w14:paraId="2E0D9B56" w14:textId="6A706A29" w:rsidR="00073A12" w:rsidRPr="00850DFC" w:rsidRDefault="00850DFC" w:rsidP="00957901">
      <w:pPr>
        <w:spacing w:line="360" w:lineRule="auto"/>
        <w:rPr>
          <w:rFonts w:ascii="Arial" w:hAnsi="Arial" w:cs="Arial"/>
          <w:b/>
          <w:iCs/>
          <w:sz w:val="22"/>
          <w:szCs w:val="22"/>
        </w:rPr>
      </w:pPr>
      <w:r w:rsidRPr="00850DFC">
        <w:rPr>
          <w:rFonts w:ascii="Arial" w:hAnsi="Arial" w:cs="Arial"/>
          <w:b/>
          <w:iCs/>
          <w:sz w:val="22"/>
          <w:szCs w:val="22"/>
        </w:rPr>
        <w:t>Serious adverse events (</w:t>
      </w:r>
      <w:r>
        <w:rPr>
          <w:rFonts w:ascii="Arial" w:hAnsi="Arial" w:cs="Arial"/>
          <w:b/>
          <w:iCs/>
          <w:sz w:val="22"/>
          <w:szCs w:val="22"/>
        </w:rPr>
        <w:t>SAE</w:t>
      </w:r>
      <w:r w:rsidRPr="00850DFC">
        <w:rPr>
          <w:rFonts w:ascii="Arial" w:hAnsi="Arial" w:cs="Arial"/>
          <w:b/>
          <w:iCs/>
          <w:sz w:val="22"/>
          <w:szCs w:val="22"/>
        </w:rPr>
        <w:t>)</w:t>
      </w:r>
      <w:bookmarkEnd w:id="3"/>
      <w:r w:rsidRPr="00850DFC">
        <w:rPr>
          <w:rFonts w:ascii="Arial" w:hAnsi="Arial" w:cs="Arial"/>
          <w:b/>
          <w:iCs/>
          <w:sz w:val="22"/>
          <w:szCs w:val="22"/>
        </w:rPr>
        <w:t xml:space="preserve"> </w:t>
      </w:r>
    </w:p>
    <w:p w14:paraId="5B0D01D1" w14:textId="77777777" w:rsidR="00073A12" w:rsidRPr="00CE7A5C" w:rsidRDefault="00073A12" w:rsidP="00957901">
      <w:pPr>
        <w:spacing w:line="360" w:lineRule="auto"/>
        <w:rPr>
          <w:rFonts w:ascii="Arial" w:hAnsi="Arial" w:cs="Arial"/>
          <w:sz w:val="22"/>
          <w:szCs w:val="22"/>
        </w:rPr>
      </w:pPr>
      <w:r w:rsidRPr="00CE7A5C">
        <w:rPr>
          <w:rFonts w:ascii="Arial" w:hAnsi="Arial" w:cs="Arial"/>
          <w:sz w:val="22"/>
          <w:szCs w:val="22"/>
        </w:rPr>
        <w:lastRenderedPageBreak/>
        <w:t>Serious adverse events (SAEs) are defined as any untoward medical occurrence that meets one or more of the following criteria:</w:t>
      </w:r>
    </w:p>
    <w:p w14:paraId="1D0B8505" w14:textId="3AD5FC0C" w:rsidR="00073A12" w:rsidRPr="00CE7A5C" w:rsidRDefault="00DD0907" w:rsidP="00957901">
      <w:pPr>
        <w:pStyle w:val="ListParagraph"/>
        <w:numPr>
          <w:ilvl w:val="0"/>
          <w:numId w:val="13"/>
        </w:numPr>
        <w:spacing w:line="360" w:lineRule="auto"/>
        <w:rPr>
          <w:rFonts w:ascii="Arial" w:hAnsi="Arial" w:cs="Arial"/>
          <w:lang w:val="en-US"/>
        </w:rPr>
      </w:pPr>
      <w:r>
        <w:rPr>
          <w:rFonts w:ascii="Arial" w:hAnsi="Arial" w:cs="Arial"/>
          <w:lang w:val="en-US"/>
        </w:rPr>
        <w:t xml:space="preserve">Is life-threatening, or results in </w:t>
      </w:r>
      <w:r w:rsidRPr="00CE7A5C">
        <w:rPr>
          <w:rFonts w:ascii="Arial" w:hAnsi="Arial" w:cs="Arial"/>
          <w:lang w:val="en-US"/>
        </w:rPr>
        <w:t>persistent or significant disability</w:t>
      </w:r>
      <w:r>
        <w:rPr>
          <w:rFonts w:ascii="Arial" w:hAnsi="Arial" w:cs="Arial"/>
          <w:lang w:val="en-US"/>
        </w:rPr>
        <w:t xml:space="preserve"> or</w:t>
      </w:r>
      <w:r w:rsidR="00073A12" w:rsidRPr="00CE7A5C">
        <w:rPr>
          <w:rFonts w:ascii="Arial" w:hAnsi="Arial" w:cs="Arial"/>
          <w:lang w:val="en-US"/>
        </w:rPr>
        <w:t xml:space="preserve"> death;</w:t>
      </w:r>
    </w:p>
    <w:p w14:paraId="7C56F43A" w14:textId="01DB54D8" w:rsidR="00073A12" w:rsidRPr="00CE7A5C" w:rsidRDefault="00073A12" w:rsidP="00957901">
      <w:pPr>
        <w:pStyle w:val="ListParagraph"/>
        <w:numPr>
          <w:ilvl w:val="0"/>
          <w:numId w:val="12"/>
        </w:numPr>
        <w:spacing w:line="360" w:lineRule="auto"/>
        <w:rPr>
          <w:rFonts w:ascii="Arial" w:hAnsi="Arial" w:cs="Arial"/>
          <w:lang w:val="en-US"/>
        </w:rPr>
      </w:pPr>
      <w:r w:rsidRPr="00CE7A5C">
        <w:rPr>
          <w:rFonts w:ascii="Arial" w:hAnsi="Arial" w:cs="Arial"/>
          <w:lang w:val="en-US"/>
        </w:rPr>
        <w:t xml:space="preserve">Requires prolongation of existing </w:t>
      </w:r>
      <w:proofErr w:type="spellStart"/>
      <w:r w:rsidRPr="00CE7A5C">
        <w:rPr>
          <w:rFonts w:ascii="Arial" w:hAnsi="Arial" w:cs="Arial"/>
          <w:lang w:val="en-US"/>
        </w:rPr>
        <w:t>hospitalisation</w:t>
      </w:r>
      <w:proofErr w:type="spellEnd"/>
      <w:r w:rsidRPr="00CE7A5C">
        <w:rPr>
          <w:rFonts w:ascii="Arial" w:hAnsi="Arial" w:cs="Arial"/>
          <w:lang w:val="en-US"/>
        </w:rPr>
        <w:t xml:space="preserve">; </w:t>
      </w:r>
    </w:p>
    <w:p w14:paraId="4EBE30E0" w14:textId="1EFF292E" w:rsidR="00073A12" w:rsidRPr="00CE7A5C" w:rsidRDefault="00DD0907" w:rsidP="00957901">
      <w:pPr>
        <w:pStyle w:val="ListParagraph"/>
        <w:numPr>
          <w:ilvl w:val="0"/>
          <w:numId w:val="12"/>
        </w:numPr>
        <w:spacing w:line="360" w:lineRule="auto"/>
        <w:rPr>
          <w:rFonts w:ascii="Arial" w:hAnsi="Arial" w:cs="Arial"/>
          <w:lang w:val="en-US"/>
        </w:rPr>
      </w:pPr>
      <w:r>
        <w:rPr>
          <w:rFonts w:ascii="Arial" w:hAnsi="Arial" w:cs="Arial"/>
          <w:lang w:val="en-US"/>
        </w:rPr>
        <w:t>Requires</w:t>
      </w:r>
      <w:r w:rsidR="00073A12" w:rsidRPr="00CE7A5C">
        <w:rPr>
          <w:rFonts w:ascii="Arial" w:hAnsi="Arial" w:cs="Arial"/>
          <w:lang w:val="en-US"/>
        </w:rPr>
        <w:t xml:space="preserve"> intervention to prevent one of the previously listed outcomes. </w:t>
      </w:r>
    </w:p>
    <w:p w14:paraId="7165EF71" w14:textId="77777777" w:rsidR="00073A12" w:rsidRPr="00CE7A5C" w:rsidRDefault="00073A12" w:rsidP="00957901">
      <w:pPr>
        <w:spacing w:line="360" w:lineRule="auto"/>
        <w:rPr>
          <w:rFonts w:ascii="Arial" w:hAnsi="Arial" w:cs="Arial"/>
          <w:sz w:val="22"/>
          <w:szCs w:val="22"/>
        </w:rPr>
      </w:pPr>
      <w:r w:rsidRPr="00CE7A5C">
        <w:rPr>
          <w:rFonts w:ascii="Arial" w:hAnsi="Arial" w:cs="Arial"/>
          <w:sz w:val="22"/>
          <w:szCs w:val="22"/>
        </w:rPr>
        <w:t xml:space="preserve">The classification of SAE is not related to the assessment of the severity of the adverse event. An event that is mild in severity may be classified as a serious adverse event based on the above criteria. Given that critically ill patients are likely to experience any of the above listed criteria in the course of their ICU admission, only serious adverse events that are reasonably suspected by the site principal investigator to be related to study-specific procedures and blood sample collection will be reported. Reporting of SAE in this study will be restricted to events that occur during the study period (i.e., </w:t>
      </w:r>
      <w:r w:rsidRPr="00CE7A5C">
        <w:rPr>
          <w:rFonts w:ascii="Arial" w:hAnsi="Arial" w:cs="Arial"/>
          <w:sz w:val="22"/>
          <w:szCs w:val="22"/>
          <w:lang w:val="en-AU"/>
        </w:rPr>
        <w:t>during and up to 48 hours after ceasing software-guided dosing</w:t>
      </w:r>
      <w:r w:rsidRPr="00CE7A5C">
        <w:rPr>
          <w:rFonts w:ascii="Arial" w:hAnsi="Arial" w:cs="Arial"/>
          <w:sz w:val="22"/>
          <w:szCs w:val="22"/>
        </w:rPr>
        <w:t>).</w:t>
      </w:r>
    </w:p>
    <w:p w14:paraId="1A81B97A" w14:textId="77777777" w:rsidR="0004606D" w:rsidRPr="00CE7A5C" w:rsidRDefault="0004606D" w:rsidP="00957901">
      <w:pPr>
        <w:spacing w:line="360" w:lineRule="auto"/>
        <w:rPr>
          <w:rFonts w:ascii="Arial" w:hAnsi="Arial" w:cs="Arial"/>
          <w:sz w:val="22"/>
          <w:szCs w:val="22"/>
        </w:rPr>
      </w:pPr>
    </w:p>
    <w:p w14:paraId="6E9FBBBB" w14:textId="0DF28F85" w:rsidR="00073A12" w:rsidRPr="00CE7A5C" w:rsidRDefault="00073A12" w:rsidP="00957901">
      <w:pPr>
        <w:spacing w:line="360" w:lineRule="auto"/>
        <w:rPr>
          <w:rFonts w:ascii="Arial" w:hAnsi="Arial" w:cs="Arial"/>
          <w:sz w:val="22"/>
          <w:szCs w:val="22"/>
        </w:rPr>
      </w:pPr>
      <w:r w:rsidRPr="00CE7A5C">
        <w:rPr>
          <w:rFonts w:ascii="Arial" w:hAnsi="Arial" w:cs="Arial"/>
          <w:sz w:val="22"/>
          <w:szCs w:val="22"/>
        </w:rPr>
        <w:t xml:space="preserve">SAEs will be reported to </w:t>
      </w:r>
      <w:r w:rsidR="002D54DF">
        <w:rPr>
          <w:rFonts w:ascii="Arial" w:hAnsi="Arial" w:cs="Arial"/>
          <w:sz w:val="22"/>
          <w:szCs w:val="22"/>
        </w:rPr>
        <w:t xml:space="preserve">the </w:t>
      </w:r>
      <w:r w:rsidR="0004606D" w:rsidRPr="00CE7A5C">
        <w:rPr>
          <w:rFonts w:ascii="Arial" w:hAnsi="Arial" w:cs="Arial"/>
          <w:sz w:val="22"/>
          <w:szCs w:val="22"/>
        </w:rPr>
        <w:t>steering committee</w:t>
      </w:r>
      <w:r w:rsidRPr="00CE7A5C">
        <w:rPr>
          <w:rFonts w:ascii="Arial" w:hAnsi="Arial" w:cs="Arial"/>
          <w:sz w:val="22"/>
          <w:szCs w:val="22"/>
        </w:rPr>
        <w:t xml:space="preserve"> within 24 hours of study staff becoming aware of the event. The SAE reports will t</w:t>
      </w:r>
      <w:r w:rsidR="0004606D" w:rsidRPr="00CE7A5C">
        <w:rPr>
          <w:rFonts w:ascii="Arial" w:hAnsi="Arial" w:cs="Arial"/>
          <w:sz w:val="22"/>
          <w:szCs w:val="22"/>
        </w:rPr>
        <w:t>hen be forwarded to the HREC</w:t>
      </w:r>
      <w:r w:rsidRPr="00CE7A5C">
        <w:rPr>
          <w:rFonts w:ascii="Arial" w:hAnsi="Arial" w:cs="Arial"/>
          <w:sz w:val="22"/>
          <w:szCs w:val="22"/>
        </w:rPr>
        <w:t xml:space="preserve"> in accordance with local requirements.</w:t>
      </w:r>
    </w:p>
    <w:p w14:paraId="5ADBD3DF" w14:textId="77777777" w:rsidR="00073A12" w:rsidRPr="00CE7A5C" w:rsidRDefault="00073A12" w:rsidP="00957901">
      <w:pPr>
        <w:pStyle w:val="Body"/>
        <w:widowControl w:val="0"/>
        <w:spacing w:line="360" w:lineRule="auto"/>
        <w:rPr>
          <w:rFonts w:cs="Arial"/>
          <w:sz w:val="22"/>
          <w:szCs w:val="22"/>
        </w:rPr>
      </w:pPr>
    </w:p>
    <w:p w14:paraId="63D13CE7" w14:textId="2CE3542A"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Frequency and plans for auditing trial conduct</w:t>
      </w:r>
      <w:r w:rsidR="00226190" w:rsidRPr="00CE7A5C">
        <w:rPr>
          <w:rStyle w:val="None"/>
          <w:rFonts w:cs="Arial"/>
          <w:b/>
          <w:bCs/>
          <w:sz w:val="22"/>
          <w:szCs w:val="22"/>
          <w:lang w:val="en-US"/>
        </w:rPr>
        <w:t xml:space="preserve"> {23}</w:t>
      </w:r>
    </w:p>
    <w:p w14:paraId="50D514A7" w14:textId="47B58043" w:rsidR="0004606D" w:rsidRPr="00CE7A5C" w:rsidRDefault="0004606D" w:rsidP="00957901">
      <w:pPr>
        <w:spacing w:line="360" w:lineRule="auto"/>
        <w:rPr>
          <w:rFonts w:ascii="Arial" w:hAnsi="Arial" w:cs="Arial"/>
          <w:sz w:val="22"/>
          <w:szCs w:val="22"/>
          <w:lang w:val="en-AU"/>
        </w:rPr>
      </w:pPr>
      <w:r w:rsidRPr="00CE7A5C">
        <w:rPr>
          <w:rFonts w:ascii="Arial" w:hAnsi="Arial" w:cs="Arial"/>
          <w:sz w:val="22"/>
          <w:szCs w:val="22"/>
          <w:lang w:val="en-AU"/>
        </w:rPr>
        <w:t>Patient eligibility, consents, and sample processing will be audited every 6</w:t>
      </w:r>
      <w:r w:rsidR="002D54DF">
        <w:rPr>
          <w:rFonts w:ascii="Arial" w:hAnsi="Arial" w:cs="Arial"/>
          <w:sz w:val="22"/>
          <w:szCs w:val="22"/>
          <w:lang w:val="en-AU"/>
        </w:rPr>
        <w:t xml:space="preserve"> </w:t>
      </w:r>
      <w:r w:rsidRPr="00CE7A5C">
        <w:rPr>
          <w:rFonts w:ascii="Arial" w:hAnsi="Arial" w:cs="Arial"/>
          <w:sz w:val="22"/>
          <w:szCs w:val="22"/>
          <w:lang w:val="en-AU"/>
        </w:rPr>
        <w:t xml:space="preserve">months at each site. An annual progress report will be submitted to the approving HREC &amp; local RGOs. </w:t>
      </w:r>
      <w:r w:rsidR="002D54DF">
        <w:rPr>
          <w:rFonts w:ascii="Arial" w:hAnsi="Arial" w:cs="Arial"/>
          <w:sz w:val="22"/>
          <w:szCs w:val="22"/>
          <w:lang w:val="en-AU"/>
        </w:rPr>
        <w:t>This process will be undertaken independently of the study sponsor.</w:t>
      </w:r>
    </w:p>
    <w:p w14:paraId="7DDE611E" w14:textId="0D7BE7A3" w:rsidR="0004606D" w:rsidRPr="00CE7A5C" w:rsidRDefault="0004606D" w:rsidP="00957901">
      <w:pPr>
        <w:pStyle w:val="Body"/>
        <w:widowControl w:val="0"/>
        <w:spacing w:line="360" w:lineRule="auto"/>
        <w:rPr>
          <w:rFonts w:cs="Arial"/>
          <w:sz w:val="22"/>
          <w:szCs w:val="22"/>
        </w:rPr>
      </w:pPr>
    </w:p>
    <w:p w14:paraId="2CB09AAE" w14:textId="04B3FBE9"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Plans for communicating important protocol amendments to relevant parties (e.g. trial participants, ethical committees)</w:t>
      </w:r>
      <w:r w:rsidR="00226190" w:rsidRPr="00CE7A5C">
        <w:rPr>
          <w:rStyle w:val="None"/>
          <w:rFonts w:cs="Arial"/>
          <w:b/>
          <w:bCs/>
          <w:sz w:val="22"/>
          <w:szCs w:val="22"/>
          <w:lang w:val="en-US"/>
        </w:rPr>
        <w:t xml:space="preserve"> {25}</w:t>
      </w:r>
    </w:p>
    <w:p w14:paraId="1B5782F2" w14:textId="6C41BDA3" w:rsidR="004C3232" w:rsidRPr="00CE7A5C" w:rsidRDefault="00656E68" w:rsidP="00957901">
      <w:pPr>
        <w:pStyle w:val="Body"/>
        <w:widowControl w:val="0"/>
        <w:spacing w:line="360" w:lineRule="auto"/>
        <w:rPr>
          <w:rFonts w:cs="Arial"/>
          <w:sz w:val="22"/>
          <w:szCs w:val="22"/>
        </w:rPr>
      </w:pPr>
      <w:r w:rsidRPr="00CE7A5C">
        <w:rPr>
          <w:rFonts w:cs="Arial"/>
          <w:sz w:val="22"/>
          <w:szCs w:val="22"/>
        </w:rPr>
        <w:t>All protocol amendments will be agreed by the chief investigators, and submitted for ethical and local governance approval. Important protocol amendments will be updated on the published trials registry.</w:t>
      </w:r>
    </w:p>
    <w:p w14:paraId="7583313D" w14:textId="77777777" w:rsidR="00073A12" w:rsidRPr="00CE7A5C" w:rsidRDefault="00073A12" w:rsidP="00957901">
      <w:pPr>
        <w:pStyle w:val="Body"/>
        <w:widowControl w:val="0"/>
        <w:spacing w:line="360" w:lineRule="auto"/>
        <w:rPr>
          <w:rFonts w:cs="Arial"/>
          <w:sz w:val="22"/>
          <w:szCs w:val="22"/>
        </w:rPr>
      </w:pPr>
    </w:p>
    <w:p w14:paraId="507E03AA" w14:textId="473F5F03"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Dissemination plans</w:t>
      </w:r>
      <w:r w:rsidR="004E59ED" w:rsidRPr="00CE7A5C">
        <w:rPr>
          <w:rStyle w:val="None"/>
          <w:rFonts w:cs="Arial"/>
          <w:b/>
          <w:bCs/>
          <w:sz w:val="22"/>
          <w:szCs w:val="22"/>
          <w:lang w:val="en-US"/>
        </w:rPr>
        <w:t xml:space="preserve"> {31a}</w:t>
      </w:r>
    </w:p>
    <w:p w14:paraId="50219F29" w14:textId="05FD495A" w:rsidR="001B314D" w:rsidRPr="00CE7A5C" w:rsidRDefault="001B314D" w:rsidP="00957901">
      <w:pPr>
        <w:spacing w:line="360" w:lineRule="auto"/>
        <w:rPr>
          <w:rFonts w:ascii="Arial" w:hAnsi="Arial" w:cs="Arial"/>
          <w:sz w:val="22"/>
          <w:szCs w:val="22"/>
          <w:lang w:val="en-AU"/>
        </w:rPr>
      </w:pPr>
      <w:r w:rsidRPr="00CE7A5C">
        <w:rPr>
          <w:rFonts w:ascii="Arial" w:hAnsi="Arial" w:cs="Arial"/>
          <w:sz w:val="22"/>
          <w:szCs w:val="22"/>
          <w:lang w:val="en-AU"/>
        </w:rPr>
        <w:t>Results will be published in a peer</w:t>
      </w:r>
      <w:r w:rsidR="00AC7CB0">
        <w:rPr>
          <w:rFonts w:ascii="Arial" w:hAnsi="Arial" w:cs="Arial"/>
          <w:sz w:val="22"/>
          <w:szCs w:val="22"/>
          <w:lang w:val="en-AU"/>
        </w:rPr>
        <w:t>-</w:t>
      </w:r>
      <w:r w:rsidRPr="00CE7A5C">
        <w:rPr>
          <w:rFonts w:ascii="Arial" w:hAnsi="Arial" w:cs="Arial"/>
          <w:sz w:val="22"/>
          <w:szCs w:val="22"/>
          <w:lang w:val="en-AU"/>
        </w:rPr>
        <w:t>review</w:t>
      </w:r>
      <w:r w:rsidR="00AC7CB0">
        <w:rPr>
          <w:rFonts w:ascii="Arial" w:hAnsi="Arial" w:cs="Arial"/>
          <w:sz w:val="22"/>
          <w:szCs w:val="22"/>
          <w:lang w:val="en-AU"/>
        </w:rPr>
        <w:t>ed</w:t>
      </w:r>
      <w:r w:rsidRPr="00CE7A5C">
        <w:rPr>
          <w:rFonts w:ascii="Arial" w:hAnsi="Arial" w:cs="Arial"/>
          <w:sz w:val="22"/>
          <w:szCs w:val="22"/>
          <w:lang w:val="en-AU"/>
        </w:rPr>
        <w:t xml:space="preserve"> journal and presented at relevant conferences. A report will also be submitted to Queensland Health. All data will be non-identifiable and subgroup analyses will be presented in such a way as not to enable identification of participants and/or individual sites. Diagnostic accuracy will be reported in line with the Standards for Reporting of Diagnostic Accuracy Studies (STARD) statement.</w:t>
      </w:r>
      <w:r w:rsidR="00AC7CB0">
        <w:rPr>
          <w:rFonts w:ascii="Arial" w:hAnsi="Arial" w:cs="Arial"/>
          <w:sz w:val="22"/>
          <w:szCs w:val="22"/>
          <w:lang w:val="en-AU"/>
        </w:rPr>
        <w:fldChar w:fldCharType="begin"/>
      </w:r>
      <w:r w:rsidR="00191AB9">
        <w:rPr>
          <w:rFonts w:ascii="Arial" w:hAnsi="Arial" w:cs="Arial"/>
          <w:sz w:val="22"/>
          <w:szCs w:val="22"/>
          <w:lang w:val="en-AU"/>
        </w:rPr>
        <w:instrText xml:space="preserve"> ADDIN ZOTERO_ITEM CSL_CITATION {"citationID":"3a4PamOd","properties":{"formattedCitation":"\\super 15\\nosupersub{}","plainCitation":"15","noteIndex":0},"citationItems":[{"id":1927,"uris":["http://zotero.org/users/5768096/items/MIWGAQBJ"],"uri":["http://zotero.org/users/5768096/items/MIWGAQBJ"],"itemData":{"id":1927,"type":"article-journal","container-title":"BMJ","DOI":"10.1136/bmj.h5527","ISSN":"1756-1833 (Electronic) 0959-535X (Linking)","page":"h5527","title":"STARD 2015: an updated list of essential items for reporting diagnostic accuracy studies","volume":"351","author":[{"family":"Bossuyt","given":"P. M."},{"family":"Reitsma","given":"J. B."},{"family":"Bruns","given":"D. E."},{"family":"Gatsonis","given":"C. A."},{"family":"Glasziou","given":"P. P."},{"family":"Irwig","given":"L."},{"family":"Lijmer","given":"J. G."},{"family":"Moher","given":"D."},{"family":"Rennie","given":"D."},{"family":"Vet","given":"H. C.","non-dropping-particle":"de"},{"family":"Kressel","given":"H. Y."},{"family":"Rifai","given":"N."},{"family":"Golub","given":"R. M."},{"family":"Altman","given":"D. G."},{"family":"Hooft","given":"L."},{"family":"Korevaar","given":"D. A."},{"family":"Cohen","given":"J. F."},{"family":"Stard Group","given":""}],"issued":{"date-parts":[["2015"]]}}}],"schema":"https://github.com/citation-style-language/schema/raw/master/csl-citation.json"} </w:instrText>
      </w:r>
      <w:r w:rsidR="00AC7CB0">
        <w:rPr>
          <w:rFonts w:ascii="Arial" w:hAnsi="Arial" w:cs="Arial"/>
          <w:sz w:val="22"/>
          <w:szCs w:val="22"/>
          <w:lang w:val="en-AU"/>
        </w:rPr>
        <w:fldChar w:fldCharType="separate"/>
      </w:r>
      <w:r w:rsidR="00191AB9" w:rsidRPr="00191AB9">
        <w:rPr>
          <w:vertAlign w:val="superscript"/>
        </w:rPr>
        <w:t>15</w:t>
      </w:r>
      <w:r w:rsidR="00AC7CB0">
        <w:rPr>
          <w:rFonts w:ascii="Arial" w:hAnsi="Arial" w:cs="Arial"/>
          <w:sz w:val="22"/>
          <w:szCs w:val="22"/>
          <w:lang w:val="en-AU"/>
        </w:rPr>
        <w:fldChar w:fldCharType="end"/>
      </w:r>
    </w:p>
    <w:p w14:paraId="1996FAD6" w14:textId="77777777" w:rsidR="001B314D" w:rsidRPr="00CE7A5C" w:rsidRDefault="001B314D" w:rsidP="00957901">
      <w:pPr>
        <w:pStyle w:val="Body"/>
        <w:widowControl w:val="0"/>
        <w:spacing w:line="360" w:lineRule="auto"/>
        <w:rPr>
          <w:rFonts w:cs="Arial"/>
          <w:sz w:val="22"/>
          <w:szCs w:val="22"/>
        </w:rPr>
      </w:pPr>
    </w:p>
    <w:p w14:paraId="7AF10FDB" w14:textId="19066BD3"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lastRenderedPageBreak/>
        <w:t>Trial status</w:t>
      </w:r>
    </w:p>
    <w:p w14:paraId="70A7DD16" w14:textId="0DEDB8ED" w:rsidR="001B314D" w:rsidRPr="00CE7A5C" w:rsidRDefault="001B314D" w:rsidP="00957901">
      <w:pPr>
        <w:pStyle w:val="Body"/>
        <w:widowControl w:val="0"/>
        <w:spacing w:line="360" w:lineRule="auto"/>
        <w:rPr>
          <w:rStyle w:val="None"/>
          <w:rFonts w:cs="Arial"/>
          <w:color w:val="auto"/>
          <w:sz w:val="22"/>
          <w:szCs w:val="22"/>
          <w:u w:color="004C7F"/>
        </w:rPr>
      </w:pPr>
      <w:r w:rsidRPr="00CE7A5C">
        <w:rPr>
          <w:rStyle w:val="None"/>
          <w:rFonts w:cs="Arial"/>
          <w:color w:val="auto"/>
          <w:sz w:val="22"/>
          <w:szCs w:val="22"/>
          <w:u w:color="004C7F"/>
          <w:lang w:val="en-US"/>
        </w:rPr>
        <w:t xml:space="preserve">Recruitment to the </w:t>
      </w:r>
      <w:r w:rsidR="002E4F2C">
        <w:rPr>
          <w:rStyle w:val="None"/>
          <w:rFonts w:cs="Arial"/>
          <w:color w:val="auto"/>
          <w:sz w:val="22"/>
          <w:szCs w:val="22"/>
          <w:u w:color="004C7F"/>
          <w:lang w:val="en-US"/>
        </w:rPr>
        <w:t xml:space="preserve">observational Phase 1 of the </w:t>
      </w:r>
      <w:r w:rsidRPr="00CE7A5C">
        <w:rPr>
          <w:rStyle w:val="None"/>
          <w:rFonts w:cs="Arial"/>
          <w:color w:val="auto"/>
          <w:sz w:val="22"/>
          <w:szCs w:val="22"/>
          <w:u w:color="004C7F"/>
          <w:lang w:val="en-US"/>
        </w:rPr>
        <w:t xml:space="preserve">study commenced on </w:t>
      </w:r>
      <w:r w:rsidR="00E04776">
        <w:rPr>
          <w:rStyle w:val="None"/>
          <w:rFonts w:cs="Arial"/>
          <w:color w:val="auto"/>
          <w:sz w:val="22"/>
          <w:szCs w:val="22"/>
          <w:u w:color="004C7F"/>
          <w:lang w:val="en-US"/>
        </w:rPr>
        <w:t>17</w:t>
      </w:r>
      <w:r w:rsidR="00AC7CB0" w:rsidRPr="00AC7CB0">
        <w:rPr>
          <w:rStyle w:val="None"/>
          <w:rFonts w:cs="Arial"/>
          <w:color w:val="auto"/>
          <w:sz w:val="22"/>
          <w:szCs w:val="22"/>
          <w:u w:color="004C7F"/>
          <w:vertAlign w:val="superscript"/>
          <w:lang w:val="en-US"/>
        </w:rPr>
        <w:t>th</w:t>
      </w:r>
      <w:r w:rsidR="00AC7CB0">
        <w:rPr>
          <w:rStyle w:val="None"/>
          <w:rFonts w:cs="Arial"/>
          <w:color w:val="auto"/>
          <w:sz w:val="22"/>
          <w:szCs w:val="22"/>
          <w:u w:color="004C7F"/>
          <w:lang w:val="en-US"/>
        </w:rPr>
        <w:t xml:space="preserve"> </w:t>
      </w:r>
      <w:r w:rsidRPr="00CE7A5C">
        <w:rPr>
          <w:rStyle w:val="None"/>
          <w:rFonts w:cs="Arial"/>
          <w:color w:val="auto"/>
          <w:sz w:val="22"/>
          <w:szCs w:val="22"/>
          <w:u w:color="004C7F"/>
          <w:lang w:val="en-US"/>
        </w:rPr>
        <w:t>March 2020</w:t>
      </w:r>
      <w:r w:rsidR="002E4F2C">
        <w:rPr>
          <w:rStyle w:val="None"/>
          <w:rFonts w:cs="Arial"/>
          <w:color w:val="auto"/>
          <w:sz w:val="22"/>
          <w:szCs w:val="22"/>
          <w:u w:color="004C7F"/>
          <w:lang w:val="en-US"/>
        </w:rPr>
        <w:t>. Recruitment to the interventional Phase 2 has not yet commenced</w:t>
      </w:r>
      <w:r w:rsidRPr="00CE7A5C">
        <w:rPr>
          <w:rStyle w:val="None"/>
          <w:rFonts w:cs="Arial"/>
          <w:color w:val="auto"/>
          <w:sz w:val="22"/>
          <w:szCs w:val="22"/>
          <w:u w:color="004C7F"/>
          <w:lang w:val="en-US"/>
        </w:rPr>
        <w:t xml:space="preserve"> and recruitment is anticipated to finish on </w:t>
      </w:r>
      <w:r w:rsidR="005238D0">
        <w:rPr>
          <w:rStyle w:val="None"/>
          <w:rFonts w:cs="Arial"/>
          <w:color w:val="auto"/>
          <w:sz w:val="22"/>
          <w:szCs w:val="22"/>
          <w:u w:color="004C7F"/>
          <w:lang w:val="en-US"/>
        </w:rPr>
        <w:t>1</w:t>
      </w:r>
      <w:r w:rsidR="005238D0" w:rsidRPr="00FC79C9">
        <w:rPr>
          <w:rStyle w:val="None"/>
          <w:rFonts w:cs="Arial"/>
          <w:color w:val="auto"/>
          <w:sz w:val="22"/>
          <w:szCs w:val="22"/>
          <w:u w:color="004C7F"/>
          <w:vertAlign w:val="superscript"/>
          <w:lang w:val="en-US"/>
        </w:rPr>
        <w:t>st</w:t>
      </w:r>
      <w:r w:rsidR="005238D0">
        <w:rPr>
          <w:rStyle w:val="None"/>
          <w:rFonts w:cs="Arial"/>
          <w:color w:val="auto"/>
          <w:sz w:val="22"/>
          <w:szCs w:val="22"/>
          <w:u w:color="004C7F"/>
          <w:lang w:val="en-US"/>
        </w:rPr>
        <w:t xml:space="preserve"> </w:t>
      </w:r>
      <w:r w:rsidR="002E4F2C">
        <w:rPr>
          <w:rStyle w:val="None"/>
          <w:rFonts w:cs="Arial"/>
          <w:color w:val="auto"/>
          <w:sz w:val="22"/>
          <w:szCs w:val="22"/>
          <w:u w:color="004C7F"/>
          <w:lang w:val="en-US"/>
        </w:rPr>
        <w:t>June</w:t>
      </w:r>
      <w:r w:rsidR="005238D0">
        <w:rPr>
          <w:rStyle w:val="None"/>
          <w:rFonts w:cs="Arial"/>
          <w:color w:val="auto"/>
          <w:sz w:val="22"/>
          <w:szCs w:val="22"/>
          <w:u w:color="004C7F"/>
          <w:lang w:val="en-US"/>
        </w:rPr>
        <w:t xml:space="preserve"> 2021</w:t>
      </w:r>
      <w:r w:rsidRPr="00CE7A5C">
        <w:rPr>
          <w:rStyle w:val="None"/>
          <w:rFonts w:cs="Arial"/>
          <w:color w:val="auto"/>
          <w:sz w:val="22"/>
          <w:szCs w:val="22"/>
          <w:u w:color="004C7F"/>
          <w:lang w:val="en-US"/>
        </w:rPr>
        <w:t>.</w:t>
      </w:r>
    </w:p>
    <w:p w14:paraId="17B68CC0" w14:textId="77777777" w:rsidR="001704CA" w:rsidRDefault="003A6B91" w:rsidP="00957901">
      <w:pPr>
        <w:pStyle w:val="Body"/>
        <w:widowControl w:val="0"/>
        <w:spacing w:before="120" w:line="360" w:lineRule="auto"/>
        <w:rPr>
          <w:rStyle w:val="None"/>
          <w:rFonts w:cs="Arial"/>
          <w:b/>
          <w:bCs/>
          <w:sz w:val="22"/>
          <w:szCs w:val="22"/>
          <w:lang w:val="en-US"/>
        </w:rPr>
      </w:pPr>
      <w:r w:rsidRPr="00CE7A5C">
        <w:rPr>
          <w:rStyle w:val="None"/>
          <w:rFonts w:cs="Arial"/>
          <w:b/>
          <w:bCs/>
          <w:sz w:val="22"/>
          <w:szCs w:val="22"/>
          <w:lang w:val="en-US"/>
        </w:rPr>
        <w:br/>
      </w:r>
    </w:p>
    <w:p w14:paraId="7CAEF6FE" w14:textId="77777777" w:rsidR="001704CA" w:rsidRDefault="001704CA">
      <w:pPr>
        <w:rPr>
          <w:rStyle w:val="None"/>
          <w:rFonts w:ascii="Arial" w:hAnsi="Arial" w:cs="Arial"/>
          <w:b/>
          <w:bCs/>
          <w:color w:val="000000"/>
          <w:sz w:val="22"/>
          <w:szCs w:val="22"/>
          <w:u w:color="000000"/>
        </w:rPr>
      </w:pPr>
      <w:r>
        <w:rPr>
          <w:rStyle w:val="None"/>
          <w:rFonts w:cs="Arial"/>
          <w:b/>
          <w:bCs/>
          <w:sz w:val="22"/>
          <w:szCs w:val="22"/>
        </w:rPr>
        <w:br w:type="page"/>
      </w:r>
    </w:p>
    <w:p w14:paraId="0F21B038" w14:textId="51426F26" w:rsidR="004C3232" w:rsidRPr="00CE7A5C" w:rsidRDefault="004E59ED"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lastRenderedPageBreak/>
        <w:t>A</w:t>
      </w:r>
      <w:r w:rsidR="00B727C2" w:rsidRPr="00CE7A5C">
        <w:rPr>
          <w:rStyle w:val="None"/>
          <w:rFonts w:cs="Arial"/>
          <w:b/>
          <w:bCs/>
          <w:sz w:val="22"/>
          <w:szCs w:val="22"/>
          <w:lang w:val="en-US"/>
        </w:rPr>
        <w:t>bbreviations</w:t>
      </w:r>
    </w:p>
    <w:p w14:paraId="14104167" w14:textId="380C7FBC" w:rsidR="001B314D" w:rsidRPr="00CE7A5C" w:rsidRDefault="001B314D" w:rsidP="00957901">
      <w:pPr>
        <w:pStyle w:val="Body"/>
        <w:widowControl w:val="0"/>
        <w:spacing w:before="120" w:line="360" w:lineRule="auto"/>
        <w:rPr>
          <w:rStyle w:val="None"/>
          <w:rFonts w:cs="Arial"/>
          <w:b/>
          <w:bCs/>
          <w:sz w:val="22"/>
          <w:szCs w:val="22"/>
        </w:rPr>
      </w:pPr>
      <w:r w:rsidRPr="00CE7A5C">
        <w:rPr>
          <w:rStyle w:val="None"/>
          <w:rFonts w:cs="Arial"/>
          <w:b/>
          <w:bCs/>
          <w:sz w:val="22"/>
          <w:szCs w:val="22"/>
        </w:rPr>
        <w:t>AMR</w:t>
      </w:r>
      <w:r w:rsidR="00E04776">
        <w:rPr>
          <w:rStyle w:val="None"/>
          <w:rFonts w:cs="Arial"/>
          <w:b/>
          <w:bCs/>
          <w:sz w:val="22"/>
          <w:szCs w:val="22"/>
        </w:rPr>
        <w:t xml:space="preserve">: </w:t>
      </w:r>
      <w:r w:rsidR="00E04776" w:rsidRPr="00AC7CB0">
        <w:rPr>
          <w:rStyle w:val="None"/>
          <w:rFonts w:cs="Arial"/>
          <w:sz w:val="22"/>
          <w:szCs w:val="22"/>
        </w:rPr>
        <w:t>antimicrobial resistance</w:t>
      </w:r>
    </w:p>
    <w:p w14:paraId="173159A4" w14:textId="77777777" w:rsidR="00DE64FA" w:rsidRDefault="00DE64FA" w:rsidP="00900D16">
      <w:pPr>
        <w:pStyle w:val="Body"/>
        <w:widowControl w:val="0"/>
        <w:spacing w:before="120" w:line="360" w:lineRule="auto"/>
        <w:rPr>
          <w:rStyle w:val="None"/>
          <w:rFonts w:cs="Arial"/>
          <w:b/>
          <w:bCs/>
          <w:sz w:val="22"/>
          <w:szCs w:val="22"/>
        </w:rPr>
      </w:pPr>
      <w:r>
        <w:rPr>
          <w:rStyle w:val="None"/>
          <w:rFonts w:cs="Arial"/>
          <w:b/>
          <w:bCs/>
          <w:sz w:val="22"/>
          <w:szCs w:val="22"/>
        </w:rPr>
        <w:t xml:space="preserve">AEs: </w:t>
      </w:r>
      <w:r w:rsidRPr="00AC7CB0">
        <w:rPr>
          <w:rStyle w:val="None"/>
          <w:rFonts w:cs="Arial"/>
          <w:sz w:val="22"/>
          <w:szCs w:val="22"/>
        </w:rPr>
        <w:t>adverse events</w:t>
      </w:r>
    </w:p>
    <w:p w14:paraId="3A631BDE" w14:textId="0DC9F10E" w:rsidR="00900D16" w:rsidRPr="00CE7A5C" w:rsidRDefault="00900D16" w:rsidP="00900D16">
      <w:pPr>
        <w:pStyle w:val="Body"/>
        <w:widowControl w:val="0"/>
        <w:spacing w:before="120" w:line="360" w:lineRule="auto"/>
        <w:rPr>
          <w:rStyle w:val="None"/>
          <w:rFonts w:cs="Arial"/>
          <w:b/>
          <w:bCs/>
          <w:sz w:val="22"/>
          <w:szCs w:val="22"/>
        </w:rPr>
      </w:pPr>
      <w:r w:rsidRPr="00CE7A5C">
        <w:rPr>
          <w:rStyle w:val="None"/>
          <w:rFonts w:cs="Arial"/>
          <w:b/>
          <w:bCs/>
          <w:sz w:val="22"/>
          <w:szCs w:val="22"/>
        </w:rPr>
        <w:t>BMD</w:t>
      </w:r>
      <w:r>
        <w:rPr>
          <w:rStyle w:val="None"/>
          <w:rFonts w:cs="Arial"/>
          <w:b/>
          <w:bCs/>
          <w:sz w:val="22"/>
          <w:szCs w:val="22"/>
        </w:rPr>
        <w:t xml:space="preserve">: </w:t>
      </w:r>
      <w:r w:rsidRPr="000C2755">
        <w:rPr>
          <w:rStyle w:val="None"/>
          <w:rFonts w:cs="Arial"/>
          <w:bCs/>
          <w:sz w:val="22"/>
          <w:szCs w:val="22"/>
        </w:rPr>
        <w:t>broth microdilution method</w:t>
      </w:r>
    </w:p>
    <w:p w14:paraId="52ABE99E" w14:textId="27234BA5" w:rsidR="00B42237" w:rsidRDefault="00B42237" w:rsidP="00957901">
      <w:pPr>
        <w:pStyle w:val="Body"/>
        <w:widowControl w:val="0"/>
        <w:spacing w:before="120" w:line="360" w:lineRule="auto"/>
        <w:rPr>
          <w:rFonts w:cs="Arial"/>
          <w:sz w:val="22"/>
          <w:szCs w:val="22"/>
          <w:lang w:val="en-AU"/>
        </w:rPr>
      </w:pPr>
      <w:r w:rsidRPr="00B42237">
        <w:rPr>
          <w:rFonts w:cs="Arial"/>
          <w:b/>
          <w:sz w:val="22"/>
          <w:szCs w:val="22"/>
          <w:lang w:val="en-AU"/>
        </w:rPr>
        <w:t>ID-ODS</w:t>
      </w:r>
      <w:r w:rsidRPr="00B42237">
        <w:rPr>
          <w:rFonts w:cs="Arial"/>
          <w:b/>
          <w:sz w:val="22"/>
          <w:szCs w:val="22"/>
          <w:vertAlign w:val="superscript"/>
          <w:lang w:val="en-AU"/>
        </w:rPr>
        <w:t>TM</w:t>
      </w:r>
      <w:r w:rsidRPr="00B42237">
        <w:rPr>
          <w:rFonts w:cs="Arial"/>
          <w:b/>
          <w:sz w:val="22"/>
          <w:szCs w:val="22"/>
          <w:lang w:val="en-AU"/>
        </w:rPr>
        <w:t>:</w:t>
      </w:r>
      <w:r w:rsidRPr="00B42237">
        <w:rPr>
          <w:rFonts w:cs="Arial"/>
          <w:sz w:val="22"/>
          <w:szCs w:val="22"/>
          <w:lang w:val="en-AU"/>
        </w:rPr>
        <w:t xml:space="preserve"> </w:t>
      </w:r>
      <w:r w:rsidRPr="00CE7A5C">
        <w:rPr>
          <w:rFonts w:cs="Arial"/>
          <w:sz w:val="22"/>
          <w:szCs w:val="22"/>
          <w:lang w:val="en-AU"/>
        </w:rPr>
        <w:t>Bayesian dosing software (ID-ODS</w:t>
      </w:r>
      <w:r w:rsidRPr="00CE7A5C">
        <w:rPr>
          <w:rFonts w:cs="Arial"/>
          <w:sz w:val="22"/>
          <w:szCs w:val="22"/>
          <w:vertAlign w:val="superscript"/>
          <w:lang w:val="en-AU"/>
        </w:rPr>
        <w:t>TM</w:t>
      </w:r>
      <w:r w:rsidRPr="00CE7A5C">
        <w:rPr>
          <w:rFonts w:cs="Arial"/>
          <w:sz w:val="22"/>
          <w:szCs w:val="22"/>
          <w:lang w:val="en-AU"/>
        </w:rPr>
        <w:t>)</w:t>
      </w:r>
    </w:p>
    <w:p w14:paraId="6184C881" w14:textId="03B1E34C" w:rsidR="00707FD5" w:rsidRDefault="00707FD5" w:rsidP="00957901">
      <w:pPr>
        <w:pStyle w:val="Body"/>
        <w:widowControl w:val="0"/>
        <w:spacing w:before="120" w:line="360" w:lineRule="auto"/>
        <w:rPr>
          <w:rFonts w:cs="Arial"/>
          <w:sz w:val="22"/>
          <w:szCs w:val="22"/>
          <w:lang w:val="en-AU"/>
        </w:rPr>
      </w:pPr>
      <w:r w:rsidRPr="00707FD5">
        <w:rPr>
          <w:rFonts w:cs="Arial"/>
          <w:b/>
          <w:sz w:val="22"/>
          <w:szCs w:val="22"/>
          <w:lang w:val="en-AU"/>
        </w:rPr>
        <w:t>DNA</w:t>
      </w:r>
      <w:r>
        <w:rPr>
          <w:rFonts w:cs="Arial"/>
          <w:sz w:val="22"/>
          <w:szCs w:val="22"/>
          <w:lang w:val="en-AU"/>
        </w:rPr>
        <w:t xml:space="preserve">: </w:t>
      </w:r>
      <w:proofErr w:type="spellStart"/>
      <w:r>
        <w:rPr>
          <w:rFonts w:cs="Arial"/>
          <w:sz w:val="22"/>
          <w:szCs w:val="22"/>
          <w:lang w:val="en-AU"/>
        </w:rPr>
        <w:t>Deoxyriboneucleic</w:t>
      </w:r>
      <w:proofErr w:type="spellEnd"/>
      <w:r>
        <w:rPr>
          <w:rFonts w:cs="Arial"/>
          <w:sz w:val="22"/>
          <w:szCs w:val="22"/>
          <w:lang w:val="en-AU"/>
        </w:rPr>
        <w:t xml:space="preserve"> acid</w:t>
      </w:r>
      <w:r w:rsidRPr="00CE7A5C">
        <w:rPr>
          <w:rFonts w:cs="Arial"/>
          <w:sz w:val="22"/>
          <w:szCs w:val="22"/>
          <w:lang w:val="en-AU"/>
        </w:rPr>
        <w:t xml:space="preserve"> </w:t>
      </w:r>
    </w:p>
    <w:p w14:paraId="44428439" w14:textId="6313BF9B" w:rsidR="00E05955" w:rsidRPr="00264A40" w:rsidRDefault="00E05955" w:rsidP="00957901">
      <w:pPr>
        <w:pStyle w:val="Body"/>
        <w:widowControl w:val="0"/>
        <w:spacing w:before="120" w:line="360" w:lineRule="auto"/>
        <w:rPr>
          <w:rFonts w:cs="Arial"/>
          <w:sz w:val="22"/>
          <w:szCs w:val="22"/>
          <w:lang w:val="en-AU"/>
        </w:rPr>
      </w:pPr>
      <w:r w:rsidRPr="00E05955">
        <w:rPr>
          <w:rFonts w:cs="Arial"/>
          <w:b/>
          <w:sz w:val="22"/>
          <w:szCs w:val="22"/>
          <w:lang w:val="en-AU"/>
        </w:rPr>
        <w:t>DSMB:</w:t>
      </w:r>
      <w:r>
        <w:rPr>
          <w:rFonts w:cs="Arial"/>
          <w:sz w:val="22"/>
          <w:szCs w:val="22"/>
          <w:lang w:val="en-AU"/>
        </w:rPr>
        <w:t xml:space="preserve"> D</w:t>
      </w:r>
      <w:r w:rsidR="00AC7CB0">
        <w:rPr>
          <w:rFonts w:cs="Arial"/>
          <w:sz w:val="22"/>
          <w:szCs w:val="22"/>
          <w:lang w:val="en-AU"/>
        </w:rPr>
        <w:t xml:space="preserve">ata </w:t>
      </w:r>
      <w:r>
        <w:rPr>
          <w:rFonts w:cs="Arial"/>
          <w:sz w:val="22"/>
          <w:szCs w:val="22"/>
          <w:lang w:val="en-AU"/>
        </w:rPr>
        <w:t>Safety Monitoring Board</w:t>
      </w:r>
    </w:p>
    <w:p w14:paraId="731DACDA" w14:textId="03021358" w:rsidR="00900D16" w:rsidRDefault="00900D16" w:rsidP="00957901">
      <w:pPr>
        <w:pStyle w:val="Body"/>
        <w:widowControl w:val="0"/>
        <w:spacing w:before="120" w:line="360" w:lineRule="auto"/>
        <w:rPr>
          <w:rStyle w:val="None"/>
          <w:rFonts w:cs="Arial"/>
          <w:b/>
          <w:bCs/>
          <w:sz w:val="22"/>
          <w:szCs w:val="22"/>
        </w:rPr>
      </w:pPr>
      <w:r w:rsidRPr="00CE7A5C">
        <w:rPr>
          <w:rFonts w:cs="Arial"/>
          <w:b/>
          <w:sz w:val="22"/>
          <w:szCs w:val="22"/>
          <w:lang w:val="en-AU"/>
        </w:rPr>
        <w:t>DIRECT</w:t>
      </w:r>
      <w:r>
        <w:rPr>
          <w:rFonts w:cs="Arial"/>
          <w:b/>
          <w:sz w:val="22"/>
          <w:szCs w:val="22"/>
          <w:lang w:val="en-AU"/>
        </w:rPr>
        <w:t>:</w:t>
      </w:r>
      <w:r w:rsidRPr="00CE7A5C">
        <w:rPr>
          <w:rStyle w:val="None"/>
          <w:rFonts w:cs="Arial"/>
          <w:b/>
          <w:bCs/>
          <w:sz w:val="22"/>
          <w:szCs w:val="22"/>
        </w:rPr>
        <w:t xml:space="preserve"> </w:t>
      </w:r>
      <w:r w:rsidRPr="00900D16">
        <w:rPr>
          <w:rFonts w:cs="Arial"/>
          <w:sz w:val="22"/>
          <w:szCs w:val="22"/>
          <w:lang w:val="en-AU"/>
        </w:rPr>
        <w:t>Optimising treatment outcomes for children and adults through rapid genome sequencing of sepsis pathogens</w:t>
      </w:r>
    </w:p>
    <w:p w14:paraId="66813C6F" w14:textId="4A19CFF3" w:rsidR="00E05955" w:rsidRPr="00E05955" w:rsidRDefault="00E05955" w:rsidP="00900D16">
      <w:pPr>
        <w:pStyle w:val="Body"/>
        <w:widowControl w:val="0"/>
        <w:spacing w:before="120" w:line="360" w:lineRule="auto"/>
        <w:rPr>
          <w:rStyle w:val="None"/>
          <w:b/>
          <w:bCs/>
          <w:sz w:val="22"/>
          <w:szCs w:val="22"/>
        </w:rPr>
      </w:pPr>
      <w:r w:rsidRPr="00E05955">
        <w:rPr>
          <w:rStyle w:val="None"/>
          <w:b/>
          <w:bCs/>
          <w:sz w:val="22"/>
          <w:szCs w:val="22"/>
        </w:rPr>
        <w:t>EDTA</w:t>
      </w:r>
      <w:r>
        <w:rPr>
          <w:rStyle w:val="None"/>
          <w:b/>
          <w:bCs/>
          <w:sz w:val="22"/>
          <w:szCs w:val="22"/>
        </w:rPr>
        <w:t xml:space="preserve">: </w:t>
      </w:r>
      <w:r w:rsidRPr="00E05955">
        <w:rPr>
          <w:rFonts w:cs="Arial"/>
          <w:sz w:val="22"/>
          <w:szCs w:val="22"/>
          <w:lang w:val="en-AU"/>
        </w:rPr>
        <w:t>Ethylenediamine</w:t>
      </w:r>
      <w:r w:rsidR="00DE7784">
        <w:rPr>
          <w:rFonts w:cs="Arial"/>
          <w:sz w:val="22"/>
          <w:szCs w:val="22"/>
          <w:lang w:val="en-AU"/>
        </w:rPr>
        <w:t xml:space="preserve"> </w:t>
      </w:r>
      <w:proofErr w:type="spellStart"/>
      <w:r w:rsidR="00DE7784">
        <w:rPr>
          <w:rFonts w:cs="Arial"/>
          <w:sz w:val="22"/>
          <w:szCs w:val="22"/>
          <w:lang w:val="en-AU"/>
        </w:rPr>
        <w:t>T</w:t>
      </w:r>
      <w:r w:rsidRPr="00E05955">
        <w:rPr>
          <w:rFonts w:cs="Arial"/>
          <w:sz w:val="22"/>
          <w:szCs w:val="22"/>
          <w:lang w:val="en-AU"/>
        </w:rPr>
        <w:t>etraacetic</w:t>
      </w:r>
      <w:proofErr w:type="spellEnd"/>
      <w:r w:rsidRPr="00E05955">
        <w:rPr>
          <w:rFonts w:cs="Arial"/>
          <w:sz w:val="22"/>
          <w:szCs w:val="22"/>
          <w:lang w:val="en-AU"/>
        </w:rPr>
        <w:t xml:space="preserve"> acid</w:t>
      </w:r>
      <w:r w:rsidR="00DE7784">
        <w:rPr>
          <w:rFonts w:cs="Arial"/>
          <w:sz w:val="22"/>
          <w:szCs w:val="22"/>
          <w:lang w:val="en-AU"/>
        </w:rPr>
        <w:t>.</w:t>
      </w:r>
      <w:r w:rsidRPr="00E05955">
        <w:rPr>
          <w:rStyle w:val="None"/>
          <w:b/>
          <w:bCs/>
          <w:sz w:val="22"/>
          <w:szCs w:val="22"/>
        </w:rPr>
        <w:t xml:space="preserve"> </w:t>
      </w:r>
    </w:p>
    <w:p w14:paraId="27C3A1E9" w14:textId="312B55A4" w:rsidR="00900D16" w:rsidRPr="00CE7A5C" w:rsidRDefault="00900D16" w:rsidP="00900D16">
      <w:pPr>
        <w:pStyle w:val="Body"/>
        <w:widowControl w:val="0"/>
        <w:spacing w:before="120" w:line="360" w:lineRule="auto"/>
        <w:rPr>
          <w:rStyle w:val="None"/>
          <w:rFonts w:cs="Arial"/>
          <w:b/>
          <w:bCs/>
          <w:sz w:val="22"/>
          <w:szCs w:val="22"/>
        </w:rPr>
      </w:pPr>
      <w:r w:rsidRPr="00CE7A5C">
        <w:rPr>
          <w:rStyle w:val="None"/>
          <w:rFonts w:cs="Arial"/>
          <w:b/>
          <w:bCs/>
          <w:sz w:val="22"/>
          <w:szCs w:val="22"/>
        </w:rPr>
        <w:t>EUCAST</w:t>
      </w:r>
      <w:r>
        <w:rPr>
          <w:rStyle w:val="None"/>
          <w:rFonts w:cs="Arial"/>
          <w:b/>
          <w:bCs/>
          <w:sz w:val="22"/>
          <w:szCs w:val="22"/>
        </w:rPr>
        <w:t xml:space="preserve">: </w:t>
      </w:r>
      <w:r w:rsidRPr="00CE7A5C">
        <w:rPr>
          <w:rFonts w:cs="Arial"/>
          <w:sz w:val="22"/>
          <w:szCs w:val="22"/>
          <w:lang w:val="en-AU"/>
        </w:rPr>
        <w:t>European Committee on Antimicrobial Susceptibility Testing</w:t>
      </w:r>
    </w:p>
    <w:p w14:paraId="3E3564AC" w14:textId="243C7002" w:rsidR="00D97314" w:rsidRPr="00FC79C9" w:rsidRDefault="00D97314" w:rsidP="00900D16">
      <w:pPr>
        <w:pStyle w:val="Body"/>
        <w:widowControl w:val="0"/>
        <w:spacing w:before="120" w:line="360" w:lineRule="auto"/>
        <w:rPr>
          <w:rStyle w:val="None"/>
          <w:rFonts w:cs="Arial"/>
          <w:sz w:val="22"/>
          <w:szCs w:val="22"/>
        </w:rPr>
      </w:pPr>
      <w:r>
        <w:rPr>
          <w:rStyle w:val="None"/>
          <w:rFonts w:cs="Arial"/>
          <w:b/>
          <w:bCs/>
          <w:sz w:val="22"/>
          <w:szCs w:val="22"/>
        </w:rPr>
        <w:t xml:space="preserve">GPU: </w:t>
      </w:r>
      <w:r>
        <w:rPr>
          <w:rStyle w:val="None"/>
          <w:rFonts w:cs="Arial"/>
          <w:sz w:val="22"/>
          <w:szCs w:val="22"/>
        </w:rPr>
        <w:t>Graphics processing unit</w:t>
      </w:r>
    </w:p>
    <w:p w14:paraId="302E9E16" w14:textId="2370ECB3" w:rsidR="00E05955" w:rsidRDefault="00E05955" w:rsidP="00900D16">
      <w:pPr>
        <w:pStyle w:val="Body"/>
        <w:widowControl w:val="0"/>
        <w:spacing w:before="120" w:line="360" w:lineRule="auto"/>
        <w:rPr>
          <w:rStyle w:val="None"/>
          <w:rFonts w:cs="Arial"/>
          <w:b/>
          <w:bCs/>
          <w:sz w:val="22"/>
          <w:szCs w:val="22"/>
        </w:rPr>
      </w:pPr>
      <w:r>
        <w:rPr>
          <w:rStyle w:val="None"/>
          <w:rFonts w:cs="Arial"/>
          <w:b/>
          <w:bCs/>
          <w:sz w:val="22"/>
          <w:szCs w:val="22"/>
        </w:rPr>
        <w:t xml:space="preserve">HREC: </w:t>
      </w:r>
      <w:r w:rsidRPr="00E05955">
        <w:rPr>
          <w:rStyle w:val="None"/>
          <w:rFonts w:cs="Arial"/>
          <w:bCs/>
          <w:sz w:val="22"/>
          <w:szCs w:val="22"/>
        </w:rPr>
        <w:t>Human Research Ethics Committee</w:t>
      </w:r>
    </w:p>
    <w:p w14:paraId="02E701A2" w14:textId="567A62D6" w:rsidR="00264A40" w:rsidRDefault="00264A40" w:rsidP="00900D16">
      <w:pPr>
        <w:pStyle w:val="Body"/>
        <w:widowControl w:val="0"/>
        <w:spacing w:before="120" w:line="360" w:lineRule="auto"/>
        <w:rPr>
          <w:rStyle w:val="None"/>
          <w:rFonts w:cs="Arial"/>
          <w:b/>
          <w:bCs/>
          <w:sz w:val="22"/>
          <w:szCs w:val="22"/>
        </w:rPr>
      </w:pPr>
      <w:r>
        <w:rPr>
          <w:rStyle w:val="None"/>
          <w:rFonts w:cs="Arial"/>
          <w:b/>
          <w:bCs/>
          <w:sz w:val="22"/>
          <w:szCs w:val="22"/>
        </w:rPr>
        <w:t xml:space="preserve">ICU: </w:t>
      </w:r>
      <w:r w:rsidRPr="00264A40">
        <w:rPr>
          <w:rStyle w:val="None"/>
          <w:rFonts w:cs="Arial"/>
          <w:bCs/>
          <w:sz w:val="22"/>
          <w:szCs w:val="22"/>
        </w:rPr>
        <w:t>Intensive Care Unit</w:t>
      </w:r>
    </w:p>
    <w:p w14:paraId="3BE77BAC" w14:textId="710E886C" w:rsidR="00264A40" w:rsidRPr="00264A40" w:rsidRDefault="00264A40" w:rsidP="00900D16">
      <w:pPr>
        <w:pStyle w:val="Body"/>
        <w:widowControl w:val="0"/>
        <w:spacing w:before="120" w:line="360" w:lineRule="auto"/>
        <w:rPr>
          <w:rStyle w:val="None"/>
          <w:rFonts w:cs="Arial"/>
          <w:b/>
          <w:bCs/>
          <w:sz w:val="22"/>
          <w:szCs w:val="22"/>
        </w:rPr>
      </w:pPr>
      <w:r w:rsidRPr="00264A40">
        <w:rPr>
          <w:rStyle w:val="None"/>
          <w:b/>
          <w:bCs/>
          <w:sz w:val="22"/>
          <w:szCs w:val="22"/>
        </w:rPr>
        <w:t>MRFF</w:t>
      </w:r>
      <w:r>
        <w:rPr>
          <w:rStyle w:val="None"/>
          <w:rFonts w:cs="Arial"/>
          <w:b/>
          <w:bCs/>
          <w:sz w:val="22"/>
          <w:szCs w:val="22"/>
        </w:rPr>
        <w:t xml:space="preserve">: </w:t>
      </w:r>
      <w:r w:rsidRPr="00264A40">
        <w:rPr>
          <w:rStyle w:val="None"/>
          <w:rFonts w:cs="Arial"/>
          <w:bCs/>
          <w:sz w:val="22"/>
          <w:szCs w:val="22"/>
        </w:rPr>
        <w:t>Medical Research Future Fund</w:t>
      </w:r>
      <w:r w:rsidRPr="00264A40">
        <w:rPr>
          <w:rStyle w:val="None"/>
          <w:rFonts w:cs="Arial"/>
          <w:b/>
          <w:bCs/>
          <w:sz w:val="22"/>
          <w:szCs w:val="22"/>
        </w:rPr>
        <w:t xml:space="preserve"> </w:t>
      </w:r>
    </w:p>
    <w:p w14:paraId="6253D00F" w14:textId="72CC0E0C" w:rsidR="00900D16" w:rsidRDefault="00900D16" w:rsidP="00900D16">
      <w:pPr>
        <w:pStyle w:val="Body"/>
        <w:widowControl w:val="0"/>
        <w:spacing w:before="120" w:line="360" w:lineRule="auto"/>
        <w:rPr>
          <w:rFonts w:cs="Arial"/>
          <w:sz w:val="22"/>
          <w:szCs w:val="22"/>
          <w:lang w:val="en-AU"/>
        </w:rPr>
      </w:pPr>
      <w:proofErr w:type="spellStart"/>
      <w:r w:rsidRPr="000C2755">
        <w:rPr>
          <w:rStyle w:val="None"/>
          <w:rFonts w:cs="Arial"/>
          <w:b/>
          <w:bCs/>
          <w:sz w:val="22"/>
          <w:szCs w:val="22"/>
        </w:rPr>
        <w:t>MinION</w:t>
      </w:r>
      <w:proofErr w:type="spellEnd"/>
      <w:r w:rsidRPr="000C2755">
        <w:rPr>
          <w:rStyle w:val="None"/>
          <w:rFonts w:cs="Arial"/>
          <w:b/>
          <w:bCs/>
          <w:sz w:val="22"/>
          <w:szCs w:val="22"/>
        </w:rPr>
        <w:t>:</w:t>
      </w:r>
      <w:r w:rsidRPr="000C2755">
        <w:rPr>
          <w:lang w:val="en-AU"/>
        </w:rPr>
        <w:t xml:space="preserve"> </w:t>
      </w:r>
      <w:r w:rsidRPr="000C2755">
        <w:rPr>
          <w:rFonts w:cs="Arial"/>
          <w:sz w:val="22"/>
          <w:szCs w:val="22"/>
          <w:lang w:val="en-AU"/>
        </w:rPr>
        <w:t>portable, real-time device for DNA and RNA sequencing</w:t>
      </w:r>
    </w:p>
    <w:p w14:paraId="0A3826BB" w14:textId="6CDA8261" w:rsidR="005238D0" w:rsidRPr="00FC79C9" w:rsidRDefault="005238D0" w:rsidP="00957901">
      <w:pPr>
        <w:pStyle w:val="Body"/>
        <w:widowControl w:val="0"/>
        <w:spacing w:before="120" w:line="360" w:lineRule="auto"/>
        <w:rPr>
          <w:rStyle w:val="None"/>
          <w:rFonts w:cs="Arial"/>
          <w:sz w:val="22"/>
          <w:szCs w:val="22"/>
        </w:rPr>
      </w:pPr>
      <w:r>
        <w:rPr>
          <w:rStyle w:val="None"/>
          <w:rFonts w:cs="Arial"/>
          <w:b/>
          <w:bCs/>
          <w:sz w:val="22"/>
          <w:szCs w:val="22"/>
        </w:rPr>
        <w:t xml:space="preserve">NATA: </w:t>
      </w:r>
      <w:r w:rsidRPr="00FC79C9">
        <w:rPr>
          <w:rStyle w:val="None"/>
          <w:rFonts w:cs="Arial"/>
          <w:sz w:val="22"/>
          <w:szCs w:val="22"/>
        </w:rPr>
        <w:t>National Association of Testing Authorities</w:t>
      </w:r>
    </w:p>
    <w:p w14:paraId="19E4E923" w14:textId="69D42263" w:rsidR="005238D0" w:rsidRPr="00FC79C9" w:rsidRDefault="005238D0" w:rsidP="00957901">
      <w:pPr>
        <w:pStyle w:val="Body"/>
        <w:widowControl w:val="0"/>
        <w:spacing w:before="120" w:line="360" w:lineRule="auto"/>
        <w:rPr>
          <w:rStyle w:val="None"/>
          <w:rFonts w:cs="Arial"/>
          <w:sz w:val="22"/>
          <w:szCs w:val="22"/>
        </w:rPr>
      </w:pPr>
      <w:r>
        <w:rPr>
          <w:rStyle w:val="None"/>
          <w:rFonts w:cs="Arial"/>
          <w:b/>
          <w:bCs/>
          <w:sz w:val="22"/>
          <w:szCs w:val="22"/>
        </w:rPr>
        <w:t xml:space="preserve">ONT: </w:t>
      </w:r>
      <w:r>
        <w:rPr>
          <w:rStyle w:val="None"/>
          <w:rFonts w:cs="Arial"/>
          <w:sz w:val="22"/>
          <w:szCs w:val="22"/>
        </w:rPr>
        <w:t>Oxford Nanopore Technologies</w:t>
      </w:r>
    </w:p>
    <w:p w14:paraId="618C5132" w14:textId="55B32FC0" w:rsidR="00264A40" w:rsidRDefault="00264A40" w:rsidP="00957901">
      <w:pPr>
        <w:pStyle w:val="Body"/>
        <w:widowControl w:val="0"/>
        <w:spacing w:before="120" w:line="360" w:lineRule="auto"/>
        <w:rPr>
          <w:rStyle w:val="None"/>
          <w:rFonts w:cs="Arial"/>
          <w:bCs/>
          <w:sz w:val="22"/>
          <w:szCs w:val="22"/>
        </w:rPr>
      </w:pPr>
      <w:r>
        <w:rPr>
          <w:rStyle w:val="None"/>
          <w:rFonts w:cs="Arial"/>
          <w:b/>
          <w:bCs/>
          <w:sz w:val="22"/>
          <w:szCs w:val="22"/>
        </w:rPr>
        <w:t xml:space="preserve">QGHA: </w:t>
      </w:r>
      <w:r>
        <w:rPr>
          <w:rStyle w:val="None"/>
          <w:rFonts w:cs="Arial"/>
          <w:bCs/>
          <w:sz w:val="22"/>
          <w:szCs w:val="22"/>
        </w:rPr>
        <w:t>Queensland Genomics Health Alliance</w:t>
      </w:r>
    </w:p>
    <w:p w14:paraId="1E9C448F" w14:textId="6703BEDC" w:rsidR="005238D0" w:rsidRPr="00FC79C9" w:rsidRDefault="005238D0" w:rsidP="00957901">
      <w:pPr>
        <w:pStyle w:val="Body"/>
        <w:widowControl w:val="0"/>
        <w:spacing w:before="120" w:line="360" w:lineRule="auto"/>
        <w:rPr>
          <w:rStyle w:val="None"/>
          <w:rFonts w:cs="Arial"/>
          <w:sz w:val="22"/>
          <w:szCs w:val="22"/>
        </w:rPr>
      </w:pPr>
      <w:r>
        <w:rPr>
          <w:rStyle w:val="None"/>
          <w:rFonts w:cs="Arial"/>
          <w:b/>
          <w:bCs/>
          <w:sz w:val="22"/>
          <w:szCs w:val="22"/>
        </w:rPr>
        <w:t xml:space="preserve">QGID: </w:t>
      </w:r>
      <w:r>
        <w:rPr>
          <w:rStyle w:val="None"/>
          <w:rFonts w:cs="Arial"/>
          <w:sz w:val="22"/>
          <w:szCs w:val="22"/>
        </w:rPr>
        <w:t>Queensland Genomics Infectious Disease</w:t>
      </w:r>
    </w:p>
    <w:p w14:paraId="2AFC3357" w14:textId="07B8BD35" w:rsidR="005238D0" w:rsidRPr="00FC79C9" w:rsidRDefault="005238D0" w:rsidP="00957901">
      <w:pPr>
        <w:pStyle w:val="Body"/>
        <w:widowControl w:val="0"/>
        <w:spacing w:before="120" w:line="360" w:lineRule="auto"/>
        <w:rPr>
          <w:rStyle w:val="None"/>
          <w:rFonts w:cs="Arial"/>
          <w:sz w:val="22"/>
          <w:szCs w:val="22"/>
        </w:rPr>
      </w:pPr>
      <w:r>
        <w:rPr>
          <w:rStyle w:val="None"/>
          <w:rFonts w:cs="Arial"/>
          <w:b/>
          <w:bCs/>
          <w:sz w:val="22"/>
          <w:szCs w:val="22"/>
        </w:rPr>
        <w:t xml:space="preserve">QPID: </w:t>
      </w:r>
      <w:r>
        <w:rPr>
          <w:rStyle w:val="None"/>
          <w:rFonts w:cs="Arial"/>
          <w:sz w:val="22"/>
          <w:szCs w:val="22"/>
        </w:rPr>
        <w:t>Queensland Paediatric Infectious Disease laboratory</w:t>
      </w:r>
    </w:p>
    <w:p w14:paraId="39E312EF" w14:textId="26C8D7A2" w:rsidR="00D97314" w:rsidRPr="00FC79C9" w:rsidRDefault="00D97314" w:rsidP="00957901">
      <w:pPr>
        <w:pStyle w:val="Body"/>
        <w:widowControl w:val="0"/>
        <w:spacing w:before="120" w:line="360" w:lineRule="auto"/>
        <w:rPr>
          <w:rStyle w:val="None"/>
          <w:rFonts w:cs="Arial"/>
          <w:sz w:val="22"/>
          <w:szCs w:val="22"/>
        </w:rPr>
      </w:pPr>
      <w:r>
        <w:rPr>
          <w:rStyle w:val="None"/>
          <w:rFonts w:cs="Arial"/>
          <w:b/>
          <w:bCs/>
          <w:sz w:val="22"/>
          <w:szCs w:val="22"/>
        </w:rPr>
        <w:t xml:space="preserve">PCR: </w:t>
      </w:r>
      <w:r>
        <w:rPr>
          <w:rStyle w:val="None"/>
          <w:rFonts w:cs="Arial"/>
          <w:sz w:val="22"/>
          <w:szCs w:val="22"/>
        </w:rPr>
        <w:t>Polymerase chain reaction</w:t>
      </w:r>
    </w:p>
    <w:p w14:paraId="1AE74878" w14:textId="062D8375" w:rsidR="00D97314" w:rsidRPr="00FC79C9" w:rsidRDefault="00D97314" w:rsidP="00957901">
      <w:pPr>
        <w:pStyle w:val="Body"/>
        <w:widowControl w:val="0"/>
        <w:spacing w:before="120" w:line="360" w:lineRule="auto"/>
        <w:rPr>
          <w:rStyle w:val="None"/>
          <w:rFonts w:cs="Arial"/>
          <w:sz w:val="22"/>
          <w:szCs w:val="22"/>
        </w:rPr>
      </w:pPr>
      <w:r>
        <w:rPr>
          <w:rStyle w:val="None"/>
          <w:rFonts w:cs="Arial"/>
          <w:b/>
          <w:bCs/>
          <w:sz w:val="22"/>
          <w:szCs w:val="22"/>
        </w:rPr>
        <w:t xml:space="preserve">RDM: </w:t>
      </w:r>
      <w:r>
        <w:rPr>
          <w:rStyle w:val="None"/>
          <w:rFonts w:cs="Arial"/>
          <w:sz w:val="22"/>
          <w:szCs w:val="22"/>
        </w:rPr>
        <w:t>Research Data Manager</w:t>
      </w:r>
    </w:p>
    <w:p w14:paraId="57811166" w14:textId="0205284A" w:rsidR="00E05955" w:rsidRDefault="00E05955" w:rsidP="00957901">
      <w:pPr>
        <w:pStyle w:val="Body"/>
        <w:widowControl w:val="0"/>
        <w:spacing w:before="120" w:line="360" w:lineRule="auto"/>
        <w:rPr>
          <w:rStyle w:val="None"/>
          <w:rFonts w:cs="Arial"/>
          <w:b/>
          <w:bCs/>
          <w:sz w:val="22"/>
          <w:szCs w:val="22"/>
        </w:rPr>
      </w:pPr>
      <w:r>
        <w:rPr>
          <w:rStyle w:val="None"/>
          <w:rFonts w:cs="Arial"/>
          <w:b/>
          <w:bCs/>
          <w:sz w:val="22"/>
          <w:szCs w:val="22"/>
        </w:rPr>
        <w:t xml:space="preserve">RGOs: </w:t>
      </w:r>
      <w:r w:rsidRPr="00E05955">
        <w:rPr>
          <w:rStyle w:val="None"/>
          <w:rFonts w:cs="Arial"/>
          <w:bCs/>
          <w:sz w:val="22"/>
          <w:szCs w:val="22"/>
        </w:rPr>
        <w:t>Research Governance Officers</w:t>
      </w:r>
    </w:p>
    <w:p w14:paraId="7C0DD53B" w14:textId="0DB44328" w:rsidR="00E05955" w:rsidRDefault="00E05955" w:rsidP="00957901">
      <w:pPr>
        <w:pStyle w:val="Body"/>
        <w:widowControl w:val="0"/>
        <w:spacing w:before="120" w:line="360" w:lineRule="auto"/>
        <w:rPr>
          <w:rFonts w:cs="Arial"/>
          <w:b/>
          <w:i/>
          <w:sz w:val="22"/>
          <w:szCs w:val="22"/>
        </w:rPr>
      </w:pPr>
      <w:r>
        <w:rPr>
          <w:rStyle w:val="None"/>
          <w:rFonts w:cs="Arial"/>
          <w:b/>
          <w:bCs/>
          <w:sz w:val="22"/>
          <w:szCs w:val="22"/>
        </w:rPr>
        <w:t xml:space="preserve">SAE: </w:t>
      </w:r>
      <w:r>
        <w:rPr>
          <w:rFonts w:cs="Arial"/>
          <w:sz w:val="22"/>
          <w:szCs w:val="22"/>
          <w:lang w:val="en-AU"/>
        </w:rPr>
        <w:t>Serious Adverse Event</w:t>
      </w:r>
    </w:p>
    <w:p w14:paraId="59F670FE" w14:textId="498B965B" w:rsidR="001B314D" w:rsidRDefault="001B314D" w:rsidP="00957901">
      <w:pPr>
        <w:pStyle w:val="Body"/>
        <w:widowControl w:val="0"/>
        <w:spacing w:before="120" w:line="360" w:lineRule="auto"/>
        <w:rPr>
          <w:rFonts w:cs="Arial"/>
          <w:sz w:val="22"/>
          <w:szCs w:val="22"/>
          <w:lang w:val="en-AU"/>
        </w:rPr>
      </w:pPr>
      <w:r w:rsidRPr="00CE7A5C">
        <w:rPr>
          <w:rStyle w:val="None"/>
          <w:rFonts w:cs="Arial"/>
          <w:b/>
          <w:bCs/>
          <w:sz w:val="22"/>
          <w:szCs w:val="22"/>
        </w:rPr>
        <w:t>STARD</w:t>
      </w:r>
      <w:r w:rsidR="00E04776">
        <w:rPr>
          <w:rStyle w:val="None"/>
          <w:rFonts w:cs="Arial"/>
          <w:b/>
          <w:bCs/>
          <w:sz w:val="22"/>
          <w:szCs w:val="22"/>
        </w:rPr>
        <w:t xml:space="preserve">: </w:t>
      </w:r>
      <w:r w:rsidR="00E04776" w:rsidRPr="00CE7A5C">
        <w:rPr>
          <w:rFonts w:cs="Arial"/>
          <w:sz w:val="22"/>
          <w:szCs w:val="22"/>
          <w:lang w:val="en-AU"/>
        </w:rPr>
        <w:t>Standards for Reporting of Diagnostic Accuracy Studies</w:t>
      </w:r>
    </w:p>
    <w:p w14:paraId="0B140C49" w14:textId="2A8011C4" w:rsidR="00242769" w:rsidRPr="00CE7A5C" w:rsidRDefault="00242769" w:rsidP="00957901">
      <w:pPr>
        <w:pStyle w:val="Body"/>
        <w:widowControl w:val="0"/>
        <w:spacing w:before="120" w:line="360" w:lineRule="auto"/>
        <w:rPr>
          <w:rStyle w:val="None"/>
          <w:rFonts w:cs="Arial"/>
          <w:b/>
          <w:bCs/>
          <w:sz w:val="22"/>
          <w:szCs w:val="22"/>
        </w:rPr>
      </w:pPr>
      <w:r>
        <w:rPr>
          <w:rStyle w:val="None"/>
          <w:rFonts w:cs="Arial"/>
          <w:b/>
          <w:bCs/>
          <w:sz w:val="22"/>
          <w:szCs w:val="22"/>
        </w:rPr>
        <w:t xml:space="preserve">TSC: </w:t>
      </w:r>
      <w:r w:rsidRPr="001613C0">
        <w:rPr>
          <w:rStyle w:val="None"/>
          <w:rFonts w:cs="Arial"/>
          <w:bCs/>
          <w:sz w:val="22"/>
          <w:szCs w:val="22"/>
        </w:rPr>
        <w:t>Trial Steering Committee</w:t>
      </w:r>
    </w:p>
    <w:p w14:paraId="43039FB3" w14:textId="363AC5C6" w:rsidR="00D97314" w:rsidRPr="00FC79C9" w:rsidRDefault="00D97314" w:rsidP="00957901">
      <w:pPr>
        <w:pStyle w:val="Body"/>
        <w:widowControl w:val="0"/>
        <w:spacing w:before="120" w:line="360" w:lineRule="auto"/>
        <w:rPr>
          <w:rStyle w:val="None"/>
          <w:rFonts w:cs="Arial"/>
          <w:sz w:val="22"/>
          <w:szCs w:val="22"/>
        </w:rPr>
      </w:pPr>
      <w:r>
        <w:rPr>
          <w:rStyle w:val="None"/>
          <w:rFonts w:cs="Arial"/>
          <w:b/>
          <w:bCs/>
          <w:sz w:val="22"/>
          <w:szCs w:val="22"/>
        </w:rPr>
        <w:t xml:space="preserve">UQ: </w:t>
      </w:r>
      <w:r>
        <w:rPr>
          <w:rStyle w:val="None"/>
          <w:rFonts w:cs="Arial"/>
          <w:sz w:val="22"/>
          <w:szCs w:val="22"/>
        </w:rPr>
        <w:t>The University of Queensland</w:t>
      </w:r>
    </w:p>
    <w:p w14:paraId="392F56EB" w14:textId="1CD21886" w:rsidR="00073A12" w:rsidRDefault="00073A12" w:rsidP="00957901">
      <w:pPr>
        <w:pStyle w:val="Body"/>
        <w:widowControl w:val="0"/>
        <w:spacing w:before="120" w:line="360" w:lineRule="auto"/>
        <w:rPr>
          <w:rStyle w:val="None"/>
          <w:rFonts w:cs="Arial"/>
          <w:b/>
          <w:bCs/>
          <w:sz w:val="22"/>
          <w:szCs w:val="22"/>
        </w:rPr>
      </w:pPr>
      <w:r w:rsidRPr="00CE7A5C">
        <w:rPr>
          <w:rStyle w:val="None"/>
          <w:rFonts w:cs="Arial"/>
          <w:b/>
          <w:bCs/>
          <w:sz w:val="22"/>
          <w:szCs w:val="22"/>
        </w:rPr>
        <w:lastRenderedPageBreak/>
        <w:t>UQCCR</w:t>
      </w:r>
      <w:r w:rsidR="00E04776">
        <w:rPr>
          <w:rStyle w:val="None"/>
          <w:rFonts w:cs="Arial"/>
          <w:b/>
          <w:bCs/>
          <w:sz w:val="22"/>
          <w:szCs w:val="22"/>
        </w:rPr>
        <w:t xml:space="preserve">: </w:t>
      </w:r>
      <w:r w:rsidR="00E04776" w:rsidRPr="000C2755">
        <w:rPr>
          <w:rStyle w:val="None"/>
          <w:rFonts w:cs="Arial"/>
          <w:bCs/>
          <w:sz w:val="22"/>
          <w:szCs w:val="22"/>
        </w:rPr>
        <w:t>The University of Queensland Centre for Clinical Research</w:t>
      </w:r>
    </w:p>
    <w:p w14:paraId="57B73962" w14:textId="58E94979" w:rsidR="000C2755" w:rsidRPr="00CE7A5C" w:rsidRDefault="000C2755" w:rsidP="00957901">
      <w:pPr>
        <w:pStyle w:val="Body"/>
        <w:widowControl w:val="0"/>
        <w:spacing w:before="120" w:line="360" w:lineRule="auto"/>
        <w:rPr>
          <w:rStyle w:val="None"/>
          <w:rFonts w:cs="Arial"/>
          <w:b/>
          <w:bCs/>
          <w:sz w:val="22"/>
          <w:szCs w:val="22"/>
        </w:rPr>
      </w:pPr>
    </w:p>
    <w:p w14:paraId="7E9B9724" w14:textId="7777777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rPr>
        <w:t>Declarations</w:t>
      </w:r>
    </w:p>
    <w:p w14:paraId="6B91739F" w14:textId="77777777" w:rsidR="004E59ED" w:rsidRPr="00CE7A5C" w:rsidRDefault="004E59ED"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Acknowledgements</w:t>
      </w:r>
    </w:p>
    <w:p w14:paraId="0166D2F9" w14:textId="03279D24" w:rsidR="004E59ED" w:rsidRPr="00CE7A5C" w:rsidRDefault="004E59ED" w:rsidP="00957901">
      <w:pPr>
        <w:pStyle w:val="Body"/>
        <w:widowControl w:val="0"/>
        <w:spacing w:before="120" w:line="360" w:lineRule="auto"/>
        <w:rPr>
          <w:rStyle w:val="None"/>
          <w:rFonts w:cs="Arial"/>
          <w:b/>
          <w:bCs/>
          <w:sz w:val="22"/>
          <w:szCs w:val="22"/>
          <w:lang w:val="en-US"/>
        </w:rPr>
      </w:pPr>
      <w:r w:rsidRPr="00CE7A5C">
        <w:rPr>
          <w:rStyle w:val="None"/>
          <w:rFonts w:cs="Arial"/>
          <w:b/>
          <w:bCs/>
          <w:sz w:val="22"/>
          <w:szCs w:val="22"/>
          <w:lang w:val="en-US"/>
        </w:rPr>
        <w:t>Authors</w:t>
      </w:r>
      <w:r w:rsidR="00052D6D" w:rsidRPr="00CE7A5C">
        <w:rPr>
          <w:rStyle w:val="None"/>
          <w:rFonts w:cs="Arial"/>
          <w:b/>
          <w:bCs/>
          <w:sz w:val="22"/>
          <w:szCs w:val="22"/>
          <w:lang w:val="en-US"/>
        </w:rPr>
        <w:t>’</w:t>
      </w:r>
      <w:r w:rsidRPr="00CE7A5C">
        <w:rPr>
          <w:rStyle w:val="None"/>
          <w:rFonts w:cs="Arial"/>
          <w:b/>
          <w:bCs/>
          <w:sz w:val="22"/>
          <w:szCs w:val="22"/>
          <w:lang w:val="en-US"/>
        </w:rPr>
        <w:t xml:space="preserve"> contributions</w:t>
      </w:r>
      <w:r w:rsidR="00052D6D" w:rsidRPr="00CE7A5C">
        <w:rPr>
          <w:rStyle w:val="None"/>
          <w:rFonts w:cs="Arial"/>
          <w:b/>
          <w:bCs/>
          <w:sz w:val="22"/>
          <w:szCs w:val="22"/>
          <w:lang w:val="en-US"/>
        </w:rPr>
        <w:t xml:space="preserve"> {31b}</w:t>
      </w:r>
    </w:p>
    <w:p w14:paraId="21456468" w14:textId="7D2C586B" w:rsidR="00C70998" w:rsidRDefault="001B314D" w:rsidP="00957901">
      <w:pPr>
        <w:pStyle w:val="Body"/>
        <w:widowControl w:val="0"/>
        <w:spacing w:line="360" w:lineRule="auto"/>
        <w:rPr>
          <w:rFonts w:cs="Arial"/>
          <w:bCs/>
          <w:sz w:val="22"/>
          <w:szCs w:val="22"/>
        </w:rPr>
      </w:pPr>
      <w:r w:rsidRPr="00AC7CB0">
        <w:rPr>
          <w:rFonts w:cs="Arial"/>
          <w:bCs/>
          <w:sz w:val="22"/>
          <w:szCs w:val="22"/>
        </w:rPr>
        <w:t>ADI, L</w:t>
      </w:r>
      <w:r w:rsidR="002E26F8">
        <w:rPr>
          <w:rFonts w:cs="Arial"/>
          <w:bCs/>
          <w:sz w:val="22"/>
          <w:szCs w:val="22"/>
        </w:rPr>
        <w:t>J</w:t>
      </w:r>
      <w:r w:rsidRPr="00AC7CB0">
        <w:rPr>
          <w:rFonts w:cs="Arial"/>
          <w:bCs/>
          <w:sz w:val="22"/>
          <w:szCs w:val="22"/>
        </w:rPr>
        <w:t>S, LC and J</w:t>
      </w:r>
      <w:r w:rsidR="002E26F8">
        <w:rPr>
          <w:rFonts w:cs="Arial"/>
          <w:bCs/>
          <w:sz w:val="22"/>
          <w:szCs w:val="22"/>
        </w:rPr>
        <w:t>A</w:t>
      </w:r>
      <w:r w:rsidRPr="00AC7CB0">
        <w:rPr>
          <w:rFonts w:cs="Arial"/>
          <w:bCs/>
          <w:sz w:val="22"/>
          <w:szCs w:val="22"/>
        </w:rPr>
        <w:t>R devised the study and led the development of the study protocol</w:t>
      </w:r>
      <w:r w:rsidR="00C57C52" w:rsidRPr="00AC7CB0">
        <w:rPr>
          <w:rFonts w:cs="Arial"/>
          <w:bCs/>
          <w:sz w:val="22"/>
          <w:szCs w:val="22"/>
        </w:rPr>
        <w:t xml:space="preserve">. </w:t>
      </w:r>
    </w:p>
    <w:p w14:paraId="273C819C" w14:textId="3696B398" w:rsidR="00C70998" w:rsidRDefault="00C70998" w:rsidP="00957901">
      <w:pPr>
        <w:pStyle w:val="Body"/>
        <w:widowControl w:val="0"/>
        <w:spacing w:line="360" w:lineRule="auto"/>
        <w:rPr>
          <w:rFonts w:cs="Arial"/>
          <w:bCs/>
          <w:sz w:val="22"/>
          <w:szCs w:val="22"/>
        </w:rPr>
      </w:pPr>
      <w:r>
        <w:rPr>
          <w:rFonts w:cs="Arial"/>
          <w:bCs/>
          <w:sz w:val="22"/>
          <w:szCs w:val="22"/>
        </w:rPr>
        <w:t>M</w:t>
      </w:r>
      <w:r w:rsidR="002D54DF">
        <w:rPr>
          <w:rFonts w:cs="Arial"/>
          <w:bCs/>
          <w:sz w:val="22"/>
          <w:szCs w:val="22"/>
        </w:rPr>
        <w:t>O</w:t>
      </w:r>
      <w:r>
        <w:rPr>
          <w:rFonts w:cs="Arial"/>
          <w:bCs/>
          <w:sz w:val="22"/>
          <w:szCs w:val="22"/>
        </w:rPr>
        <w:t xml:space="preserve">C </w:t>
      </w:r>
      <w:r w:rsidR="002E26F8">
        <w:rPr>
          <w:rFonts w:cs="Arial"/>
          <w:bCs/>
          <w:sz w:val="22"/>
          <w:szCs w:val="22"/>
        </w:rPr>
        <w:t xml:space="preserve">and JAR designed the methods to </w:t>
      </w:r>
      <w:r w:rsidR="00BB2F7E">
        <w:rPr>
          <w:rFonts w:cs="Arial"/>
          <w:bCs/>
          <w:sz w:val="22"/>
          <w:szCs w:val="22"/>
        </w:rPr>
        <w:t xml:space="preserve">implement the </w:t>
      </w:r>
      <w:r>
        <w:rPr>
          <w:rFonts w:cs="Arial"/>
          <w:bCs/>
          <w:sz w:val="22"/>
          <w:szCs w:val="22"/>
        </w:rPr>
        <w:t>dosing software</w:t>
      </w:r>
      <w:r w:rsidR="002E26F8">
        <w:rPr>
          <w:rFonts w:cs="Arial"/>
          <w:bCs/>
          <w:sz w:val="22"/>
          <w:szCs w:val="22"/>
        </w:rPr>
        <w:t xml:space="preserve"> intervention</w:t>
      </w:r>
    </w:p>
    <w:p w14:paraId="62419A06" w14:textId="00CAE7CD" w:rsidR="00C70998" w:rsidRDefault="00C70998" w:rsidP="00957901">
      <w:pPr>
        <w:pStyle w:val="Body"/>
        <w:widowControl w:val="0"/>
        <w:spacing w:line="360" w:lineRule="auto"/>
        <w:rPr>
          <w:rFonts w:cs="Arial"/>
          <w:bCs/>
          <w:sz w:val="22"/>
          <w:szCs w:val="22"/>
        </w:rPr>
      </w:pPr>
      <w:r>
        <w:rPr>
          <w:rFonts w:cs="Arial"/>
          <w:bCs/>
          <w:sz w:val="22"/>
          <w:szCs w:val="22"/>
        </w:rPr>
        <w:t>LC</w:t>
      </w:r>
      <w:r w:rsidR="00BB2F7E">
        <w:rPr>
          <w:rFonts w:cs="Arial"/>
          <w:bCs/>
          <w:sz w:val="22"/>
          <w:szCs w:val="22"/>
        </w:rPr>
        <w:t xml:space="preserve">, </w:t>
      </w:r>
      <w:r>
        <w:rPr>
          <w:rFonts w:cs="Arial"/>
          <w:bCs/>
          <w:sz w:val="22"/>
          <w:szCs w:val="22"/>
        </w:rPr>
        <w:t>SB</w:t>
      </w:r>
      <w:r w:rsidR="00BB2F7E">
        <w:rPr>
          <w:rFonts w:cs="Arial"/>
          <w:bCs/>
          <w:sz w:val="22"/>
          <w:szCs w:val="22"/>
        </w:rPr>
        <w:t xml:space="preserve"> and </w:t>
      </w:r>
      <w:r w:rsidR="009D6602">
        <w:rPr>
          <w:rFonts w:cs="Arial"/>
          <w:bCs/>
          <w:sz w:val="22"/>
          <w:szCs w:val="22"/>
        </w:rPr>
        <w:t>RB</w:t>
      </w:r>
      <w:r>
        <w:rPr>
          <w:rFonts w:cs="Arial"/>
          <w:bCs/>
          <w:sz w:val="22"/>
          <w:szCs w:val="22"/>
        </w:rPr>
        <w:t xml:space="preserve"> </w:t>
      </w:r>
      <w:r w:rsidR="00BB2F7E">
        <w:rPr>
          <w:rFonts w:cs="Arial"/>
          <w:bCs/>
          <w:sz w:val="22"/>
          <w:szCs w:val="22"/>
        </w:rPr>
        <w:t xml:space="preserve">led the </w:t>
      </w:r>
      <w:r>
        <w:rPr>
          <w:rFonts w:cs="Arial"/>
          <w:bCs/>
          <w:sz w:val="22"/>
          <w:szCs w:val="22"/>
        </w:rPr>
        <w:t>development of nanopore sequencing methods</w:t>
      </w:r>
      <w:r w:rsidR="00327EFA">
        <w:rPr>
          <w:rFonts w:cs="Arial"/>
          <w:bCs/>
          <w:sz w:val="22"/>
          <w:szCs w:val="22"/>
        </w:rPr>
        <w:t>.</w:t>
      </w:r>
    </w:p>
    <w:p w14:paraId="0340F32A" w14:textId="23DC29B2" w:rsidR="006657D4" w:rsidRDefault="006657D4" w:rsidP="00957901">
      <w:pPr>
        <w:pStyle w:val="Body"/>
        <w:widowControl w:val="0"/>
        <w:spacing w:line="360" w:lineRule="auto"/>
        <w:rPr>
          <w:rFonts w:cs="Arial"/>
          <w:bCs/>
          <w:sz w:val="22"/>
          <w:szCs w:val="22"/>
        </w:rPr>
      </w:pPr>
      <w:r>
        <w:rPr>
          <w:rFonts w:cs="Arial"/>
          <w:bCs/>
          <w:sz w:val="22"/>
          <w:szCs w:val="22"/>
        </w:rPr>
        <w:t>SAB led the development of QGID genome assembly pipeline</w:t>
      </w:r>
      <w:r w:rsidR="00E407F6">
        <w:rPr>
          <w:rFonts w:cs="Arial"/>
          <w:bCs/>
          <w:sz w:val="22"/>
          <w:szCs w:val="22"/>
        </w:rPr>
        <w:t>s</w:t>
      </w:r>
      <w:r>
        <w:rPr>
          <w:rFonts w:cs="Arial"/>
          <w:bCs/>
          <w:sz w:val="22"/>
          <w:szCs w:val="22"/>
        </w:rPr>
        <w:t>.</w:t>
      </w:r>
    </w:p>
    <w:p w14:paraId="684A3AC0" w14:textId="7EE01165" w:rsidR="002D54DF" w:rsidRDefault="002D54DF" w:rsidP="00957901">
      <w:pPr>
        <w:pStyle w:val="Body"/>
        <w:widowControl w:val="0"/>
        <w:spacing w:line="360" w:lineRule="auto"/>
        <w:rPr>
          <w:rFonts w:cs="Arial"/>
          <w:bCs/>
          <w:sz w:val="22"/>
          <w:szCs w:val="22"/>
        </w:rPr>
      </w:pPr>
      <w:r>
        <w:rPr>
          <w:rFonts w:cs="Arial"/>
          <w:bCs/>
          <w:sz w:val="22"/>
          <w:szCs w:val="22"/>
        </w:rPr>
        <w:t xml:space="preserve">M L-B </w:t>
      </w:r>
      <w:r w:rsidR="00BB2F7E">
        <w:rPr>
          <w:rFonts w:cs="Arial"/>
          <w:bCs/>
          <w:sz w:val="22"/>
          <w:szCs w:val="22"/>
        </w:rPr>
        <w:t xml:space="preserve">and PNAH led the </w:t>
      </w:r>
      <w:r>
        <w:rPr>
          <w:rFonts w:cs="Arial"/>
          <w:bCs/>
          <w:sz w:val="22"/>
          <w:szCs w:val="22"/>
        </w:rPr>
        <w:t>development of methods for sequencing from culture broth</w:t>
      </w:r>
      <w:r w:rsidR="00BB2F7E">
        <w:rPr>
          <w:rFonts w:cs="Arial"/>
          <w:bCs/>
          <w:sz w:val="22"/>
          <w:szCs w:val="22"/>
        </w:rPr>
        <w:t>.</w:t>
      </w:r>
    </w:p>
    <w:p w14:paraId="2868ABC5" w14:textId="162D1042" w:rsidR="001B314D" w:rsidRDefault="00C57C52" w:rsidP="00957901">
      <w:pPr>
        <w:pStyle w:val="Body"/>
        <w:widowControl w:val="0"/>
        <w:spacing w:line="360" w:lineRule="auto"/>
        <w:rPr>
          <w:rFonts w:cs="Arial"/>
          <w:bCs/>
          <w:sz w:val="22"/>
          <w:szCs w:val="22"/>
        </w:rPr>
      </w:pPr>
      <w:r w:rsidRPr="00AC7CB0">
        <w:rPr>
          <w:rFonts w:cs="Arial"/>
          <w:bCs/>
          <w:sz w:val="22"/>
          <w:szCs w:val="22"/>
        </w:rPr>
        <w:t>All named investigators contributed to and approved the submitted protocol.</w:t>
      </w:r>
    </w:p>
    <w:p w14:paraId="0395293B" w14:textId="77777777" w:rsidR="001B314D" w:rsidRPr="00CE7A5C" w:rsidRDefault="001B314D" w:rsidP="00957901">
      <w:pPr>
        <w:pStyle w:val="Body"/>
        <w:widowControl w:val="0"/>
        <w:spacing w:line="360" w:lineRule="auto"/>
        <w:rPr>
          <w:rFonts w:cs="Arial"/>
          <w:b/>
          <w:sz w:val="22"/>
          <w:szCs w:val="22"/>
        </w:rPr>
      </w:pPr>
    </w:p>
    <w:p w14:paraId="73384208" w14:textId="36AC5704" w:rsidR="004E59ED" w:rsidRPr="00CE7A5C" w:rsidRDefault="004E59ED" w:rsidP="00957901">
      <w:pPr>
        <w:pStyle w:val="Body"/>
        <w:widowControl w:val="0"/>
        <w:spacing w:line="360" w:lineRule="auto"/>
        <w:rPr>
          <w:rFonts w:cs="Arial"/>
          <w:b/>
          <w:sz w:val="22"/>
          <w:szCs w:val="22"/>
        </w:rPr>
      </w:pPr>
      <w:r w:rsidRPr="00CE7A5C">
        <w:rPr>
          <w:rFonts w:cs="Arial"/>
          <w:b/>
          <w:sz w:val="22"/>
          <w:szCs w:val="22"/>
        </w:rPr>
        <w:t>Funding</w:t>
      </w:r>
      <w:r w:rsidR="003744C6" w:rsidRPr="00CE7A5C">
        <w:rPr>
          <w:rFonts w:cs="Arial"/>
          <w:b/>
          <w:sz w:val="22"/>
          <w:szCs w:val="22"/>
        </w:rPr>
        <w:t xml:space="preserve"> {4}</w:t>
      </w:r>
    </w:p>
    <w:p w14:paraId="488BFEAD" w14:textId="5C08BC91" w:rsidR="004E59ED" w:rsidRPr="00CE7A5C" w:rsidRDefault="00804063" w:rsidP="00957901">
      <w:pPr>
        <w:pStyle w:val="Body"/>
        <w:widowControl w:val="0"/>
        <w:spacing w:line="360" w:lineRule="auto"/>
        <w:rPr>
          <w:rFonts w:cs="Arial"/>
          <w:color w:val="auto"/>
          <w:sz w:val="22"/>
          <w:szCs w:val="22"/>
          <w:lang w:val="en-US"/>
        </w:rPr>
      </w:pPr>
      <w:r w:rsidRPr="00CE7A5C">
        <w:rPr>
          <w:rFonts w:cs="Arial"/>
          <w:color w:val="auto"/>
          <w:sz w:val="22"/>
          <w:szCs w:val="22"/>
          <w:lang w:val="en-US"/>
        </w:rPr>
        <w:t xml:space="preserve">The DIRECT study is funded by the Queensland Genomics Health Alliance </w:t>
      </w:r>
      <w:r w:rsidR="00264A40">
        <w:rPr>
          <w:rFonts w:cs="Arial"/>
          <w:color w:val="auto"/>
          <w:sz w:val="22"/>
          <w:szCs w:val="22"/>
          <w:lang w:val="en-US"/>
        </w:rPr>
        <w:t xml:space="preserve">(QGHA) </w:t>
      </w:r>
      <w:r w:rsidRPr="00CE7A5C">
        <w:rPr>
          <w:rFonts w:cs="Arial"/>
          <w:color w:val="auto"/>
          <w:sz w:val="22"/>
          <w:szCs w:val="22"/>
          <w:lang w:val="en-US"/>
        </w:rPr>
        <w:t>Round 2</w:t>
      </w:r>
      <w:r w:rsidR="00A90A2B">
        <w:rPr>
          <w:rFonts w:cs="Arial"/>
          <w:color w:val="auto"/>
          <w:sz w:val="22"/>
          <w:szCs w:val="22"/>
          <w:lang w:val="en-US"/>
        </w:rPr>
        <w:t xml:space="preserve"> (now Queensland Genomics)</w:t>
      </w:r>
      <w:r w:rsidRPr="00CE7A5C">
        <w:rPr>
          <w:rFonts w:cs="Arial"/>
          <w:color w:val="auto"/>
          <w:sz w:val="22"/>
          <w:szCs w:val="22"/>
          <w:lang w:val="en-US"/>
        </w:rPr>
        <w:t xml:space="preserve"> clinical implementation, innovation and incubation program</w:t>
      </w:r>
      <w:r w:rsidR="00AC7CB0">
        <w:rPr>
          <w:rFonts w:cs="Arial"/>
          <w:color w:val="auto"/>
          <w:sz w:val="22"/>
          <w:szCs w:val="22"/>
          <w:lang w:val="en-US"/>
        </w:rPr>
        <w:t xml:space="preserve"> and</w:t>
      </w:r>
      <w:r w:rsidRPr="00CE7A5C">
        <w:rPr>
          <w:rFonts w:cs="Arial"/>
          <w:color w:val="auto"/>
          <w:sz w:val="22"/>
          <w:szCs w:val="22"/>
          <w:lang w:val="en-US"/>
        </w:rPr>
        <w:t xml:space="preserve"> by a Brisbane Diamantina Health Partners Health </w:t>
      </w:r>
      <w:r w:rsidR="00C70998">
        <w:rPr>
          <w:rFonts w:cs="Arial"/>
          <w:color w:val="auto"/>
          <w:sz w:val="22"/>
          <w:szCs w:val="22"/>
          <w:lang w:val="en-US"/>
        </w:rPr>
        <w:t>S</w:t>
      </w:r>
      <w:r w:rsidRPr="00CE7A5C">
        <w:rPr>
          <w:rFonts w:cs="Arial"/>
          <w:color w:val="auto"/>
          <w:sz w:val="22"/>
          <w:szCs w:val="22"/>
          <w:lang w:val="en-US"/>
        </w:rPr>
        <w:t>ystem Improvement Ideas Grant (MRFF Rapid Applied Research Translation Program).</w:t>
      </w:r>
    </w:p>
    <w:p w14:paraId="17899EFC" w14:textId="349766B2" w:rsidR="00853DD7" w:rsidRDefault="00853DD7" w:rsidP="00957901">
      <w:pPr>
        <w:pStyle w:val="Body"/>
        <w:widowControl w:val="0"/>
        <w:spacing w:before="120" w:line="360" w:lineRule="auto"/>
        <w:rPr>
          <w:rFonts w:cs="Arial"/>
          <w:sz w:val="22"/>
          <w:szCs w:val="22"/>
        </w:rPr>
      </w:pPr>
      <w:r>
        <w:rPr>
          <w:rFonts w:cs="Arial"/>
          <w:sz w:val="22"/>
          <w:szCs w:val="22"/>
        </w:rPr>
        <w:t>ADI is supported by a NHMRC Emerging Leadership Investigator Award.</w:t>
      </w:r>
    </w:p>
    <w:p w14:paraId="06F7172B" w14:textId="5514BC53" w:rsidR="004E59ED" w:rsidRDefault="00BB2F7E" w:rsidP="00957901">
      <w:pPr>
        <w:pStyle w:val="Body"/>
        <w:widowControl w:val="0"/>
        <w:spacing w:before="120" w:line="360" w:lineRule="auto"/>
        <w:rPr>
          <w:rFonts w:cs="Arial"/>
          <w:sz w:val="22"/>
          <w:szCs w:val="22"/>
        </w:rPr>
      </w:pPr>
      <w:r w:rsidRPr="00BB2F7E">
        <w:rPr>
          <w:rFonts w:cs="Arial"/>
          <w:sz w:val="22"/>
          <w:szCs w:val="22"/>
        </w:rPr>
        <w:t>LJS is supported by a practitioner fellowship by NHMRC and by the Children`s Hospital Foundation, Brisbane, Australia.</w:t>
      </w:r>
    </w:p>
    <w:p w14:paraId="14C662E3" w14:textId="5B800EE9" w:rsidR="00883C83" w:rsidRDefault="00883C83" w:rsidP="00957901">
      <w:pPr>
        <w:pStyle w:val="Body"/>
        <w:widowControl w:val="0"/>
        <w:spacing w:before="120" w:line="360" w:lineRule="auto"/>
        <w:rPr>
          <w:rFonts w:cs="Arial"/>
          <w:sz w:val="22"/>
          <w:szCs w:val="22"/>
        </w:rPr>
      </w:pPr>
      <w:r>
        <w:rPr>
          <w:rFonts w:cs="Arial"/>
          <w:sz w:val="22"/>
          <w:szCs w:val="22"/>
        </w:rPr>
        <w:t>PNAH is supported by a NHMRC Early Career Fellowship.</w:t>
      </w:r>
    </w:p>
    <w:p w14:paraId="5AC8ECD7" w14:textId="6A93778A" w:rsidR="00AB37EF" w:rsidRPr="00CE7A5C" w:rsidRDefault="00AB37EF" w:rsidP="00957901">
      <w:pPr>
        <w:pStyle w:val="Body"/>
        <w:widowControl w:val="0"/>
        <w:spacing w:before="120" w:line="360" w:lineRule="auto"/>
        <w:rPr>
          <w:rFonts w:cs="Arial"/>
          <w:sz w:val="22"/>
          <w:szCs w:val="22"/>
        </w:rPr>
      </w:pPr>
      <w:r>
        <w:rPr>
          <w:rFonts w:cs="Arial"/>
          <w:sz w:val="22"/>
          <w:szCs w:val="22"/>
        </w:rPr>
        <w:t>JAR</w:t>
      </w:r>
      <w:r w:rsidRPr="00BB2F7E">
        <w:rPr>
          <w:rFonts w:cs="Arial"/>
          <w:sz w:val="22"/>
          <w:szCs w:val="22"/>
        </w:rPr>
        <w:t xml:space="preserve"> is supported by a </w:t>
      </w:r>
      <w:r w:rsidR="00853DD7">
        <w:rPr>
          <w:rFonts w:cs="Arial"/>
          <w:sz w:val="22"/>
          <w:szCs w:val="22"/>
        </w:rPr>
        <w:t>NHMRC Practitioner Fellowship.</w:t>
      </w:r>
    </w:p>
    <w:p w14:paraId="0153AB5B" w14:textId="77777777" w:rsidR="00A60F34" w:rsidRDefault="00A60F34" w:rsidP="00957901">
      <w:pPr>
        <w:pStyle w:val="Body"/>
        <w:widowControl w:val="0"/>
        <w:spacing w:line="360" w:lineRule="auto"/>
        <w:rPr>
          <w:rFonts w:cs="Arial"/>
          <w:b/>
          <w:bCs/>
          <w:sz w:val="22"/>
          <w:szCs w:val="22"/>
        </w:rPr>
      </w:pPr>
    </w:p>
    <w:p w14:paraId="4E13BE46" w14:textId="3154126D" w:rsidR="004E59ED" w:rsidRPr="00CE7A5C" w:rsidRDefault="004E59ED" w:rsidP="00957901">
      <w:pPr>
        <w:pStyle w:val="Body"/>
        <w:widowControl w:val="0"/>
        <w:spacing w:line="360" w:lineRule="auto"/>
        <w:rPr>
          <w:rFonts w:cs="Arial"/>
          <w:b/>
          <w:bCs/>
          <w:sz w:val="22"/>
          <w:szCs w:val="22"/>
        </w:rPr>
      </w:pPr>
      <w:r w:rsidRPr="00CE7A5C">
        <w:rPr>
          <w:rFonts w:cs="Arial"/>
          <w:b/>
          <w:bCs/>
          <w:sz w:val="22"/>
          <w:szCs w:val="22"/>
        </w:rPr>
        <w:t>Availability of data and material</w:t>
      </w:r>
      <w:r w:rsidR="003744C6" w:rsidRPr="00CE7A5C">
        <w:rPr>
          <w:rFonts w:cs="Arial"/>
          <w:b/>
          <w:bCs/>
          <w:sz w:val="22"/>
          <w:szCs w:val="22"/>
        </w:rPr>
        <w:t>s {29}</w:t>
      </w:r>
    </w:p>
    <w:p w14:paraId="7841F2CE" w14:textId="769B9E61" w:rsidR="00C57C52" w:rsidRPr="00CE7A5C" w:rsidRDefault="00C57C52" w:rsidP="00957901">
      <w:pPr>
        <w:pStyle w:val="Body"/>
        <w:widowControl w:val="0"/>
        <w:spacing w:line="360" w:lineRule="auto"/>
        <w:rPr>
          <w:rStyle w:val="None"/>
          <w:rFonts w:cs="Arial"/>
          <w:color w:val="auto"/>
          <w:sz w:val="22"/>
          <w:szCs w:val="22"/>
          <w:u w:color="004C7F"/>
          <w:lang w:val="en-US"/>
        </w:rPr>
      </w:pPr>
      <w:r w:rsidRPr="00CE7A5C">
        <w:rPr>
          <w:rStyle w:val="None"/>
          <w:rFonts w:cs="Arial"/>
          <w:color w:val="auto"/>
          <w:sz w:val="22"/>
          <w:szCs w:val="22"/>
          <w:u w:color="004C7F"/>
          <w:lang w:val="en-US"/>
        </w:rPr>
        <w:t xml:space="preserve">The full dataset will be available to </w:t>
      </w:r>
      <w:r w:rsidR="00AC7CB0">
        <w:rPr>
          <w:rStyle w:val="None"/>
          <w:rFonts w:cs="Arial"/>
          <w:color w:val="auto"/>
          <w:sz w:val="22"/>
          <w:szCs w:val="22"/>
          <w:u w:color="004C7F"/>
          <w:lang w:val="en-US"/>
        </w:rPr>
        <w:t xml:space="preserve">all </w:t>
      </w:r>
      <w:r w:rsidRPr="00CE7A5C">
        <w:rPr>
          <w:rStyle w:val="None"/>
          <w:rFonts w:cs="Arial"/>
          <w:color w:val="auto"/>
          <w:sz w:val="22"/>
          <w:szCs w:val="22"/>
          <w:u w:color="004C7F"/>
          <w:lang w:val="en-US"/>
        </w:rPr>
        <w:t>chief investigators. Access to the full dataset will be made available on reasonable request.</w:t>
      </w:r>
    </w:p>
    <w:p w14:paraId="76F6269F" w14:textId="38E2BAA4" w:rsidR="004C3232" w:rsidRPr="00CE7A5C" w:rsidRDefault="00BE5A24" w:rsidP="00957901">
      <w:pPr>
        <w:pStyle w:val="Body"/>
        <w:widowControl w:val="0"/>
        <w:spacing w:before="120" w:line="360" w:lineRule="auto"/>
        <w:rPr>
          <w:rStyle w:val="None"/>
          <w:rFonts w:cs="Arial"/>
          <w:b/>
          <w:bCs/>
          <w:sz w:val="22"/>
          <w:szCs w:val="22"/>
        </w:rPr>
      </w:pPr>
      <w:r w:rsidRPr="00CE7A5C">
        <w:rPr>
          <w:rFonts w:cs="Arial"/>
          <w:b/>
          <w:bCs/>
          <w:sz w:val="22"/>
          <w:szCs w:val="22"/>
          <w:lang w:val="en-US"/>
        </w:rPr>
        <w:t>Ethics approval and consent to participate</w:t>
      </w:r>
      <w:r w:rsidR="003744C6" w:rsidRPr="00CE7A5C">
        <w:rPr>
          <w:rFonts w:cs="Arial"/>
          <w:b/>
          <w:bCs/>
          <w:sz w:val="22"/>
          <w:szCs w:val="22"/>
          <w:lang w:val="en-US"/>
        </w:rPr>
        <w:t xml:space="preserve"> {24}</w:t>
      </w:r>
    </w:p>
    <w:p w14:paraId="0D79C9C0" w14:textId="118CF955" w:rsidR="00073A12" w:rsidRPr="00CE7A5C" w:rsidRDefault="00073A12" w:rsidP="00957901">
      <w:pPr>
        <w:pStyle w:val="Default"/>
        <w:spacing w:line="360" w:lineRule="auto"/>
        <w:rPr>
          <w:rFonts w:ascii="Arial" w:hAnsi="Arial" w:cs="Arial"/>
          <w:sz w:val="22"/>
          <w:szCs w:val="22"/>
        </w:rPr>
      </w:pPr>
      <w:r w:rsidRPr="00CE7A5C">
        <w:rPr>
          <w:rFonts w:ascii="Arial" w:hAnsi="Arial" w:cs="Arial"/>
          <w:sz w:val="22"/>
          <w:szCs w:val="22"/>
        </w:rPr>
        <w:t>Ethics approval has been granted by the Children’s Health Queensland Hospital and Health Service H</w:t>
      </w:r>
      <w:r w:rsidR="00E05955">
        <w:rPr>
          <w:rFonts w:ascii="Arial" w:hAnsi="Arial" w:cs="Arial"/>
          <w:sz w:val="22"/>
          <w:szCs w:val="22"/>
        </w:rPr>
        <w:t xml:space="preserve">uman </w:t>
      </w:r>
      <w:r w:rsidRPr="00CE7A5C">
        <w:rPr>
          <w:rFonts w:ascii="Arial" w:hAnsi="Arial" w:cs="Arial"/>
          <w:sz w:val="22"/>
          <w:szCs w:val="22"/>
        </w:rPr>
        <w:t>R</w:t>
      </w:r>
      <w:r w:rsidR="00E05955">
        <w:rPr>
          <w:rFonts w:ascii="Arial" w:hAnsi="Arial" w:cs="Arial"/>
          <w:sz w:val="22"/>
          <w:szCs w:val="22"/>
        </w:rPr>
        <w:t xml:space="preserve">esearch </w:t>
      </w:r>
      <w:r w:rsidRPr="00CE7A5C">
        <w:rPr>
          <w:rFonts w:ascii="Arial" w:hAnsi="Arial" w:cs="Arial"/>
          <w:sz w:val="22"/>
          <w:szCs w:val="22"/>
        </w:rPr>
        <w:t>E</w:t>
      </w:r>
      <w:r w:rsidR="00E05955">
        <w:rPr>
          <w:rFonts w:ascii="Arial" w:hAnsi="Arial" w:cs="Arial"/>
          <w:sz w:val="22"/>
          <w:szCs w:val="22"/>
        </w:rPr>
        <w:t xml:space="preserve">thics </w:t>
      </w:r>
      <w:r w:rsidRPr="00CE7A5C">
        <w:rPr>
          <w:rFonts w:ascii="Arial" w:hAnsi="Arial" w:cs="Arial"/>
          <w:sz w:val="22"/>
          <w:szCs w:val="22"/>
        </w:rPr>
        <w:t>C</w:t>
      </w:r>
      <w:r w:rsidR="00E05955">
        <w:rPr>
          <w:rFonts w:ascii="Arial" w:hAnsi="Arial" w:cs="Arial"/>
          <w:sz w:val="22"/>
          <w:szCs w:val="22"/>
        </w:rPr>
        <w:t>ommittee (HREC)</w:t>
      </w:r>
      <w:r w:rsidRPr="00CE7A5C">
        <w:rPr>
          <w:rFonts w:ascii="Arial" w:hAnsi="Arial" w:cs="Arial"/>
          <w:sz w:val="22"/>
          <w:szCs w:val="22"/>
        </w:rPr>
        <w:t xml:space="preserve"> [HREC/19/QCHQ/55177]. Written informed consent will be obtained from all participants (or their parent or legal guardian). Approval </w:t>
      </w:r>
      <w:r w:rsidR="005C4298" w:rsidRPr="00CE7A5C">
        <w:rPr>
          <w:rFonts w:ascii="Arial" w:hAnsi="Arial" w:cs="Arial"/>
          <w:sz w:val="22"/>
          <w:szCs w:val="22"/>
        </w:rPr>
        <w:t xml:space="preserve">was granted by the Queensland Civil and Administrative Tribunal [CRL024-19] to include patients </w:t>
      </w:r>
      <w:r w:rsidR="00C57C52" w:rsidRPr="00CE7A5C">
        <w:rPr>
          <w:rFonts w:ascii="Arial" w:hAnsi="Arial" w:cs="Arial"/>
          <w:sz w:val="22"/>
          <w:szCs w:val="22"/>
        </w:rPr>
        <w:t xml:space="preserve">unable to consent for themselves </w:t>
      </w:r>
      <w:r w:rsidR="005C4298" w:rsidRPr="00CE7A5C">
        <w:rPr>
          <w:rFonts w:ascii="Arial" w:hAnsi="Arial" w:cs="Arial"/>
          <w:sz w:val="22"/>
          <w:szCs w:val="22"/>
        </w:rPr>
        <w:t>under the Guardianship and Administration Act 2000.</w:t>
      </w:r>
    </w:p>
    <w:p w14:paraId="497D0482" w14:textId="25C395D1" w:rsidR="005C4298" w:rsidRPr="00CE7A5C" w:rsidRDefault="005C4298" w:rsidP="00957901">
      <w:pPr>
        <w:pStyle w:val="Default"/>
        <w:spacing w:line="360" w:lineRule="auto"/>
        <w:rPr>
          <w:rFonts w:ascii="Arial" w:hAnsi="Arial" w:cs="Arial"/>
          <w:sz w:val="22"/>
          <w:szCs w:val="22"/>
        </w:rPr>
      </w:pPr>
    </w:p>
    <w:p w14:paraId="25B9D0C9" w14:textId="2BF6A7A9" w:rsidR="004C3232" w:rsidRPr="00CE7A5C" w:rsidRDefault="00B727C2" w:rsidP="00957901">
      <w:pPr>
        <w:pStyle w:val="Body"/>
        <w:widowControl w:val="0"/>
        <w:spacing w:line="360" w:lineRule="auto"/>
        <w:rPr>
          <w:rStyle w:val="None"/>
          <w:rFonts w:cs="Arial"/>
          <w:b/>
          <w:bCs/>
          <w:sz w:val="22"/>
          <w:szCs w:val="22"/>
        </w:rPr>
      </w:pPr>
      <w:r w:rsidRPr="00CE7A5C">
        <w:rPr>
          <w:rStyle w:val="None"/>
          <w:rFonts w:cs="Arial"/>
          <w:b/>
          <w:bCs/>
          <w:sz w:val="22"/>
          <w:szCs w:val="22"/>
          <w:lang w:val="en-US"/>
        </w:rPr>
        <w:t>Consent for publication</w:t>
      </w:r>
      <w:r w:rsidR="003744C6" w:rsidRPr="00CE7A5C">
        <w:rPr>
          <w:rStyle w:val="None"/>
          <w:rFonts w:cs="Arial"/>
          <w:b/>
          <w:bCs/>
          <w:sz w:val="22"/>
          <w:szCs w:val="22"/>
          <w:lang w:val="en-US"/>
        </w:rPr>
        <w:t xml:space="preserve"> {32}</w:t>
      </w:r>
    </w:p>
    <w:p w14:paraId="1A90AD17" w14:textId="23B6AFBD" w:rsidR="004C3232" w:rsidRPr="00CE7A5C" w:rsidRDefault="00895D13" w:rsidP="00957901">
      <w:pPr>
        <w:pStyle w:val="Body"/>
        <w:widowControl w:val="0"/>
        <w:spacing w:before="120" w:line="360" w:lineRule="auto"/>
        <w:rPr>
          <w:rStyle w:val="None"/>
          <w:rFonts w:cs="Arial"/>
          <w:b/>
          <w:bCs/>
          <w:sz w:val="22"/>
          <w:szCs w:val="22"/>
          <w:lang w:val="en-US"/>
        </w:rPr>
      </w:pPr>
      <w:r w:rsidRPr="00CE7A5C">
        <w:rPr>
          <w:rStyle w:val="None"/>
          <w:rFonts w:cs="Arial"/>
          <w:b/>
          <w:bCs/>
          <w:sz w:val="22"/>
          <w:szCs w:val="22"/>
          <w:lang w:val="en-US"/>
        </w:rPr>
        <w:lastRenderedPageBreak/>
        <w:t>Competing interests</w:t>
      </w:r>
      <w:r w:rsidR="003744C6" w:rsidRPr="00CE7A5C">
        <w:rPr>
          <w:rStyle w:val="None"/>
          <w:rFonts w:cs="Arial"/>
          <w:b/>
          <w:bCs/>
          <w:sz w:val="22"/>
          <w:szCs w:val="22"/>
          <w:lang w:val="en-US"/>
        </w:rPr>
        <w:t xml:space="preserve"> {28}</w:t>
      </w:r>
    </w:p>
    <w:p w14:paraId="0FD67A19" w14:textId="29F313FD" w:rsidR="005C4298" w:rsidRPr="00CE7A5C" w:rsidRDefault="005C4298" w:rsidP="00957901">
      <w:pPr>
        <w:pStyle w:val="Body"/>
        <w:widowControl w:val="0"/>
        <w:spacing w:line="360" w:lineRule="auto"/>
        <w:rPr>
          <w:rStyle w:val="None"/>
          <w:rFonts w:cs="Arial"/>
          <w:color w:val="auto"/>
          <w:sz w:val="22"/>
          <w:szCs w:val="22"/>
          <w:u w:color="004C7F"/>
        </w:rPr>
      </w:pPr>
      <w:r w:rsidRPr="00CE7A5C">
        <w:rPr>
          <w:rStyle w:val="None"/>
          <w:rFonts w:cs="Arial"/>
          <w:color w:val="auto"/>
          <w:sz w:val="22"/>
          <w:szCs w:val="22"/>
          <w:u w:color="004C7F"/>
        </w:rPr>
        <w:t>ADI has received research funding and teaching honoraria from Gilead Sciences inc.</w:t>
      </w:r>
      <w:r w:rsidR="00BB2F7E">
        <w:rPr>
          <w:rStyle w:val="None"/>
          <w:rFonts w:cs="Arial"/>
          <w:color w:val="auto"/>
          <w:sz w:val="22"/>
          <w:szCs w:val="22"/>
          <w:u w:color="004C7F"/>
        </w:rPr>
        <w:t xml:space="preserve"> unrelated to this work. </w:t>
      </w:r>
    </w:p>
    <w:p w14:paraId="4B725EA1" w14:textId="27AC3195" w:rsidR="00853DD7" w:rsidRDefault="00853DD7" w:rsidP="00853DD7">
      <w:pPr>
        <w:pStyle w:val="Body"/>
        <w:widowControl w:val="0"/>
        <w:spacing w:line="360" w:lineRule="auto"/>
        <w:rPr>
          <w:rStyle w:val="None"/>
          <w:rFonts w:cs="Arial"/>
          <w:color w:val="auto"/>
          <w:sz w:val="22"/>
          <w:szCs w:val="22"/>
          <w:u w:color="004C7F"/>
        </w:rPr>
      </w:pPr>
      <w:r>
        <w:rPr>
          <w:rStyle w:val="None"/>
          <w:rFonts w:cs="Arial"/>
          <w:color w:val="auto"/>
          <w:sz w:val="22"/>
          <w:szCs w:val="22"/>
          <w:u w:color="004C7F"/>
        </w:rPr>
        <w:t xml:space="preserve">DLP has </w:t>
      </w:r>
      <w:r w:rsidRPr="00853DD7">
        <w:rPr>
          <w:rStyle w:val="None"/>
          <w:rFonts w:cs="Arial"/>
          <w:color w:val="auto"/>
          <w:sz w:val="22"/>
          <w:szCs w:val="22"/>
          <w:u w:color="004C7F"/>
        </w:rPr>
        <w:t xml:space="preserve">received </w:t>
      </w:r>
      <w:r>
        <w:rPr>
          <w:rStyle w:val="None"/>
          <w:rFonts w:cs="Arial"/>
          <w:color w:val="auto"/>
          <w:sz w:val="22"/>
          <w:szCs w:val="22"/>
          <w:u w:color="004C7F"/>
        </w:rPr>
        <w:t>research funding</w:t>
      </w:r>
      <w:r w:rsidRPr="00853DD7">
        <w:rPr>
          <w:rStyle w:val="None"/>
          <w:rFonts w:cs="Arial"/>
          <w:color w:val="auto"/>
          <w:sz w:val="22"/>
          <w:szCs w:val="22"/>
          <w:u w:color="004C7F"/>
        </w:rPr>
        <w:t xml:space="preserve"> from Pfizer, Merck and Shionogi</w:t>
      </w:r>
      <w:r>
        <w:rPr>
          <w:rStyle w:val="None"/>
          <w:rFonts w:cs="Arial"/>
          <w:color w:val="auto"/>
          <w:sz w:val="22"/>
          <w:szCs w:val="22"/>
          <w:u w:color="004C7F"/>
        </w:rPr>
        <w:t xml:space="preserve"> and </w:t>
      </w:r>
      <w:r w:rsidRPr="00853DD7">
        <w:rPr>
          <w:rStyle w:val="None"/>
          <w:rFonts w:cs="Arial"/>
          <w:color w:val="auto"/>
          <w:sz w:val="22"/>
          <w:szCs w:val="22"/>
          <w:u w:color="004C7F"/>
        </w:rPr>
        <w:t>fund</w:t>
      </w:r>
      <w:r>
        <w:rPr>
          <w:rStyle w:val="None"/>
          <w:rFonts w:cs="Arial"/>
          <w:color w:val="auto"/>
          <w:sz w:val="22"/>
          <w:szCs w:val="22"/>
          <w:u w:color="004C7F"/>
        </w:rPr>
        <w:t>ing</w:t>
      </w:r>
      <w:r w:rsidRPr="00853DD7">
        <w:rPr>
          <w:rStyle w:val="None"/>
          <w:rFonts w:cs="Arial"/>
          <w:color w:val="auto"/>
          <w:sz w:val="22"/>
          <w:szCs w:val="22"/>
          <w:u w:color="004C7F"/>
        </w:rPr>
        <w:t xml:space="preserve"> for advisory boards or speaking engagements from Merck, Pfizer, </w:t>
      </w:r>
      <w:proofErr w:type="spellStart"/>
      <w:r w:rsidRPr="00853DD7">
        <w:rPr>
          <w:rStyle w:val="None"/>
          <w:rFonts w:cs="Arial"/>
          <w:color w:val="auto"/>
          <w:sz w:val="22"/>
          <w:szCs w:val="22"/>
          <w:u w:color="004C7F"/>
        </w:rPr>
        <w:t>BioMerieux</w:t>
      </w:r>
      <w:proofErr w:type="spellEnd"/>
      <w:r w:rsidRPr="00853DD7">
        <w:rPr>
          <w:rStyle w:val="None"/>
          <w:rFonts w:cs="Arial"/>
          <w:color w:val="auto"/>
          <w:sz w:val="22"/>
          <w:szCs w:val="22"/>
          <w:u w:color="004C7F"/>
        </w:rPr>
        <w:t xml:space="preserve">, Sumitomo, Accelerate, </w:t>
      </w:r>
      <w:proofErr w:type="spellStart"/>
      <w:r w:rsidRPr="00853DD7">
        <w:rPr>
          <w:rStyle w:val="None"/>
          <w:rFonts w:cs="Arial"/>
          <w:color w:val="auto"/>
          <w:sz w:val="22"/>
          <w:szCs w:val="22"/>
          <w:u w:color="004C7F"/>
        </w:rPr>
        <w:t>QPex</w:t>
      </w:r>
      <w:proofErr w:type="spellEnd"/>
      <w:r w:rsidRPr="00853DD7">
        <w:rPr>
          <w:rStyle w:val="None"/>
          <w:rFonts w:cs="Arial"/>
          <w:color w:val="auto"/>
          <w:sz w:val="22"/>
          <w:szCs w:val="22"/>
          <w:u w:color="004C7F"/>
        </w:rPr>
        <w:t xml:space="preserve"> and Entasis</w:t>
      </w:r>
      <w:r>
        <w:rPr>
          <w:rStyle w:val="None"/>
          <w:rFonts w:cs="Arial"/>
          <w:color w:val="auto"/>
          <w:sz w:val="22"/>
          <w:szCs w:val="22"/>
          <w:u w:color="004C7F"/>
        </w:rPr>
        <w:t>, unrelated to this work.</w:t>
      </w:r>
    </w:p>
    <w:p w14:paraId="07B7C26B" w14:textId="6BAC48D1" w:rsidR="005C4298" w:rsidRDefault="00BB2F7E" w:rsidP="00957901">
      <w:pPr>
        <w:pStyle w:val="Body"/>
        <w:widowControl w:val="0"/>
        <w:spacing w:line="360" w:lineRule="auto"/>
        <w:rPr>
          <w:rStyle w:val="None"/>
          <w:rFonts w:cs="Arial"/>
          <w:color w:val="auto"/>
          <w:sz w:val="22"/>
          <w:szCs w:val="22"/>
          <w:u w:color="004C7F"/>
        </w:rPr>
      </w:pPr>
      <w:r>
        <w:rPr>
          <w:rStyle w:val="None"/>
          <w:rFonts w:cs="Arial"/>
          <w:color w:val="auto"/>
          <w:sz w:val="22"/>
          <w:szCs w:val="22"/>
          <w:u w:color="004C7F"/>
        </w:rPr>
        <w:t xml:space="preserve">LC has </w:t>
      </w:r>
      <w:r w:rsidRPr="00BB2F7E">
        <w:rPr>
          <w:rStyle w:val="None"/>
          <w:rFonts w:cs="Arial"/>
          <w:color w:val="auto"/>
          <w:sz w:val="22"/>
          <w:szCs w:val="22"/>
          <w:u w:color="004C7F"/>
        </w:rPr>
        <w:t xml:space="preserve">received research funding from Oxford Nanopore Technologies unrelated to this work, </w:t>
      </w:r>
      <w:r w:rsidR="00695BC7" w:rsidRPr="00BB2F7E">
        <w:rPr>
          <w:rStyle w:val="None"/>
          <w:rFonts w:cs="Arial"/>
          <w:color w:val="auto"/>
          <w:sz w:val="22"/>
          <w:szCs w:val="22"/>
          <w:u w:color="004C7F"/>
        </w:rPr>
        <w:t>and</w:t>
      </w:r>
      <w:r w:rsidRPr="00BB2F7E">
        <w:rPr>
          <w:rStyle w:val="None"/>
          <w:rFonts w:cs="Arial"/>
          <w:color w:val="auto"/>
          <w:sz w:val="22"/>
          <w:szCs w:val="22"/>
          <w:u w:color="004C7F"/>
        </w:rPr>
        <w:t xml:space="preserve"> received travel reimbursement to travel to a conference.</w:t>
      </w:r>
    </w:p>
    <w:p w14:paraId="1101E5DC" w14:textId="365DC778" w:rsidR="00AB37EF" w:rsidRDefault="00AB37EF" w:rsidP="00957901">
      <w:pPr>
        <w:pStyle w:val="Body"/>
        <w:widowControl w:val="0"/>
        <w:spacing w:line="360" w:lineRule="auto"/>
        <w:rPr>
          <w:rFonts w:cs="Arial"/>
          <w:color w:val="auto"/>
          <w:sz w:val="22"/>
          <w:szCs w:val="22"/>
          <w:u w:color="004C7F"/>
          <w:lang w:val="en-US"/>
        </w:rPr>
      </w:pPr>
      <w:r w:rsidRPr="001613C0">
        <w:rPr>
          <w:rStyle w:val="None"/>
          <w:rFonts w:cs="Arial"/>
          <w:color w:val="auto"/>
          <w:sz w:val="22"/>
          <w:szCs w:val="22"/>
          <w:u w:color="004C7F"/>
        </w:rPr>
        <w:t xml:space="preserve">JAR has consulted for or received grants from The Medicines Company, </w:t>
      </w:r>
      <w:r w:rsidRPr="001613C0">
        <w:rPr>
          <w:rFonts w:cs="Arial"/>
          <w:color w:val="auto"/>
          <w:sz w:val="22"/>
          <w:szCs w:val="22"/>
          <w:u w:color="004C7F"/>
          <w:lang w:val="en-US"/>
        </w:rPr>
        <w:t xml:space="preserve">MSD, </w:t>
      </w:r>
      <w:proofErr w:type="spellStart"/>
      <w:r w:rsidRPr="001613C0">
        <w:rPr>
          <w:rFonts w:cs="Arial"/>
          <w:color w:val="auto"/>
          <w:sz w:val="22"/>
          <w:szCs w:val="22"/>
          <w:u w:color="004C7F"/>
          <w:lang w:val="en-US"/>
        </w:rPr>
        <w:t>Biomerieux</w:t>
      </w:r>
      <w:proofErr w:type="spellEnd"/>
      <w:r w:rsidRPr="001613C0">
        <w:rPr>
          <w:rFonts w:cs="Arial"/>
          <w:color w:val="auto"/>
          <w:sz w:val="22"/>
          <w:szCs w:val="22"/>
          <w:u w:color="004C7F"/>
          <w:lang w:val="en-US"/>
        </w:rPr>
        <w:t xml:space="preserve">, QPEX, Pfizer and </w:t>
      </w:r>
      <w:proofErr w:type="spellStart"/>
      <w:r w:rsidRPr="001613C0">
        <w:rPr>
          <w:rFonts w:cs="Arial"/>
          <w:color w:val="auto"/>
          <w:sz w:val="22"/>
          <w:szCs w:val="22"/>
          <w:u w:color="004C7F"/>
          <w:lang w:val="en-US"/>
        </w:rPr>
        <w:t>Discuva</w:t>
      </w:r>
      <w:proofErr w:type="spellEnd"/>
      <w:r w:rsidRPr="001613C0">
        <w:rPr>
          <w:rFonts w:cs="Arial"/>
          <w:color w:val="auto"/>
          <w:sz w:val="22"/>
          <w:szCs w:val="22"/>
          <w:u w:color="004C7F"/>
          <w:lang w:val="en-US"/>
        </w:rPr>
        <w:t>.</w:t>
      </w:r>
    </w:p>
    <w:p w14:paraId="46BA145F" w14:textId="77777777" w:rsidR="00853DD7" w:rsidRPr="001613C0" w:rsidRDefault="00853DD7" w:rsidP="00957901">
      <w:pPr>
        <w:pStyle w:val="Body"/>
        <w:widowControl w:val="0"/>
        <w:spacing w:line="360" w:lineRule="auto"/>
        <w:rPr>
          <w:rStyle w:val="None"/>
          <w:rFonts w:cs="Arial"/>
          <w:color w:val="auto"/>
          <w:sz w:val="22"/>
          <w:szCs w:val="22"/>
          <w:u w:color="004C7F"/>
        </w:rPr>
      </w:pPr>
    </w:p>
    <w:p w14:paraId="58CDBCEA" w14:textId="526195F1" w:rsidR="005C4298" w:rsidRPr="001613C0" w:rsidRDefault="005C4298" w:rsidP="00957901">
      <w:pPr>
        <w:pStyle w:val="Body"/>
        <w:widowControl w:val="0"/>
        <w:spacing w:line="360" w:lineRule="auto"/>
        <w:rPr>
          <w:rStyle w:val="None"/>
          <w:rFonts w:cs="Arial"/>
          <w:color w:val="auto"/>
          <w:sz w:val="22"/>
          <w:szCs w:val="22"/>
          <w:u w:color="004C7F"/>
        </w:rPr>
      </w:pPr>
    </w:p>
    <w:p w14:paraId="04C226C8" w14:textId="77777777" w:rsidR="005C4298" w:rsidRPr="00CE7A5C" w:rsidRDefault="005C4298" w:rsidP="00957901">
      <w:pPr>
        <w:pStyle w:val="Body"/>
        <w:widowControl w:val="0"/>
        <w:spacing w:line="360" w:lineRule="auto"/>
        <w:rPr>
          <w:rStyle w:val="None"/>
          <w:rFonts w:cs="Arial"/>
          <w:color w:val="004C7F"/>
          <w:sz w:val="22"/>
          <w:szCs w:val="22"/>
          <w:u w:color="004C7F"/>
        </w:rPr>
      </w:pPr>
    </w:p>
    <w:p w14:paraId="6F6234E1" w14:textId="77777777" w:rsidR="004C3232" w:rsidRPr="00CE7A5C" w:rsidRDefault="00B727C2" w:rsidP="00957901">
      <w:pPr>
        <w:pStyle w:val="Body"/>
        <w:widowControl w:val="0"/>
        <w:spacing w:before="120" w:line="360" w:lineRule="auto"/>
        <w:rPr>
          <w:rStyle w:val="None"/>
          <w:rFonts w:cs="Arial"/>
          <w:b/>
          <w:bCs/>
          <w:sz w:val="22"/>
          <w:szCs w:val="22"/>
        </w:rPr>
      </w:pPr>
      <w:r w:rsidRPr="00CE7A5C">
        <w:rPr>
          <w:rStyle w:val="None"/>
          <w:rFonts w:cs="Arial"/>
          <w:b/>
          <w:bCs/>
          <w:sz w:val="22"/>
          <w:szCs w:val="22"/>
          <w:lang w:val="en-US"/>
        </w:rPr>
        <w:t>Authors</w:t>
      </w:r>
      <w:r w:rsidRPr="00CE7A5C">
        <w:rPr>
          <w:rStyle w:val="None"/>
          <w:rFonts w:cs="Arial"/>
          <w:b/>
          <w:bCs/>
          <w:sz w:val="22"/>
          <w:szCs w:val="22"/>
        </w:rPr>
        <w:t xml:space="preserve">’ </w:t>
      </w:r>
      <w:r w:rsidRPr="00753DCD">
        <w:rPr>
          <w:rStyle w:val="None"/>
          <w:rFonts w:cs="Arial"/>
          <w:b/>
          <w:bCs/>
          <w:sz w:val="22"/>
          <w:szCs w:val="22"/>
        </w:rPr>
        <w:t xml:space="preserve">information (optional) </w:t>
      </w:r>
    </w:p>
    <w:p w14:paraId="23F53C81" w14:textId="77777777" w:rsidR="004C3232" w:rsidRPr="00CE7A5C" w:rsidRDefault="004C3232" w:rsidP="00957901">
      <w:pPr>
        <w:pStyle w:val="Body"/>
        <w:widowControl w:val="0"/>
        <w:spacing w:before="120" w:line="360" w:lineRule="auto"/>
        <w:jc w:val="both"/>
        <w:rPr>
          <w:rFonts w:cs="Arial"/>
          <w:sz w:val="22"/>
          <w:szCs w:val="22"/>
        </w:rPr>
      </w:pPr>
    </w:p>
    <w:p w14:paraId="7D89E307" w14:textId="77777777" w:rsidR="001E2DD8" w:rsidRPr="00753DCD" w:rsidRDefault="001E2DD8">
      <w:pPr>
        <w:rPr>
          <w:rStyle w:val="None"/>
          <w:rFonts w:ascii="Arial" w:hAnsi="Arial" w:cs="Arial"/>
          <w:b/>
          <w:bCs/>
          <w:color w:val="000000"/>
          <w:sz w:val="22"/>
          <w:szCs w:val="22"/>
          <w:u w:color="000000"/>
          <w:lang w:val="en-GB"/>
        </w:rPr>
      </w:pPr>
      <w:r w:rsidRPr="00753DCD">
        <w:rPr>
          <w:rStyle w:val="None"/>
          <w:rFonts w:cs="Arial"/>
          <w:b/>
          <w:bCs/>
          <w:sz w:val="22"/>
          <w:szCs w:val="22"/>
          <w:lang w:val="en-GB"/>
        </w:rPr>
        <w:br w:type="page"/>
      </w:r>
    </w:p>
    <w:p w14:paraId="121EDDA2" w14:textId="6A634639" w:rsidR="004C3232" w:rsidRPr="00CE7A5C" w:rsidRDefault="00B727C2" w:rsidP="00957901">
      <w:pPr>
        <w:pStyle w:val="Body"/>
        <w:widowControl w:val="0"/>
        <w:spacing w:before="120" w:line="360" w:lineRule="auto"/>
        <w:rPr>
          <w:rStyle w:val="None"/>
          <w:rFonts w:cs="Arial"/>
          <w:b/>
          <w:bCs/>
          <w:sz w:val="22"/>
          <w:szCs w:val="22"/>
        </w:rPr>
      </w:pPr>
      <w:r w:rsidRPr="00753DCD">
        <w:rPr>
          <w:rStyle w:val="None"/>
          <w:rFonts w:cs="Arial"/>
          <w:b/>
          <w:bCs/>
          <w:sz w:val="22"/>
          <w:szCs w:val="22"/>
        </w:rPr>
        <w:lastRenderedPageBreak/>
        <w:t>References</w:t>
      </w:r>
    </w:p>
    <w:p w14:paraId="16D7C932" w14:textId="77777777" w:rsidR="00191AB9" w:rsidRPr="00191AB9" w:rsidRDefault="005C4298" w:rsidP="00191AB9">
      <w:pPr>
        <w:pStyle w:val="Bibliography"/>
        <w:rPr>
          <w:rFonts w:ascii="Arial" w:hAnsi="Arial" w:cs="Arial"/>
          <w:sz w:val="22"/>
        </w:rPr>
      </w:pPr>
      <w:r w:rsidRPr="00CE7A5C">
        <w:rPr>
          <w:rFonts w:ascii="Arial" w:hAnsi="Arial" w:cs="Arial"/>
          <w:b/>
          <w:bCs/>
          <w:sz w:val="22"/>
          <w:szCs w:val="22"/>
        </w:rPr>
        <w:fldChar w:fldCharType="begin"/>
      </w:r>
      <w:r w:rsidR="00692189">
        <w:rPr>
          <w:rFonts w:ascii="Arial" w:hAnsi="Arial" w:cs="Arial"/>
          <w:b/>
          <w:bCs/>
          <w:sz w:val="22"/>
          <w:szCs w:val="22"/>
        </w:rPr>
        <w:instrText xml:space="preserve"> ADDIN ZOTERO_BIBL {"uncited":[],"omitted":[],"custom":[]} CSL_BIBLIOGRAPHY </w:instrText>
      </w:r>
      <w:r w:rsidRPr="00CE7A5C">
        <w:rPr>
          <w:rFonts w:ascii="Arial" w:hAnsi="Arial" w:cs="Arial"/>
          <w:b/>
          <w:bCs/>
          <w:sz w:val="22"/>
          <w:szCs w:val="22"/>
        </w:rPr>
        <w:fldChar w:fldCharType="separate"/>
      </w:r>
      <w:r w:rsidR="00191AB9" w:rsidRPr="00191AB9">
        <w:rPr>
          <w:rFonts w:ascii="Arial" w:hAnsi="Arial" w:cs="Arial"/>
          <w:sz w:val="22"/>
        </w:rPr>
        <w:t>1.</w:t>
      </w:r>
      <w:r w:rsidR="00191AB9" w:rsidRPr="00191AB9">
        <w:rPr>
          <w:rFonts w:ascii="Arial" w:hAnsi="Arial" w:cs="Arial"/>
          <w:sz w:val="22"/>
        </w:rPr>
        <w:tab/>
        <w:t xml:space="preserve">Chan, A.-W. </w:t>
      </w:r>
      <w:r w:rsidR="00191AB9" w:rsidRPr="00191AB9">
        <w:rPr>
          <w:rFonts w:ascii="Arial" w:hAnsi="Arial" w:cs="Arial"/>
          <w:i/>
          <w:iCs/>
          <w:sz w:val="22"/>
        </w:rPr>
        <w:t>et al.</w:t>
      </w:r>
      <w:r w:rsidR="00191AB9" w:rsidRPr="00191AB9">
        <w:rPr>
          <w:rFonts w:ascii="Arial" w:hAnsi="Arial" w:cs="Arial"/>
          <w:sz w:val="22"/>
        </w:rPr>
        <w:t xml:space="preserve"> SPIRIT 2013 Statement: Defining Standard Protocol Items for Clinical Trials. </w:t>
      </w:r>
      <w:r w:rsidR="00191AB9" w:rsidRPr="00191AB9">
        <w:rPr>
          <w:rFonts w:ascii="Arial" w:hAnsi="Arial" w:cs="Arial"/>
          <w:i/>
          <w:iCs/>
          <w:sz w:val="22"/>
        </w:rPr>
        <w:t>Ann. Intern. Med.</w:t>
      </w:r>
      <w:r w:rsidR="00191AB9" w:rsidRPr="00191AB9">
        <w:rPr>
          <w:rFonts w:ascii="Arial" w:hAnsi="Arial" w:cs="Arial"/>
          <w:sz w:val="22"/>
        </w:rPr>
        <w:t xml:space="preserve"> </w:t>
      </w:r>
      <w:r w:rsidR="00191AB9" w:rsidRPr="00191AB9">
        <w:rPr>
          <w:rFonts w:ascii="Arial" w:hAnsi="Arial" w:cs="Arial"/>
          <w:b/>
          <w:bCs/>
          <w:sz w:val="22"/>
        </w:rPr>
        <w:t>158</w:t>
      </w:r>
      <w:r w:rsidR="00191AB9" w:rsidRPr="00191AB9">
        <w:rPr>
          <w:rFonts w:ascii="Arial" w:hAnsi="Arial" w:cs="Arial"/>
          <w:sz w:val="22"/>
        </w:rPr>
        <w:t>, 200 (2013).</w:t>
      </w:r>
    </w:p>
    <w:p w14:paraId="6F4E43AD" w14:textId="77777777" w:rsidR="00191AB9" w:rsidRPr="00191AB9" w:rsidRDefault="00191AB9" w:rsidP="00191AB9">
      <w:pPr>
        <w:pStyle w:val="Bibliography"/>
        <w:rPr>
          <w:rFonts w:ascii="Arial" w:hAnsi="Arial" w:cs="Arial"/>
          <w:sz w:val="22"/>
        </w:rPr>
      </w:pPr>
      <w:r w:rsidRPr="00191AB9">
        <w:rPr>
          <w:rFonts w:ascii="Arial" w:hAnsi="Arial" w:cs="Arial"/>
          <w:sz w:val="22"/>
        </w:rPr>
        <w:t>2.</w:t>
      </w:r>
      <w:r w:rsidRPr="00191AB9">
        <w:rPr>
          <w:rFonts w:ascii="Arial" w:hAnsi="Arial" w:cs="Arial"/>
          <w:sz w:val="22"/>
        </w:rPr>
        <w:tab/>
        <w:t xml:space="preserve">Schlapbach, L. J. </w:t>
      </w:r>
      <w:r w:rsidRPr="00191AB9">
        <w:rPr>
          <w:rFonts w:ascii="Arial" w:hAnsi="Arial" w:cs="Arial"/>
          <w:i/>
          <w:iCs/>
          <w:sz w:val="22"/>
        </w:rPr>
        <w:t>et al.</w:t>
      </w:r>
      <w:r w:rsidRPr="00191AB9">
        <w:rPr>
          <w:rFonts w:ascii="Arial" w:hAnsi="Arial" w:cs="Arial"/>
          <w:sz w:val="22"/>
        </w:rPr>
        <w:t xml:space="preserve"> Mortality related to invasive infections, sepsis, and septic shock in critically ill children in Australia and New Zealand, 2002–13: a multicentre retrospective cohort study. </w:t>
      </w:r>
      <w:r w:rsidRPr="00191AB9">
        <w:rPr>
          <w:rFonts w:ascii="Arial" w:hAnsi="Arial" w:cs="Arial"/>
          <w:i/>
          <w:iCs/>
          <w:sz w:val="22"/>
        </w:rPr>
        <w:t>Lancet Infect. Dis.</w:t>
      </w:r>
      <w:r w:rsidRPr="00191AB9">
        <w:rPr>
          <w:rFonts w:ascii="Arial" w:hAnsi="Arial" w:cs="Arial"/>
          <w:sz w:val="22"/>
        </w:rPr>
        <w:t xml:space="preserve"> </w:t>
      </w:r>
      <w:r w:rsidRPr="00191AB9">
        <w:rPr>
          <w:rFonts w:ascii="Arial" w:hAnsi="Arial" w:cs="Arial"/>
          <w:b/>
          <w:bCs/>
          <w:sz w:val="22"/>
        </w:rPr>
        <w:t>15</w:t>
      </w:r>
      <w:r w:rsidRPr="00191AB9">
        <w:rPr>
          <w:rFonts w:ascii="Arial" w:hAnsi="Arial" w:cs="Arial"/>
          <w:sz w:val="22"/>
        </w:rPr>
        <w:t>, 46–54 (2015).</w:t>
      </w:r>
    </w:p>
    <w:p w14:paraId="28872CC0" w14:textId="77777777" w:rsidR="00191AB9" w:rsidRPr="00191AB9" w:rsidRDefault="00191AB9" w:rsidP="00191AB9">
      <w:pPr>
        <w:pStyle w:val="Bibliography"/>
        <w:rPr>
          <w:rFonts w:ascii="Arial" w:hAnsi="Arial" w:cs="Arial"/>
          <w:sz w:val="22"/>
        </w:rPr>
      </w:pPr>
      <w:r w:rsidRPr="00191AB9">
        <w:rPr>
          <w:rFonts w:ascii="Arial" w:hAnsi="Arial" w:cs="Arial"/>
          <w:sz w:val="22"/>
        </w:rPr>
        <w:t>3.</w:t>
      </w:r>
      <w:r w:rsidRPr="00191AB9">
        <w:rPr>
          <w:rFonts w:ascii="Arial" w:hAnsi="Arial" w:cs="Arial"/>
          <w:sz w:val="22"/>
        </w:rPr>
        <w:tab/>
        <w:t xml:space="preserve">Fleischmann-Struzek, C. </w:t>
      </w:r>
      <w:r w:rsidRPr="00191AB9">
        <w:rPr>
          <w:rFonts w:ascii="Arial" w:hAnsi="Arial" w:cs="Arial"/>
          <w:i/>
          <w:iCs/>
          <w:sz w:val="22"/>
        </w:rPr>
        <w:t>et al.</w:t>
      </w:r>
      <w:r w:rsidRPr="00191AB9">
        <w:rPr>
          <w:rFonts w:ascii="Arial" w:hAnsi="Arial" w:cs="Arial"/>
          <w:sz w:val="22"/>
        </w:rPr>
        <w:t xml:space="preserve"> The global burden of paediatric and neonatal sepsis: a systematic review. </w:t>
      </w:r>
      <w:r w:rsidRPr="00191AB9">
        <w:rPr>
          <w:rFonts w:ascii="Arial" w:hAnsi="Arial" w:cs="Arial"/>
          <w:i/>
          <w:iCs/>
          <w:sz w:val="22"/>
        </w:rPr>
        <w:t>Lancet Respir Med</w:t>
      </w:r>
      <w:r w:rsidRPr="00191AB9">
        <w:rPr>
          <w:rFonts w:ascii="Arial" w:hAnsi="Arial" w:cs="Arial"/>
          <w:sz w:val="22"/>
        </w:rPr>
        <w:t xml:space="preserve"> </w:t>
      </w:r>
      <w:r w:rsidRPr="00191AB9">
        <w:rPr>
          <w:rFonts w:ascii="Arial" w:hAnsi="Arial" w:cs="Arial"/>
          <w:b/>
          <w:bCs/>
          <w:sz w:val="22"/>
        </w:rPr>
        <w:t>6</w:t>
      </w:r>
      <w:r w:rsidRPr="00191AB9">
        <w:rPr>
          <w:rFonts w:ascii="Arial" w:hAnsi="Arial" w:cs="Arial"/>
          <w:sz w:val="22"/>
        </w:rPr>
        <w:t>, 223–230 (2018).</w:t>
      </w:r>
    </w:p>
    <w:p w14:paraId="64CC809D" w14:textId="77777777" w:rsidR="00191AB9" w:rsidRPr="00191AB9" w:rsidRDefault="00191AB9" w:rsidP="00191AB9">
      <w:pPr>
        <w:pStyle w:val="Bibliography"/>
        <w:rPr>
          <w:rFonts w:ascii="Arial" w:hAnsi="Arial" w:cs="Arial"/>
          <w:sz w:val="22"/>
        </w:rPr>
      </w:pPr>
      <w:r w:rsidRPr="00191AB9">
        <w:rPr>
          <w:rFonts w:ascii="Arial" w:hAnsi="Arial" w:cs="Arial"/>
          <w:sz w:val="22"/>
        </w:rPr>
        <w:t>4.</w:t>
      </w:r>
      <w:r w:rsidRPr="00191AB9">
        <w:rPr>
          <w:rFonts w:ascii="Arial" w:hAnsi="Arial" w:cs="Arial"/>
          <w:sz w:val="22"/>
        </w:rPr>
        <w:tab/>
        <w:t xml:space="preserve">Rudd, K. E. </w:t>
      </w:r>
      <w:r w:rsidRPr="00191AB9">
        <w:rPr>
          <w:rFonts w:ascii="Arial" w:hAnsi="Arial" w:cs="Arial"/>
          <w:i/>
          <w:iCs/>
          <w:sz w:val="22"/>
        </w:rPr>
        <w:t>et al.</w:t>
      </w:r>
      <w:r w:rsidRPr="00191AB9">
        <w:rPr>
          <w:rFonts w:ascii="Arial" w:hAnsi="Arial" w:cs="Arial"/>
          <w:sz w:val="22"/>
        </w:rPr>
        <w:t xml:space="preserve"> Global, regional, and national sepsis incidence and mortality, 1990–2017: analysis for the Global Burden of Disease Study. </w:t>
      </w:r>
      <w:r w:rsidRPr="00191AB9">
        <w:rPr>
          <w:rFonts w:ascii="Arial" w:hAnsi="Arial" w:cs="Arial"/>
          <w:i/>
          <w:iCs/>
          <w:sz w:val="22"/>
        </w:rPr>
        <w:t>The Lancet</w:t>
      </w:r>
      <w:r w:rsidRPr="00191AB9">
        <w:rPr>
          <w:rFonts w:ascii="Arial" w:hAnsi="Arial" w:cs="Arial"/>
          <w:sz w:val="22"/>
        </w:rPr>
        <w:t xml:space="preserve"> </w:t>
      </w:r>
      <w:r w:rsidRPr="00191AB9">
        <w:rPr>
          <w:rFonts w:ascii="Arial" w:hAnsi="Arial" w:cs="Arial"/>
          <w:b/>
          <w:bCs/>
          <w:sz w:val="22"/>
        </w:rPr>
        <w:t>395</w:t>
      </w:r>
      <w:r w:rsidRPr="00191AB9">
        <w:rPr>
          <w:rFonts w:ascii="Arial" w:hAnsi="Arial" w:cs="Arial"/>
          <w:sz w:val="22"/>
        </w:rPr>
        <w:t>, 200–211 (2020).</w:t>
      </w:r>
    </w:p>
    <w:p w14:paraId="146EF016" w14:textId="77777777" w:rsidR="00191AB9" w:rsidRPr="00191AB9" w:rsidRDefault="00191AB9" w:rsidP="00191AB9">
      <w:pPr>
        <w:pStyle w:val="Bibliography"/>
        <w:rPr>
          <w:rFonts w:ascii="Arial" w:hAnsi="Arial" w:cs="Arial"/>
          <w:sz w:val="22"/>
        </w:rPr>
      </w:pPr>
      <w:r w:rsidRPr="00191AB9">
        <w:rPr>
          <w:rFonts w:ascii="Arial" w:hAnsi="Arial" w:cs="Arial"/>
          <w:sz w:val="22"/>
        </w:rPr>
        <w:t>5.</w:t>
      </w:r>
      <w:r w:rsidRPr="00191AB9">
        <w:rPr>
          <w:rFonts w:ascii="Arial" w:hAnsi="Arial" w:cs="Arial"/>
          <w:sz w:val="22"/>
        </w:rPr>
        <w:tab/>
        <w:t xml:space="preserve">Rhodes, A. </w:t>
      </w:r>
      <w:r w:rsidRPr="00191AB9">
        <w:rPr>
          <w:rFonts w:ascii="Arial" w:hAnsi="Arial" w:cs="Arial"/>
          <w:i/>
          <w:iCs/>
          <w:sz w:val="22"/>
        </w:rPr>
        <w:t>et al.</w:t>
      </w:r>
      <w:r w:rsidRPr="00191AB9">
        <w:rPr>
          <w:rFonts w:ascii="Arial" w:hAnsi="Arial" w:cs="Arial"/>
          <w:sz w:val="22"/>
        </w:rPr>
        <w:t xml:space="preserve"> Surviving Sepsis Campaign: International Guidelines for Management of Sepsis and Septic Shock. </w:t>
      </w:r>
      <w:r w:rsidRPr="00191AB9">
        <w:rPr>
          <w:rFonts w:ascii="Arial" w:hAnsi="Arial" w:cs="Arial"/>
          <w:i/>
          <w:iCs/>
          <w:sz w:val="22"/>
        </w:rPr>
        <w:t>Crit. Care Med.</w:t>
      </w:r>
      <w:r w:rsidRPr="00191AB9">
        <w:rPr>
          <w:rFonts w:ascii="Arial" w:hAnsi="Arial" w:cs="Arial"/>
          <w:sz w:val="22"/>
        </w:rPr>
        <w:t xml:space="preserve"> </w:t>
      </w:r>
      <w:r w:rsidRPr="00191AB9">
        <w:rPr>
          <w:rFonts w:ascii="Arial" w:hAnsi="Arial" w:cs="Arial"/>
          <w:b/>
          <w:bCs/>
          <w:sz w:val="22"/>
        </w:rPr>
        <w:t>45</w:t>
      </w:r>
      <w:r w:rsidRPr="00191AB9">
        <w:rPr>
          <w:rFonts w:ascii="Arial" w:hAnsi="Arial" w:cs="Arial"/>
          <w:sz w:val="22"/>
        </w:rPr>
        <w:t>, 486–552 (2017).</w:t>
      </w:r>
    </w:p>
    <w:p w14:paraId="7EFD48CA" w14:textId="77777777" w:rsidR="00191AB9" w:rsidRPr="00191AB9" w:rsidRDefault="00191AB9" w:rsidP="00191AB9">
      <w:pPr>
        <w:pStyle w:val="Bibliography"/>
        <w:rPr>
          <w:rFonts w:ascii="Arial" w:hAnsi="Arial" w:cs="Arial"/>
          <w:sz w:val="22"/>
        </w:rPr>
      </w:pPr>
      <w:r w:rsidRPr="00191AB9">
        <w:rPr>
          <w:rFonts w:ascii="Arial" w:hAnsi="Arial" w:cs="Arial"/>
          <w:sz w:val="22"/>
        </w:rPr>
        <w:t>6.</w:t>
      </w:r>
      <w:r w:rsidRPr="00191AB9">
        <w:rPr>
          <w:rFonts w:ascii="Arial" w:hAnsi="Arial" w:cs="Arial"/>
          <w:sz w:val="22"/>
        </w:rPr>
        <w:tab/>
        <w:t xml:space="preserve">Kumar, A. </w:t>
      </w:r>
      <w:r w:rsidRPr="00191AB9">
        <w:rPr>
          <w:rFonts w:ascii="Arial" w:hAnsi="Arial" w:cs="Arial"/>
          <w:i/>
          <w:iCs/>
          <w:sz w:val="22"/>
        </w:rPr>
        <w:t>et al.</w:t>
      </w:r>
      <w:r w:rsidRPr="00191AB9">
        <w:rPr>
          <w:rFonts w:ascii="Arial" w:hAnsi="Arial" w:cs="Arial"/>
          <w:sz w:val="22"/>
        </w:rPr>
        <w:t xml:space="preserve"> Initiation of inappropriate antimicrobial therapy results in a fivefold reduction of survival in human septic shock. </w:t>
      </w:r>
      <w:r w:rsidRPr="00191AB9">
        <w:rPr>
          <w:rFonts w:ascii="Arial" w:hAnsi="Arial" w:cs="Arial"/>
          <w:i/>
          <w:iCs/>
          <w:sz w:val="22"/>
        </w:rPr>
        <w:t>Chest</w:t>
      </w:r>
      <w:r w:rsidRPr="00191AB9">
        <w:rPr>
          <w:rFonts w:ascii="Arial" w:hAnsi="Arial" w:cs="Arial"/>
          <w:sz w:val="22"/>
        </w:rPr>
        <w:t xml:space="preserve"> </w:t>
      </w:r>
      <w:r w:rsidRPr="00191AB9">
        <w:rPr>
          <w:rFonts w:ascii="Arial" w:hAnsi="Arial" w:cs="Arial"/>
          <w:b/>
          <w:bCs/>
          <w:sz w:val="22"/>
        </w:rPr>
        <w:t>136</w:t>
      </w:r>
      <w:r w:rsidRPr="00191AB9">
        <w:rPr>
          <w:rFonts w:ascii="Arial" w:hAnsi="Arial" w:cs="Arial"/>
          <w:sz w:val="22"/>
        </w:rPr>
        <w:t>, 1237–48 (2009).</w:t>
      </w:r>
    </w:p>
    <w:p w14:paraId="55DE748D" w14:textId="77777777" w:rsidR="00191AB9" w:rsidRPr="00191AB9" w:rsidRDefault="00191AB9" w:rsidP="00191AB9">
      <w:pPr>
        <w:pStyle w:val="Bibliography"/>
        <w:rPr>
          <w:rFonts w:ascii="Arial" w:hAnsi="Arial" w:cs="Arial"/>
          <w:sz w:val="22"/>
        </w:rPr>
      </w:pPr>
      <w:r w:rsidRPr="00191AB9">
        <w:rPr>
          <w:rFonts w:ascii="Arial" w:hAnsi="Arial" w:cs="Arial"/>
          <w:sz w:val="22"/>
        </w:rPr>
        <w:t>7.</w:t>
      </w:r>
      <w:r w:rsidRPr="00191AB9">
        <w:rPr>
          <w:rFonts w:ascii="Arial" w:hAnsi="Arial" w:cs="Arial"/>
          <w:sz w:val="22"/>
        </w:rPr>
        <w:tab/>
        <w:t xml:space="preserve">Seymour, C. W. </w:t>
      </w:r>
      <w:r w:rsidRPr="00191AB9">
        <w:rPr>
          <w:rFonts w:ascii="Arial" w:hAnsi="Arial" w:cs="Arial"/>
          <w:i/>
          <w:iCs/>
          <w:sz w:val="22"/>
        </w:rPr>
        <w:t>et al.</w:t>
      </w:r>
      <w:r w:rsidRPr="00191AB9">
        <w:rPr>
          <w:rFonts w:ascii="Arial" w:hAnsi="Arial" w:cs="Arial"/>
          <w:sz w:val="22"/>
        </w:rPr>
        <w:t xml:space="preserve"> Time to Treatment and Mortality during Mandated Emergency Care for Sepsis. </w:t>
      </w:r>
      <w:r w:rsidRPr="00191AB9">
        <w:rPr>
          <w:rFonts w:ascii="Arial" w:hAnsi="Arial" w:cs="Arial"/>
          <w:i/>
          <w:iCs/>
          <w:sz w:val="22"/>
        </w:rPr>
        <w:t>N. Engl. J. Med.</w:t>
      </w:r>
      <w:r w:rsidRPr="00191AB9">
        <w:rPr>
          <w:rFonts w:ascii="Arial" w:hAnsi="Arial" w:cs="Arial"/>
          <w:sz w:val="22"/>
        </w:rPr>
        <w:t xml:space="preserve"> </w:t>
      </w:r>
      <w:r w:rsidRPr="00191AB9">
        <w:rPr>
          <w:rFonts w:ascii="Arial" w:hAnsi="Arial" w:cs="Arial"/>
          <w:b/>
          <w:bCs/>
          <w:sz w:val="22"/>
        </w:rPr>
        <w:t>376</w:t>
      </w:r>
      <w:r w:rsidRPr="00191AB9">
        <w:rPr>
          <w:rFonts w:ascii="Arial" w:hAnsi="Arial" w:cs="Arial"/>
          <w:sz w:val="22"/>
        </w:rPr>
        <w:t>, 2235–2244 (2017).</w:t>
      </w:r>
    </w:p>
    <w:p w14:paraId="522A3923" w14:textId="77777777" w:rsidR="00191AB9" w:rsidRPr="00191AB9" w:rsidRDefault="00191AB9" w:rsidP="00191AB9">
      <w:pPr>
        <w:pStyle w:val="Bibliography"/>
        <w:rPr>
          <w:rFonts w:ascii="Arial" w:hAnsi="Arial" w:cs="Arial"/>
          <w:sz w:val="22"/>
        </w:rPr>
      </w:pPr>
      <w:r w:rsidRPr="00191AB9">
        <w:rPr>
          <w:rFonts w:ascii="Arial" w:hAnsi="Arial" w:cs="Arial"/>
          <w:sz w:val="22"/>
        </w:rPr>
        <w:t>8.</w:t>
      </w:r>
      <w:r w:rsidRPr="00191AB9">
        <w:rPr>
          <w:rFonts w:ascii="Arial" w:hAnsi="Arial" w:cs="Arial"/>
          <w:sz w:val="22"/>
        </w:rPr>
        <w:tab/>
        <w:t xml:space="preserve">Evans, I. V. R. </w:t>
      </w:r>
      <w:r w:rsidRPr="00191AB9">
        <w:rPr>
          <w:rFonts w:ascii="Arial" w:hAnsi="Arial" w:cs="Arial"/>
          <w:i/>
          <w:iCs/>
          <w:sz w:val="22"/>
        </w:rPr>
        <w:t>et al.</w:t>
      </w:r>
      <w:r w:rsidRPr="00191AB9">
        <w:rPr>
          <w:rFonts w:ascii="Arial" w:hAnsi="Arial" w:cs="Arial"/>
          <w:sz w:val="22"/>
        </w:rPr>
        <w:t xml:space="preserve"> Association Between the New York Sepsis Care Mandate and In-Hospital Mortality for Pediatric Sepsis. </w:t>
      </w:r>
      <w:r w:rsidRPr="00191AB9">
        <w:rPr>
          <w:rFonts w:ascii="Arial" w:hAnsi="Arial" w:cs="Arial"/>
          <w:i/>
          <w:iCs/>
          <w:sz w:val="22"/>
        </w:rPr>
        <w:t>JAMA</w:t>
      </w:r>
      <w:r w:rsidRPr="00191AB9">
        <w:rPr>
          <w:rFonts w:ascii="Arial" w:hAnsi="Arial" w:cs="Arial"/>
          <w:sz w:val="22"/>
        </w:rPr>
        <w:t xml:space="preserve"> </w:t>
      </w:r>
      <w:r w:rsidRPr="00191AB9">
        <w:rPr>
          <w:rFonts w:ascii="Arial" w:hAnsi="Arial" w:cs="Arial"/>
          <w:b/>
          <w:bCs/>
          <w:sz w:val="22"/>
        </w:rPr>
        <w:t>320</w:t>
      </w:r>
      <w:r w:rsidRPr="00191AB9">
        <w:rPr>
          <w:rFonts w:ascii="Arial" w:hAnsi="Arial" w:cs="Arial"/>
          <w:sz w:val="22"/>
        </w:rPr>
        <w:t>, 358 (2018).</w:t>
      </w:r>
    </w:p>
    <w:p w14:paraId="38DECD7B" w14:textId="77777777" w:rsidR="00191AB9" w:rsidRPr="00191AB9" w:rsidRDefault="00191AB9" w:rsidP="00191AB9">
      <w:pPr>
        <w:pStyle w:val="Bibliography"/>
        <w:rPr>
          <w:rFonts w:ascii="Arial" w:hAnsi="Arial" w:cs="Arial"/>
          <w:sz w:val="22"/>
        </w:rPr>
      </w:pPr>
      <w:r w:rsidRPr="00191AB9">
        <w:rPr>
          <w:rFonts w:ascii="Arial" w:hAnsi="Arial" w:cs="Arial"/>
          <w:sz w:val="22"/>
        </w:rPr>
        <w:t>9.</w:t>
      </w:r>
      <w:r w:rsidRPr="00191AB9">
        <w:rPr>
          <w:rFonts w:ascii="Arial" w:hAnsi="Arial" w:cs="Arial"/>
          <w:sz w:val="22"/>
        </w:rPr>
        <w:tab/>
        <w:t xml:space="preserve">Weiss, S. L. </w:t>
      </w:r>
      <w:r w:rsidRPr="00191AB9">
        <w:rPr>
          <w:rFonts w:ascii="Arial" w:hAnsi="Arial" w:cs="Arial"/>
          <w:i/>
          <w:iCs/>
          <w:sz w:val="22"/>
        </w:rPr>
        <w:t>et al.</w:t>
      </w:r>
      <w:r w:rsidRPr="00191AB9">
        <w:rPr>
          <w:rFonts w:ascii="Arial" w:hAnsi="Arial" w:cs="Arial"/>
          <w:sz w:val="22"/>
        </w:rPr>
        <w:t xml:space="preserve"> Surviving sepsis campaign international guidelines for the management of septic shock and sepsis-associated organ dysfunction in children. </w:t>
      </w:r>
      <w:r w:rsidRPr="00191AB9">
        <w:rPr>
          <w:rFonts w:ascii="Arial" w:hAnsi="Arial" w:cs="Arial"/>
          <w:i/>
          <w:iCs/>
          <w:sz w:val="22"/>
        </w:rPr>
        <w:t>Intensive Care Med.</w:t>
      </w:r>
      <w:r w:rsidRPr="00191AB9">
        <w:rPr>
          <w:rFonts w:ascii="Arial" w:hAnsi="Arial" w:cs="Arial"/>
          <w:sz w:val="22"/>
        </w:rPr>
        <w:t xml:space="preserve"> </w:t>
      </w:r>
      <w:r w:rsidRPr="00191AB9">
        <w:rPr>
          <w:rFonts w:ascii="Arial" w:hAnsi="Arial" w:cs="Arial"/>
          <w:b/>
          <w:bCs/>
          <w:sz w:val="22"/>
        </w:rPr>
        <w:t>46</w:t>
      </w:r>
      <w:r w:rsidRPr="00191AB9">
        <w:rPr>
          <w:rFonts w:ascii="Arial" w:hAnsi="Arial" w:cs="Arial"/>
          <w:sz w:val="22"/>
        </w:rPr>
        <w:t>, 10–67 (2020).</w:t>
      </w:r>
    </w:p>
    <w:p w14:paraId="567DB263" w14:textId="77777777" w:rsidR="00191AB9" w:rsidRPr="00191AB9" w:rsidRDefault="00191AB9" w:rsidP="00191AB9">
      <w:pPr>
        <w:pStyle w:val="Bibliography"/>
        <w:rPr>
          <w:rFonts w:ascii="Arial" w:hAnsi="Arial" w:cs="Arial"/>
          <w:sz w:val="22"/>
        </w:rPr>
      </w:pPr>
      <w:r w:rsidRPr="00191AB9">
        <w:rPr>
          <w:rFonts w:ascii="Arial" w:hAnsi="Arial" w:cs="Arial"/>
          <w:sz w:val="22"/>
        </w:rPr>
        <w:t>10.</w:t>
      </w:r>
      <w:r w:rsidRPr="00191AB9">
        <w:rPr>
          <w:rFonts w:ascii="Arial" w:hAnsi="Arial" w:cs="Arial"/>
          <w:sz w:val="22"/>
        </w:rPr>
        <w:tab/>
        <w:t xml:space="preserve">Agyeman, P. K. A. </w:t>
      </w:r>
      <w:r w:rsidRPr="00191AB9">
        <w:rPr>
          <w:rFonts w:ascii="Arial" w:hAnsi="Arial" w:cs="Arial"/>
          <w:i/>
          <w:iCs/>
          <w:sz w:val="22"/>
        </w:rPr>
        <w:t>et al.</w:t>
      </w:r>
      <w:r w:rsidRPr="00191AB9">
        <w:rPr>
          <w:rFonts w:ascii="Arial" w:hAnsi="Arial" w:cs="Arial"/>
          <w:sz w:val="22"/>
        </w:rPr>
        <w:t xml:space="preserve"> Epidemiology of blood culture-proven bacterial sepsis in children in Switzerland: a population-based cohort study. </w:t>
      </w:r>
      <w:r w:rsidRPr="00191AB9">
        <w:rPr>
          <w:rFonts w:ascii="Arial" w:hAnsi="Arial" w:cs="Arial"/>
          <w:i/>
          <w:iCs/>
          <w:sz w:val="22"/>
        </w:rPr>
        <w:t>Lancet Child Adolesc Health</w:t>
      </w:r>
      <w:r w:rsidRPr="00191AB9">
        <w:rPr>
          <w:rFonts w:ascii="Arial" w:hAnsi="Arial" w:cs="Arial"/>
          <w:sz w:val="22"/>
        </w:rPr>
        <w:t xml:space="preserve"> </w:t>
      </w:r>
      <w:r w:rsidRPr="00191AB9">
        <w:rPr>
          <w:rFonts w:ascii="Arial" w:hAnsi="Arial" w:cs="Arial"/>
          <w:b/>
          <w:bCs/>
          <w:sz w:val="22"/>
        </w:rPr>
        <w:t>1</w:t>
      </w:r>
      <w:r w:rsidRPr="00191AB9">
        <w:rPr>
          <w:rFonts w:ascii="Arial" w:hAnsi="Arial" w:cs="Arial"/>
          <w:sz w:val="22"/>
        </w:rPr>
        <w:t>, 124–133 (2017).</w:t>
      </w:r>
    </w:p>
    <w:p w14:paraId="2F315D7A" w14:textId="77777777" w:rsidR="00191AB9" w:rsidRPr="00191AB9" w:rsidRDefault="00191AB9" w:rsidP="00191AB9">
      <w:pPr>
        <w:pStyle w:val="Bibliography"/>
        <w:rPr>
          <w:rFonts w:ascii="Arial" w:hAnsi="Arial" w:cs="Arial"/>
          <w:sz w:val="22"/>
        </w:rPr>
      </w:pPr>
      <w:r w:rsidRPr="00191AB9">
        <w:rPr>
          <w:rFonts w:ascii="Arial" w:hAnsi="Arial" w:cs="Arial"/>
          <w:sz w:val="22"/>
        </w:rPr>
        <w:t>11.</w:t>
      </w:r>
      <w:r w:rsidRPr="00191AB9">
        <w:rPr>
          <w:rFonts w:ascii="Arial" w:hAnsi="Arial" w:cs="Arial"/>
          <w:sz w:val="22"/>
        </w:rPr>
        <w:tab/>
        <w:t xml:space="preserve">Moehring, R. W. </w:t>
      </w:r>
      <w:r w:rsidRPr="00191AB9">
        <w:rPr>
          <w:rFonts w:ascii="Arial" w:hAnsi="Arial" w:cs="Arial"/>
          <w:i/>
          <w:iCs/>
          <w:sz w:val="22"/>
        </w:rPr>
        <w:t>et al.</w:t>
      </w:r>
      <w:r w:rsidRPr="00191AB9">
        <w:rPr>
          <w:rFonts w:ascii="Arial" w:hAnsi="Arial" w:cs="Arial"/>
          <w:sz w:val="22"/>
        </w:rPr>
        <w:t xml:space="preserve"> Delays in appropriate antibiotic therapy for gram-negative bloodstream infections: a multicenter, community hospital study. </w:t>
      </w:r>
      <w:r w:rsidRPr="00191AB9">
        <w:rPr>
          <w:rFonts w:ascii="Arial" w:hAnsi="Arial" w:cs="Arial"/>
          <w:i/>
          <w:iCs/>
          <w:sz w:val="22"/>
        </w:rPr>
        <w:t>PLoS One</w:t>
      </w:r>
      <w:r w:rsidRPr="00191AB9">
        <w:rPr>
          <w:rFonts w:ascii="Arial" w:hAnsi="Arial" w:cs="Arial"/>
          <w:sz w:val="22"/>
        </w:rPr>
        <w:t xml:space="preserve"> </w:t>
      </w:r>
      <w:r w:rsidRPr="00191AB9">
        <w:rPr>
          <w:rFonts w:ascii="Arial" w:hAnsi="Arial" w:cs="Arial"/>
          <w:b/>
          <w:bCs/>
          <w:sz w:val="22"/>
        </w:rPr>
        <w:t>8</w:t>
      </w:r>
      <w:r w:rsidRPr="00191AB9">
        <w:rPr>
          <w:rFonts w:ascii="Arial" w:hAnsi="Arial" w:cs="Arial"/>
          <w:sz w:val="22"/>
        </w:rPr>
        <w:t>, e76225–e76225 (2013).</w:t>
      </w:r>
    </w:p>
    <w:p w14:paraId="13DBDF2D" w14:textId="77777777" w:rsidR="00191AB9" w:rsidRPr="00191AB9" w:rsidRDefault="00191AB9" w:rsidP="00191AB9">
      <w:pPr>
        <w:pStyle w:val="Bibliography"/>
        <w:rPr>
          <w:rFonts w:ascii="Arial" w:hAnsi="Arial" w:cs="Arial"/>
          <w:sz w:val="22"/>
        </w:rPr>
      </w:pPr>
      <w:r w:rsidRPr="00191AB9">
        <w:rPr>
          <w:rFonts w:ascii="Arial" w:hAnsi="Arial" w:cs="Arial"/>
          <w:sz w:val="22"/>
        </w:rPr>
        <w:t>12.</w:t>
      </w:r>
      <w:r w:rsidRPr="00191AB9">
        <w:rPr>
          <w:rFonts w:ascii="Arial" w:hAnsi="Arial" w:cs="Arial"/>
          <w:sz w:val="22"/>
        </w:rPr>
        <w:tab/>
        <w:t xml:space="preserve">Clarke, J. </w:t>
      </w:r>
      <w:r w:rsidRPr="00191AB9">
        <w:rPr>
          <w:rFonts w:ascii="Arial" w:hAnsi="Arial" w:cs="Arial"/>
          <w:i/>
          <w:iCs/>
          <w:sz w:val="22"/>
        </w:rPr>
        <w:t>et al.</w:t>
      </w:r>
      <w:r w:rsidRPr="00191AB9">
        <w:rPr>
          <w:rFonts w:ascii="Arial" w:hAnsi="Arial" w:cs="Arial"/>
          <w:sz w:val="22"/>
        </w:rPr>
        <w:t xml:space="preserve"> Continuous base identification for single-molecule nanopore DNA sequencing. </w:t>
      </w:r>
      <w:r w:rsidRPr="00191AB9">
        <w:rPr>
          <w:rFonts w:ascii="Arial" w:hAnsi="Arial" w:cs="Arial"/>
          <w:i/>
          <w:iCs/>
          <w:sz w:val="22"/>
        </w:rPr>
        <w:t>Nat. Nanotechnol.</w:t>
      </w:r>
      <w:r w:rsidRPr="00191AB9">
        <w:rPr>
          <w:rFonts w:ascii="Arial" w:hAnsi="Arial" w:cs="Arial"/>
          <w:sz w:val="22"/>
        </w:rPr>
        <w:t xml:space="preserve"> </w:t>
      </w:r>
      <w:r w:rsidRPr="00191AB9">
        <w:rPr>
          <w:rFonts w:ascii="Arial" w:hAnsi="Arial" w:cs="Arial"/>
          <w:b/>
          <w:bCs/>
          <w:sz w:val="22"/>
        </w:rPr>
        <w:t>4</w:t>
      </w:r>
      <w:r w:rsidRPr="00191AB9">
        <w:rPr>
          <w:rFonts w:ascii="Arial" w:hAnsi="Arial" w:cs="Arial"/>
          <w:sz w:val="22"/>
        </w:rPr>
        <w:t>, 265–270 (2009).</w:t>
      </w:r>
    </w:p>
    <w:p w14:paraId="750D6A41" w14:textId="77777777" w:rsidR="00191AB9" w:rsidRPr="00191AB9" w:rsidRDefault="00191AB9" w:rsidP="00191AB9">
      <w:pPr>
        <w:pStyle w:val="Bibliography"/>
        <w:rPr>
          <w:rFonts w:ascii="Arial" w:hAnsi="Arial" w:cs="Arial"/>
          <w:sz w:val="22"/>
        </w:rPr>
      </w:pPr>
      <w:r w:rsidRPr="00191AB9">
        <w:rPr>
          <w:rFonts w:ascii="Arial" w:hAnsi="Arial" w:cs="Arial"/>
          <w:sz w:val="22"/>
        </w:rPr>
        <w:lastRenderedPageBreak/>
        <w:t>13.</w:t>
      </w:r>
      <w:r w:rsidRPr="00191AB9">
        <w:rPr>
          <w:rFonts w:ascii="Arial" w:hAnsi="Arial" w:cs="Arial"/>
          <w:sz w:val="22"/>
        </w:rPr>
        <w:tab/>
        <w:t xml:space="preserve">Roberts, J. A. </w:t>
      </w:r>
      <w:r w:rsidRPr="00191AB9">
        <w:rPr>
          <w:rFonts w:ascii="Arial" w:hAnsi="Arial" w:cs="Arial"/>
          <w:i/>
          <w:iCs/>
          <w:sz w:val="22"/>
        </w:rPr>
        <w:t>et al.</w:t>
      </w:r>
      <w:r w:rsidRPr="00191AB9">
        <w:rPr>
          <w:rFonts w:ascii="Arial" w:hAnsi="Arial" w:cs="Arial"/>
          <w:sz w:val="22"/>
        </w:rPr>
        <w:t xml:space="preserve"> Individualised antibiotic dosing for patients who are critically ill: challenges and potential solutions. </w:t>
      </w:r>
      <w:r w:rsidRPr="00191AB9">
        <w:rPr>
          <w:rFonts w:ascii="Arial" w:hAnsi="Arial" w:cs="Arial"/>
          <w:i/>
          <w:iCs/>
          <w:sz w:val="22"/>
        </w:rPr>
        <w:t>Lancet Infect. Dis.</w:t>
      </w:r>
      <w:r w:rsidRPr="00191AB9">
        <w:rPr>
          <w:rFonts w:ascii="Arial" w:hAnsi="Arial" w:cs="Arial"/>
          <w:sz w:val="22"/>
        </w:rPr>
        <w:t xml:space="preserve"> </w:t>
      </w:r>
      <w:r w:rsidRPr="00191AB9">
        <w:rPr>
          <w:rFonts w:ascii="Arial" w:hAnsi="Arial" w:cs="Arial"/>
          <w:b/>
          <w:bCs/>
          <w:sz w:val="22"/>
        </w:rPr>
        <w:t>14</w:t>
      </w:r>
      <w:r w:rsidRPr="00191AB9">
        <w:rPr>
          <w:rFonts w:ascii="Arial" w:hAnsi="Arial" w:cs="Arial"/>
          <w:sz w:val="22"/>
        </w:rPr>
        <w:t>, 498–509 (2014).</w:t>
      </w:r>
    </w:p>
    <w:p w14:paraId="1EB24690" w14:textId="77777777" w:rsidR="00191AB9" w:rsidRPr="00191AB9" w:rsidRDefault="00191AB9" w:rsidP="00191AB9">
      <w:pPr>
        <w:pStyle w:val="Bibliography"/>
        <w:rPr>
          <w:rFonts w:ascii="Arial" w:hAnsi="Arial" w:cs="Arial"/>
          <w:sz w:val="22"/>
        </w:rPr>
      </w:pPr>
      <w:r w:rsidRPr="00191AB9">
        <w:rPr>
          <w:rFonts w:ascii="Arial" w:hAnsi="Arial" w:cs="Arial"/>
          <w:sz w:val="22"/>
        </w:rPr>
        <w:t>14.</w:t>
      </w:r>
      <w:r w:rsidRPr="00191AB9">
        <w:rPr>
          <w:rFonts w:ascii="Arial" w:hAnsi="Arial" w:cs="Arial"/>
          <w:sz w:val="22"/>
        </w:rPr>
        <w:tab/>
        <w:t xml:space="preserve">the Infection Section of European Society of Intensive Care Medicine (ESICM) </w:t>
      </w:r>
      <w:r w:rsidRPr="00191AB9">
        <w:rPr>
          <w:rFonts w:ascii="Arial" w:hAnsi="Arial" w:cs="Arial"/>
          <w:i/>
          <w:iCs/>
          <w:sz w:val="22"/>
        </w:rPr>
        <w:t>et al.</w:t>
      </w:r>
      <w:r w:rsidRPr="00191AB9">
        <w:rPr>
          <w:rFonts w:ascii="Arial" w:hAnsi="Arial" w:cs="Arial"/>
          <w:sz w:val="22"/>
        </w:rPr>
        <w:t xml:space="preserve"> Antimicrobial therapeutic drug monitoring in critically ill adult patients: a Position Paper#. </w:t>
      </w:r>
      <w:r w:rsidRPr="00191AB9">
        <w:rPr>
          <w:rFonts w:ascii="Arial" w:hAnsi="Arial" w:cs="Arial"/>
          <w:i/>
          <w:iCs/>
          <w:sz w:val="22"/>
        </w:rPr>
        <w:t>Intensive Care Med.</w:t>
      </w:r>
      <w:r w:rsidRPr="00191AB9">
        <w:rPr>
          <w:rFonts w:ascii="Arial" w:hAnsi="Arial" w:cs="Arial"/>
          <w:sz w:val="22"/>
        </w:rPr>
        <w:t xml:space="preserve"> </w:t>
      </w:r>
      <w:r w:rsidRPr="00191AB9">
        <w:rPr>
          <w:rFonts w:ascii="Arial" w:hAnsi="Arial" w:cs="Arial"/>
          <w:b/>
          <w:bCs/>
          <w:sz w:val="22"/>
        </w:rPr>
        <w:t>46</w:t>
      </w:r>
      <w:r w:rsidRPr="00191AB9">
        <w:rPr>
          <w:rFonts w:ascii="Arial" w:hAnsi="Arial" w:cs="Arial"/>
          <w:sz w:val="22"/>
        </w:rPr>
        <w:t>, 1127–1153 (2020).</w:t>
      </w:r>
    </w:p>
    <w:p w14:paraId="3849BB09" w14:textId="77777777" w:rsidR="00191AB9" w:rsidRPr="00191AB9" w:rsidRDefault="00191AB9" w:rsidP="00191AB9">
      <w:pPr>
        <w:pStyle w:val="Bibliography"/>
        <w:rPr>
          <w:rFonts w:ascii="Arial" w:hAnsi="Arial" w:cs="Arial"/>
          <w:sz w:val="22"/>
        </w:rPr>
      </w:pPr>
      <w:r w:rsidRPr="00191AB9">
        <w:rPr>
          <w:rFonts w:ascii="Arial" w:hAnsi="Arial" w:cs="Arial"/>
          <w:sz w:val="22"/>
        </w:rPr>
        <w:t>15.</w:t>
      </w:r>
      <w:r w:rsidRPr="00191AB9">
        <w:rPr>
          <w:rFonts w:ascii="Arial" w:hAnsi="Arial" w:cs="Arial"/>
          <w:sz w:val="22"/>
        </w:rPr>
        <w:tab/>
        <w:t xml:space="preserve">Bossuyt, P. M. </w:t>
      </w:r>
      <w:r w:rsidRPr="00191AB9">
        <w:rPr>
          <w:rFonts w:ascii="Arial" w:hAnsi="Arial" w:cs="Arial"/>
          <w:i/>
          <w:iCs/>
          <w:sz w:val="22"/>
        </w:rPr>
        <w:t>et al.</w:t>
      </w:r>
      <w:r w:rsidRPr="00191AB9">
        <w:rPr>
          <w:rFonts w:ascii="Arial" w:hAnsi="Arial" w:cs="Arial"/>
          <w:sz w:val="22"/>
        </w:rPr>
        <w:t xml:space="preserve"> STARD 2015: an updated list of essential items for reporting diagnostic accuracy studies. </w:t>
      </w:r>
      <w:r w:rsidRPr="00191AB9">
        <w:rPr>
          <w:rFonts w:ascii="Arial" w:hAnsi="Arial" w:cs="Arial"/>
          <w:i/>
          <w:iCs/>
          <w:sz w:val="22"/>
        </w:rPr>
        <w:t>BMJ</w:t>
      </w:r>
      <w:r w:rsidRPr="00191AB9">
        <w:rPr>
          <w:rFonts w:ascii="Arial" w:hAnsi="Arial" w:cs="Arial"/>
          <w:sz w:val="22"/>
        </w:rPr>
        <w:t xml:space="preserve"> </w:t>
      </w:r>
      <w:r w:rsidRPr="00191AB9">
        <w:rPr>
          <w:rFonts w:ascii="Arial" w:hAnsi="Arial" w:cs="Arial"/>
          <w:b/>
          <w:bCs/>
          <w:sz w:val="22"/>
        </w:rPr>
        <w:t>351</w:t>
      </w:r>
      <w:r w:rsidRPr="00191AB9">
        <w:rPr>
          <w:rFonts w:ascii="Arial" w:hAnsi="Arial" w:cs="Arial"/>
          <w:sz w:val="22"/>
        </w:rPr>
        <w:t>, h5527 (2015).</w:t>
      </w:r>
    </w:p>
    <w:p w14:paraId="7F990F00" w14:textId="77777777" w:rsidR="00191AB9" w:rsidRPr="00191AB9" w:rsidRDefault="00191AB9" w:rsidP="00191AB9">
      <w:pPr>
        <w:pStyle w:val="Bibliography"/>
        <w:rPr>
          <w:rFonts w:ascii="Arial" w:hAnsi="Arial" w:cs="Arial"/>
          <w:sz w:val="22"/>
        </w:rPr>
      </w:pPr>
      <w:r w:rsidRPr="00191AB9">
        <w:rPr>
          <w:rFonts w:ascii="Arial" w:hAnsi="Arial" w:cs="Arial"/>
          <w:sz w:val="22"/>
        </w:rPr>
        <w:t>16.</w:t>
      </w:r>
      <w:r w:rsidRPr="00191AB9">
        <w:rPr>
          <w:rFonts w:ascii="Arial" w:hAnsi="Arial" w:cs="Arial"/>
          <w:sz w:val="22"/>
        </w:rPr>
        <w:tab/>
        <w:t xml:space="preserve">Singer, M. </w:t>
      </w:r>
      <w:r w:rsidRPr="00191AB9">
        <w:rPr>
          <w:rFonts w:ascii="Arial" w:hAnsi="Arial" w:cs="Arial"/>
          <w:i/>
          <w:iCs/>
          <w:sz w:val="22"/>
        </w:rPr>
        <w:t>et al.</w:t>
      </w:r>
      <w:r w:rsidRPr="00191AB9">
        <w:rPr>
          <w:rFonts w:ascii="Arial" w:hAnsi="Arial" w:cs="Arial"/>
          <w:sz w:val="22"/>
        </w:rPr>
        <w:t xml:space="preserve"> The Third International Consensus Definitions for Sepsis and Septic Shock (Sepsis-3). </w:t>
      </w:r>
      <w:r w:rsidRPr="00191AB9">
        <w:rPr>
          <w:rFonts w:ascii="Arial" w:hAnsi="Arial" w:cs="Arial"/>
          <w:i/>
          <w:iCs/>
          <w:sz w:val="22"/>
        </w:rPr>
        <w:t>JAMA</w:t>
      </w:r>
      <w:r w:rsidRPr="00191AB9">
        <w:rPr>
          <w:rFonts w:ascii="Arial" w:hAnsi="Arial" w:cs="Arial"/>
          <w:sz w:val="22"/>
        </w:rPr>
        <w:t xml:space="preserve"> </w:t>
      </w:r>
      <w:r w:rsidRPr="00191AB9">
        <w:rPr>
          <w:rFonts w:ascii="Arial" w:hAnsi="Arial" w:cs="Arial"/>
          <w:b/>
          <w:bCs/>
          <w:sz w:val="22"/>
        </w:rPr>
        <w:t>315</w:t>
      </w:r>
      <w:r w:rsidRPr="00191AB9">
        <w:rPr>
          <w:rFonts w:ascii="Arial" w:hAnsi="Arial" w:cs="Arial"/>
          <w:sz w:val="22"/>
        </w:rPr>
        <w:t>, 801 (2016).</w:t>
      </w:r>
    </w:p>
    <w:p w14:paraId="2DE15ED3" w14:textId="77777777" w:rsidR="00191AB9" w:rsidRPr="00191AB9" w:rsidRDefault="00191AB9" w:rsidP="00191AB9">
      <w:pPr>
        <w:pStyle w:val="Bibliography"/>
        <w:rPr>
          <w:rFonts w:ascii="Arial" w:hAnsi="Arial" w:cs="Arial"/>
          <w:sz w:val="22"/>
        </w:rPr>
      </w:pPr>
      <w:r w:rsidRPr="00191AB9">
        <w:rPr>
          <w:rFonts w:ascii="Arial" w:hAnsi="Arial" w:cs="Arial"/>
          <w:sz w:val="22"/>
        </w:rPr>
        <w:t>17.</w:t>
      </w:r>
      <w:r w:rsidRPr="00191AB9">
        <w:rPr>
          <w:rFonts w:ascii="Arial" w:hAnsi="Arial" w:cs="Arial"/>
          <w:sz w:val="22"/>
        </w:rPr>
        <w:tab/>
        <w:t xml:space="preserve">Matics, T. J. &amp; Sanchez-Pinto, L. N. Adaptation and Validation of a Pediatric Sequential Organ Failure Assessment Score and Evaluation of the Sepsis-3 Definitions in Critically Ill Children. </w:t>
      </w:r>
      <w:r w:rsidRPr="00191AB9">
        <w:rPr>
          <w:rFonts w:ascii="Arial" w:hAnsi="Arial" w:cs="Arial"/>
          <w:i/>
          <w:iCs/>
          <w:sz w:val="22"/>
        </w:rPr>
        <w:t>JAMA Pediatr.</w:t>
      </w:r>
      <w:r w:rsidRPr="00191AB9">
        <w:rPr>
          <w:rFonts w:ascii="Arial" w:hAnsi="Arial" w:cs="Arial"/>
          <w:sz w:val="22"/>
        </w:rPr>
        <w:t xml:space="preserve"> </w:t>
      </w:r>
      <w:r w:rsidRPr="00191AB9">
        <w:rPr>
          <w:rFonts w:ascii="Arial" w:hAnsi="Arial" w:cs="Arial"/>
          <w:b/>
          <w:bCs/>
          <w:sz w:val="22"/>
        </w:rPr>
        <w:t>171</w:t>
      </w:r>
      <w:r w:rsidRPr="00191AB9">
        <w:rPr>
          <w:rFonts w:ascii="Arial" w:hAnsi="Arial" w:cs="Arial"/>
          <w:sz w:val="22"/>
        </w:rPr>
        <w:t>, e172352 (2017).</w:t>
      </w:r>
    </w:p>
    <w:p w14:paraId="77DE18E0" w14:textId="621C91D9" w:rsidR="004C3232" w:rsidRDefault="005C4298" w:rsidP="00957901">
      <w:pPr>
        <w:pStyle w:val="Body"/>
        <w:widowControl w:val="0"/>
        <w:spacing w:before="120" w:line="360" w:lineRule="auto"/>
        <w:rPr>
          <w:rFonts w:cs="Arial"/>
          <w:b/>
          <w:bCs/>
          <w:sz w:val="22"/>
          <w:szCs w:val="22"/>
        </w:rPr>
      </w:pPr>
      <w:r w:rsidRPr="00CE7A5C">
        <w:rPr>
          <w:rFonts w:cs="Arial"/>
          <w:b/>
          <w:bCs/>
          <w:sz w:val="22"/>
          <w:szCs w:val="22"/>
        </w:rPr>
        <w:fldChar w:fldCharType="end"/>
      </w:r>
    </w:p>
    <w:p w14:paraId="2D94F25F" w14:textId="3BB80524" w:rsidR="00F74187" w:rsidRDefault="00F74187">
      <w:pPr>
        <w:rPr>
          <w:rFonts w:ascii="Arial" w:hAnsi="Arial" w:cs="Arial"/>
          <w:b/>
          <w:bCs/>
          <w:color w:val="000000"/>
          <w:sz w:val="22"/>
          <w:szCs w:val="22"/>
          <w:u w:color="000000"/>
          <w:lang w:val="en-GB"/>
        </w:rPr>
      </w:pPr>
    </w:p>
    <w:sectPr w:rsidR="00F74187" w:rsidSect="00753DCD">
      <w:footerReference w:type="default" r:id="rId22"/>
      <w:pgSz w:w="11900" w:h="16840"/>
      <w:pgMar w:top="1440" w:right="1134"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442F" w14:textId="77777777" w:rsidR="00064E03" w:rsidRDefault="00064E03">
      <w:r>
        <w:separator/>
      </w:r>
    </w:p>
  </w:endnote>
  <w:endnote w:type="continuationSeparator" w:id="0">
    <w:p w14:paraId="1A159A0D" w14:textId="77777777" w:rsidR="00064E03" w:rsidRDefault="000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1DB" w14:textId="3FE90CBE" w:rsidR="00C57033" w:rsidRDefault="00C57033">
    <w:pPr>
      <w:pStyle w:val="HeaderFooter"/>
      <w:jc w:val="center"/>
    </w:pPr>
    <w:r>
      <w:rPr>
        <w:rFonts w:ascii="Arial" w:hAnsi="Arial"/>
        <w:sz w:val="18"/>
        <w:szCs w:val="18"/>
        <w:lang w:val="en-US"/>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6</w:t>
    </w:r>
    <w:r>
      <w:rPr>
        <w:rFonts w:ascii="Arial" w:eastAsia="Arial" w:hAnsi="Arial" w:cs="Arial"/>
        <w:sz w:val="18"/>
        <w:szCs w:val="18"/>
      </w:rPr>
      <w:fldChar w:fldCharType="end"/>
    </w:r>
    <w:r>
      <w:rPr>
        <w:rFonts w:ascii="Arial" w:hAnsi="Arial"/>
        <w:sz w:val="18"/>
        <w:szCs w:val="18"/>
        <w:lang w:val="en-US"/>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24</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1C54" w14:textId="77777777" w:rsidR="00064E03" w:rsidRDefault="00064E03">
      <w:r>
        <w:separator/>
      </w:r>
    </w:p>
  </w:footnote>
  <w:footnote w:type="continuationSeparator" w:id="0">
    <w:p w14:paraId="7FD3DC37" w14:textId="77777777" w:rsidR="00064E03" w:rsidRDefault="000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376E73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34B0510"/>
    <w:multiLevelType w:val="hybridMultilevel"/>
    <w:tmpl w:val="CB74C8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9B256B"/>
    <w:multiLevelType w:val="multilevel"/>
    <w:tmpl w:val="5B0068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2A0"/>
    <w:multiLevelType w:val="hybridMultilevel"/>
    <w:tmpl w:val="6F988B7E"/>
    <w:lvl w:ilvl="0" w:tplc="DAEE5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3DA"/>
    <w:multiLevelType w:val="multilevel"/>
    <w:tmpl w:val="56708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C24AC7"/>
    <w:multiLevelType w:val="multilevel"/>
    <w:tmpl w:val="A05679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40542B6"/>
    <w:multiLevelType w:val="hybridMultilevel"/>
    <w:tmpl w:val="157A61BE"/>
    <w:lvl w:ilvl="0" w:tplc="23803302">
      <w:start w:val="18"/>
      <w:numFmt w:val="bullet"/>
      <w:lvlText w:val="-"/>
      <w:lvlJc w:val="left"/>
      <w:pPr>
        <w:ind w:left="1440" w:hanging="360"/>
      </w:pPr>
      <w:rPr>
        <w:rFonts w:ascii="Times New Roman" w:eastAsia="Calibr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707EFE"/>
    <w:multiLevelType w:val="multilevel"/>
    <w:tmpl w:val="792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445F"/>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246659"/>
    <w:multiLevelType w:val="hybridMultilevel"/>
    <w:tmpl w:val="812A996C"/>
    <w:lvl w:ilvl="0" w:tplc="361662B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97507"/>
    <w:multiLevelType w:val="hybridMultilevel"/>
    <w:tmpl w:val="79624304"/>
    <w:lvl w:ilvl="0" w:tplc="B4AA7C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B4554"/>
    <w:multiLevelType w:val="multilevel"/>
    <w:tmpl w:val="FAA08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8"/>
      <w:numFmt w:val="bullet"/>
      <w:lvlText w:val="-"/>
      <w:lvlJc w:val="left"/>
      <w:pPr>
        <w:ind w:left="1440" w:hanging="1080"/>
      </w:pPr>
      <w:rPr>
        <w:rFonts w:ascii="Times New Roman" w:eastAsia="Calibri" w:hAnsi="Times New Roman" w:cs="Times New Roman"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DD222A"/>
    <w:multiLevelType w:val="multilevel"/>
    <w:tmpl w:val="DB20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43588"/>
    <w:multiLevelType w:val="hybridMultilevel"/>
    <w:tmpl w:val="B6BE0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B73EF"/>
    <w:multiLevelType w:val="hybridMultilevel"/>
    <w:tmpl w:val="06A64C9E"/>
    <w:lvl w:ilvl="0" w:tplc="A7560708">
      <w:start w:val="1"/>
      <w:numFmt w:val="lowerRoman"/>
      <w:pStyle w:val="EndNoteBibliography"/>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142957"/>
    <w:multiLevelType w:val="hybridMultilevel"/>
    <w:tmpl w:val="4C68B926"/>
    <w:styleLink w:val="ImportedStyle1"/>
    <w:lvl w:ilvl="0" w:tplc="A0289FF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788B1C">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C8A1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A4E8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A952E">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457D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FCA2E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85AC6">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0CAF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0554C61"/>
    <w:multiLevelType w:val="hybridMultilevel"/>
    <w:tmpl w:val="F00471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5EA593E"/>
    <w:multiLevelType w:val="hybridMultilevel"/>
    <w:tmpl w:val="4C68B926"/>
    <w:numStyleLink w:val="ImportedStyle1"/>
  </w:abstractNum>
  <w:abstractNum w:abstractNumId="18" w15:restartNumberingAfterBreak="0">
    <w:nsid w:val="7AFB49D4"/>
    <w:multiLevelType w:val="multilevel"/>
    <w:tmpl w:val="56708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7"/>
    <w:lvlOverride w:ilvl="0">
      <w:lvl w:ilvl="0" w:tplc="D0EED3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6600"/>
          <w:spacing w:val="0"/>
          <w:w w:val="100"/>
          <w:kern w:val="0"/>
          <w:position w:val="0"/>
          <w:highlight w:val="none"/>
          <w:vertAlign w:val="baseline"/>
        </w:rPr>
      </w:lvl>
    </w:lvlOverride>
  </w:num>
  <w:num w:numId="3">
    <w:abstractNumId w:val="12"/>
  </w:num>
  <w:num w:numId="4">
    <w:abstractNumId w:val="7"/>
  </w:num>
  <w:num w:numId="5">
    <w:abstractNumId w:val="13"/>
  </w:num>
  <w:num w:numId="6">
    <w:abstractNumId w:val="4"/>
  </w:num>
  <w:num w:numId="7">
    <w:abstractNumId w:val="3"/>
  </w:num>
  <w:num w:numId="8">
    <w:abstractNumId w:val="14"/>
  </w:num>
  <w:num w:numId="9">
    <w:abstractNumId w:val="5"/>
  </w:num>
  <w:num w:numId="10">
    <w:abstractNumId w:val="8"/>
  </w:num>
  <w:num w:numId="11">
    <w:abstractNumId w:val="14"/>
    <w:lvlOverride w:ilvl="0">
      <w:startOverride w:val="1"/>
    </w:lvlOverride>
  </w:num>
  <w:num w:numId="12">
    <w:abstractNumId w:val="16"/>
  </w:num>
  <w:num w:numId="13">
    <w:abstractNumId w:val="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activeWritingStyle w:appName="MSWord" w:lang="fr-FR" w:vendorID="64" w:dllVersion="0" w:nlCheck="1" w:checkStyle="0"/>
  <w:activeWritingStyle w:appName="MSWord" w:lang="en-US" w:vendorID="64" w:dllVersion="0" w:nlCheck="1" w:checkStyle="1"/>
  <w:activeWritingStyle w:appName="MSWord" w:lang="en-AU" w:vendorID="64" w:dllVersion="0" w:nlCheck="1" w:checkStyle="1"/>
  <w:activeWritingStyle w:appName="MSWord" w:lang="en-GB" w:vendorID="64" w:dllVersion="0" w:nlCheck="1" w:checkStyle="1"/>
  <w:activeWritingStyle w:appName="MSWord" w:lang="pt-PT"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2"/>
    <w:rsid w:val="00000546"/>
    <w:rsid w:val="00003DE1"/>
    <w:rsid w:val="00014734"/>
    <w:rsid w:val="00015DE7"/>
    <w:rsid w:val="000342D9"/>
    <w:rsid w:val="0003677F"/>
    <w:rsid w:val="00045A97"/>
    <w:rsid w:val="0004606D"/>
    <w:rsid w:val="00052D6D"/>
    <w:rsid w:val="0005375E"/>
    <w:rsid w:val="00063050"/>
    <w:rsid w:val="00064E03"/>
    <w:rsid w:val="00073A12"/>
    <w:rsid w:val="000858E4"/>
    <w:rsid w:val="000A46A9"/>
    <w:rsid w:val="000A5B10"/>
    <w:rsid w:val="000B6637"/>
    <w:rsid w:val="000C0B70"/>
    <w:rsid w:val="000C2755"/>
    <w:rsid w:val="000F24F5"/>
    <w:rsid w:val="001051CA"/>
    <w:rsid w:val="00107F7B"/>
    <w:rsid w:val="001102B1"/>
    <w:rsid w:val="001232AC"/>
    <w:rsid w:val="00124258"/>
    <w:rsid w:val="00142256"/>
    <w:rsid w:val="00146324"/>
    <w:rsid w:val="001613C0"/>
    <w:rsid w:val="00161424"/>
    <w:rsid w:val="00165186"/>
    <w:rsid w:val="001704CA"/>
    <w:rsid w:val="00191AB9"/>
    <w:rsid w:val="00197597"/>
    <w:rsid w:val="001A4A6A"/>
    <w:rsid w:val="001B0A80"/>
    <w:rsid w:val="001B314D"/>
    <w:rsid w:val="001E2DD8"/>
    <w:rsid w:val="001F26D9"/>
    <w:rsid w:val="002013B1"/>
    <w:rsid w:val="00213C15"/>
    <w:rsid w:val="00215DD2"/>
    <w:rsid w:val="00226190"/>
    <w:rsid w:val="00226C5A"/>
    <w:rsid w:val="00233125"/>
    <w:rsid w:val="00242769"/>
    <w:rsid w:val="00264A40"/>
    <w:rsid w:val="0026617F"/>
    <w:rsid w:val="002719B2"/>
    <w:rsid w:val="00272ADF"/>
    <w:rsid w:val="00276104"/>
    <w:rsid w:val="002A3670"/>
    <w:rsid w:val="002A3C4D"/>
    <w:rsid w:val="002B22E8"/>
    <w:rsid w:val="002C3D03"/>
    <w:rsid w:val="002C521E"/>
    <w:rsid w:val="002D1569"/>
    <w:rsid w:val="002D1A90"/>
    <w:rsid w:val="002D47E4"/>
    <w:rsid w:val="002D54DF"/>
    <w:rsid w:val="002E26F8"/>
    <w:rsid w:val="002E4F2C"/>
    <w:rsid w:val="003011A9"/>
    <w:rsid w:val="003131D7"/>
    <w:rsid w:val="00313E4E"/>
    <w:rsid w:val="00327EFA"/>
    <w:rsid w:val="0034734B"/>
    <w:rsid w:val="003531DF"/>
    <w:rsid w:val="003744C6"/>
    <w:rsid w:val="00375DEF"/>
    <w:rsid w:val="00377ABA"/>
    <w:rsid w:val="003812C0"/>
    <w:rsid w:val="00390F8C"/>
    <w:rsid w:val="003A49B8"/>
    <w:rsid w:val="003A65B0"/>
    <w:rsid w:val="003A6B91"/>
    <w:rsid w:val="003C07D4"/>
    <w:rsid w:val="003D65DD"/>
    <w:rsid w:val="003E3AC7"/>
    <w:rsid w:val="00402F92"/>
    <w:rsid w:val="00405A80"/>
    <w:rsid w:val="00424A31"/>
    <w:rsid w:val="00440417"/>
    <w:rsid w:val="0044446B"/>
    <w:rsid w:val="0044474E"/>
    <w:rsid w:val="00454336"/>
    <w:rsid w:val="004738AA"/>
    <w:rsid w:val="00484691"/>
    <w:rsid w:val="00493836"/>
    <w:rsid w:val="004A6779"/>
    <w:rsid w:val="004C1163"/>
    <w:rsid w:val="004C3232"/>
    <w:rsid w:val="004C7175"/>
    <w:rsid w:val="004C72D8"/>
    <w:rsid w:val="004D43FC"/>
    <w:rsid w:val="004E59ED"/>
    <w:rsid w:val="00503EEF"/>
    <w:rsid w:val="005216A3"/>
    <w:rsid w:val="0052388A"/>
    <w:rsid w:val="005238D0"/>
    <w:rsid w:val="0052429C"/>
    <w:rsid w:val="00525DCB"/>
    <w:rsid w:val="005367B1"/>
    <w:rsid w:val="00536C87"/>
    <w:rsid w:val="0056080B"/>
    <w:rsid w:val="00577B3E"/>
    <w:rsid w:val="0059433C"/>
    <w:rsid w:val="005C4298"/>
    <w:rsid w:val="005F03FE"/>
    <w:rsid w:val="005F3317"/>
    <w:rsid w:val="00605722"/>
    <w:rsid w:val="00637A3F"/>
    <w:rsid w:val="00656E68"/>
    <w:rsid w:val="006613AA"/>
    <w:rsid w:val="00665211"/>
    <w:rsid w:val="006657D4"/>
    <w:rsid w:val="00672AFE"/>
    <w:rsid w:val="00677F87"/>
    <w:rsid w:val="0068533F"/>
    <w:rsid w:val="00692189"/>
    <w:rsid w:val="00695BC7"/>
    <w:rsid w:val="006A2021"/>
    <w:rsid w:val="006B5456"/>
    <w:rsid w:val="006B6A47"/>
    <w:rsid w:val="006C01A6"/>
    <w:rsid w:val="006D5F77"/>
    <w:rsid w:val="006D7594"/>
    <w:rsid w:val="00704128"/>
    <w:rsid w:val="00704335"/>
    <w:rsid w:val="00707FD5"/>
    <w:rsid w:val="00711FBD"/>
    <w:rsid w:val="007252CB"/>
    <w:rsid w:val="00727E9C"/>
    <w:rsid w:val="00751999"/>
    <w:rsid w:val="00753DCD"/>
    <w:rsid w:val="007549B6"/>
    <w:rsid w:val="00774CBD"/>
    <w:rsid w:val="007C009F"/>
    <w:rsid w:val="007D3EEC"/>
    <w:rsid w:val="007D581F"/>
    <w:rsid w:val="007F24B4"/>
    <w:rsid w:val="00804063"/>
    <w:rsid w:val="00816234"/>
    <w:rsid w:val="00836B5B"/>
    <w:rsid w:val="00842E7D"/>
    <w:rsid w:val="00844C88"/>
    <w:rsid w:val="008472E7"/>
    <w:rsid w:val="00850DFC"/>
    <w:rsid w:val="00851D79"/>
    <w:rsid w:val="00853DD7"/>
    <w:rsid w:val="00863BE6"/>
    <w:rsid w:val="00864AB8"/>
    <w:rsid w:val="008757BC"/>
    <w:rsid w:val="00883C83"/>
    <w:rsid w:val="00884FB0"/>
    <w:rsid w:val="00891F61"/>
    <w:rsid w:val="00895D13"/>
    <w:rsid w:val="008A5DF5"/>
    <w:rsid w:val="008C5DD4"/>
    <w:rsid w:val="008E034F"/>
    <w:rsid w:val="008F13A9"/>
    <w:rsid w:val="008F5666"/>
    <w:rsid w:val="008F5DE7"/>
    <w:rsid w:val="00900D16"/>
    <w:rsid w:val="009042C6"/>
    <w:rsid w:val="00904968"/>
    <w:rsid w:val="00941B2B"/>
    <w:rsid w:val="00957901"/>
    <w:rsid w:val="00966275"/>
    <w:rsid w:val="009809C3"/>
    <w:rsid w:val="0099209D"/>
    <w:rsid w:val="0099425F"/>
    <w:rsid w:val="009A07EA"/>
    <w:rsid w:val="009A2880"/>
    <w:rsid w:val="009D3669"/>
    <w:rsid w:val="009D6602"/>
    <w:rsid w:val="009E7EF1"/>
    <w:rsid w:val="009F45D8"/>
    <w:rsid w:val="00A062A0"/>
    <w:rsid w:val="00A25D3F"/>
    <w:rsid w:val="00A35030"/>
    <w:rsid w:val="00A51F39"/>
    <w:rsid w:val="00A57A49"/>
    <w:rsid w:val="00A60F34"/>
    <w:rsid w:val="00A7049E"/>
    <w:rsid w:val="00A714E2"/>
    <w:rsid w:val="00A87785"/>
    <w:rsid w:val="00A90A2B"/>
    <w:rsid w:val="00A90F31"/>
    <w:rsid w:val="00AB37EF"/>
    <w:rsid w:val="00AB4400"/>
    <w:rsid w:val="00AC1E95"/>
    <w:rsid w:val="00AC7CB0"/>
    <w:rsid w:val="00AD79CD"/>
    <w:rsid w:val="00AE08F0"/>
    <w:rsid w:val="00AE1978"/>
    <w:rsid w:val="00B1524D"/>
    <w:rsid w:val="00B2298A"/>
    <w:rsid w:val="00B24015"/>
    <w:rsid w:val="00B27B62"/>
    <w:rsid w:val="00B31190"/>
    <w:rsid w:val="00B31A4A"/>
    <w:rsid w:val="00B33A19"/>
    <w:rsid w:val="00B36890"/>
    <w:rsid w:val="00B42237"/>
    <w:rsid w:val="00B54201"/>
    <w:rsid w:val="00B679F6"/>
    <w:rsid w:val="00B727C2"/>
    <w:rsid w:val="00B765D4"/>
    <w:rsid w:val="00BA15D6"/>
    <w:rsid w:val="00BA367C"/>
    <w:rsid w:val="00BB0BAB"/>
    <w:rsid w:val="00BB2F7E"/>
    <w:rsid w:val="00BB70B2"/>
    <w:rsid w:val="00BC12A5"/>
    <w:rsid w:val="00BD3AC6"/>
    <w:rsid w:val="00BD4CDA"/>
    <w:rsid w:val="00BD5485"/>
    <w:rsid w:val="00BE5A24"/>
    <w:rsid w:val="00C04C2B"/>
    <w:rsid w:val="00C2035A"/>
    <w:rsid w:val="00C20861"/>
    <w:rsid w:val="00C26772"/>
    <w:rsid w:val="00C47DBB"/>
    <w:rsid w:val="00C52EBE"/>
    <w:rsid w:val="00C57033"/>
    <w:rsid w:val="00C57C52"/>
    <w:rsid w:val="00C666D5"/>
    <w:rsid w:val="00C70998"/>
    <w:rsid w:val="00C77302"/>
    <w:rsid w:val="00C823C2"/>
    <w:rsid w:val="00CB5E7F"/>
    <w:rsid w:val="00CD3A83"/>
    <w:rsid w:val="00CE7A5C"/>
    <w:rsid w:val="00D17FAD"/>
    <w:rsid w:val="00D50105"/>
    <w:rsid w:val="00D830A4"/>
    <w:rsid w:val="00D8346D"/>
    <w:rsid w:val="00D90171"/>
    <w:rsid w:val="00D91387"/>
    <w:rsid w:val="00D97314"/>
    <w:rsid w:val="00DB2BB4"/>
    <w:rsid w:val="00DD0907"/>
    <w:rsid w:val="00DD1875"/>
    <w:rsid w:val="00DD32CE"/>
    <w:rsid w:val="00DD3863"/>
    <w:rsid w:val="00DE4DED"/>
    <w:rsid w:val="00DE64FA"/>
    <w:rsid w:val="00DE7784"/>
    <w:rsid w:val="00E04776"/>
    <w:rsid w:val="00E05955"/>
    <w:rsid w:val="00E10F9F"/>
    <w:rsid w:val="00E155C6"/>
    <w:rsid w:val="00E407F6"/>
    <w:rsid w:val="00E43FE0"/>
    <w:rsid w:val="00E55EDB"/>
    <w:rsid w:val="00E62CF0"/>
    <w:rsid w:val="00E813A1"/>
    <w:rsid w:val="00E827C5"/>
    <w:rsid w:val="00E828EA"/>
    <w:rsid w:val="00E90753"/>
    <w:rsid w:val="00E91FC0"/>
    <w:rsid w:val="00E924A7"/>
    <w:rsid w:val="00EB526B"/>
    <w:rsid w:val="00EC7632"/>
    <w:rsid w:val="00EC7BA6"/>
    <w:rsid w:val="00ED67D5"/>
    <w:rsid w:val="00EF6DA1"/>
    <w:rsid w:val="00F031BC"/>
    <w:rsid w:val="00F06690"/>
    <w:rsid w:val="00F15110"/>
    <w:rsid w:val="00F153C5"/>
    <w:rsid w:val="00F26F0B"/>
    <w:rsid w:val="00F535A3"/>
    <w:rsid w:val="00F641D9"/>
    <w:rsid w:val="00F70063"/>
    <w:rsid w:val="00F74187"/>
    <w:rsid w:val="00FA2E6F"/>
    <w:rsid w:val="00FB2B50"/>
    <w:rsid w:val="00FC412B"/>
    <w:rsid w:val="00FC79C9"/>
    <w:rsid w:val="00FF4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6287C"/>
  <w15:docId w15:val="{B561976D-EEBA-4AC0-8CE6-2DA5D39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3">
    <w:name w:val="heading 3"/>
    <w:basedOn w:val="Normal"/>
    <w:link w:val="Heading3Char"/>
    <w:uiPriority w:val="9"/>
    <w:qFormat/>
    <w:rsid w:val="000C27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u w:color="000000"/>
    </w:rPr>
  </w:style>
  <w:style w:type="numbering" w:customStyle="1" w:styleId="ImportedStyle1">
    <w:name w:val="Imported Style 1"/>
    <w:pPr>
      <w:numPr>
        <w:numId w:val="1"/>
      </w:numPr>
    </w:pPr>
  </w:style>
  <w:style w:type="paragraph" w:customStyle="1" w:styleId="FreeForm">
    <w:name w:val="Free Form"/>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99"/>
      <w:u w:val="single" w:color="000099"/>
    </w:rPr>
  </w:style>
  <w:style w:type="character" w:customStyle="1" w:styleId="Hyperlink1">
    <w:name w:val="Hyperlink.1"/>
    <w:basedOn w:val="None"/>
    <w:rPr>
      <w:rFonts w:ascii="Arial" w:eastAsia="Arial" w:hAnsi="Arial" w:cs="Arial"/>
      <w:color w:val="004C7F"/>
      <w:sz w:val="20"/>
      <w:szCs w:val="20"/>
      <w:u w:val="single" w:color="004C7F"/>
    </w:rPr>
  </w:style>
  <w:style w:type="paragraph" w:styleId="BalloonText">
    <w:name w:val="Balloon Text"/>
    <w:basedOn w:val="Normal"/>
    <w:link w:val="BalloonTextChar"/>
    <w:uiPriority w:val="99"/>
    <w:semiHidden/>
    <w:unhideWhenUsed/>
    <w:rsid w:val="00405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80"/>
    <w:rPr>
      <w:rFonts w:ascii="Lucida Grande" w:hAnsi="Lucida Grande" w:cs="Lucida Grande"/>
      <w:sz w:val="18"/>
      <w:szCs w:val="18"/>
      <w:lang w:val="en-US"/>
    </w:rPr>
  </w:style>
  <w:style w:type="paragraph" w:styleId="Footer">
    <w:name w:val="footer"/>
    <w:basedOn w:val="Normal"/>
    <w:link w:val="FooterChar"/>
    <w:uiPriority w:val="99"/>
    <w:semiHidden/>
    <w:unhideWhenUsed/>
    <w:rsid w:val="00BE5A24"/>
    <w:pPr>
      <w:tabs>
        <w:tab w:val="center" w:pos="4320"/>
        <w:tab w:val="right" w:pos="8640"/>
      </w:tabs>
    </w:pPr>
  </w:style>
  <w:style w:type="character" w:customStyle="1" w:styleId="FooterChar">
    <w:name w:val="Footer Char"/>
    <w:basedOn w:val="DefaultParagraphFont"/>
    <w:link w:val="Footer"/>
    <w:uiPriority w:val="99"/>
    <w:semiHidden/>
    <w:rsid w:val="00BE5A24"/>
    <w:rPr>
      <w:sz w:val="24"/>
      <w:szCs w:val="24"/>
      <w:lang w:val="en-US"/>
    </w:rPr>
  </w:style>
  <w:style w:type="paragraph" w:styleId="NormalWeb">
    <w:name w:val="Normal (Web)"/>
    <w:basedOn w:val="Normal"/>
    <w:uiPriority w:val="99"/>
    <w:semiHidden/>
    <w:unhideWhenUsed/>
    <w:rsid w:val="000A5B10"/>
  </w:style>
  <w:style w:type="paragraph" w:styleId="NoSpacing">
    <w:name w:val="No Spacing"/>
    <w:uiPriority w:val="1"/>
    <w:qFormat/>
    <w:rsid w:val="00146324"/>
    <w:rPr>
      <w:sz w:val="24"/>
      <w:szCs w:val="24"/>
      <w:lang w:val="en-US"/>
    </w:rPr>
  </w:style>
  <w:style w:type="character" w:styleId="CommentReference">
    <w:name w:val="annotation reference"/>
    <w:basedOn w:val="DefaultParagraphFont"/>
    <w:uiPriority w:val="99"/>
    <w:semiHidden/>
    <w:unhideWhenUsed/>
    <w:rsid w:val="00000546"/>
    <w:rPr>
      <w:sz w:val="16"/>
      <w:szCs w:val="16"/>
    </w:rPr>
  </w:style>
  <w:style w:type="paragraph" w:styleId="CommentText">
    <w:name w:val="annotation text"/>
    <w:basedOn w:val="Normal"/>
    <w:link w:val="CommentTextChar"/>
    <w:uiPriority w:val="99"/>
    <w:semiHidden/>
    <w:unhideWhenUsed/>
    <w:rsid w:val="00000546"/>
    <w:rPr>
      <w:sz w:val="20"/>
      <w:szCs w:val="20"/>
    </w:rPr>
  </w:style>
  <w:style w:type="character" w:customStyle="1" w:styleId="CommentTextChar">
    <w:name w:val="Comment Text Char"/>
    <w:basedOn w:val="DefaultParagraphFont"/>
    <w:link w:val="CommentText"/>
    <w:uiPriority w:val="99"/>
    <w:semiHidden/>
    <w:rsid w:val="00000546"/>
    <w:rPr>
      <w:lang w:val="en-US"/>
    </w:rPr>
  </w:style>
  <w:style w:type="paragraph" w:styleId="CommentSubject">
    <w:name w:val="annotation subject"/>
    <w:basedOn w:val="CommentText"/>
    <w:next w:val="CommentText"/>
    <w:link w:val="CommentSubjectChar"/>
    <w:uiPriority w:val="99"/>
    <w:semiHidden/>
    <w:unhideWhenUsed/>
    <w:rsid w:val="00000546"/>
    <w:rPr>
      <w:b/>
      <w:bCs/>
    </w:rPr>
  </w:style>
  <w:style w:type="character" w:customStyle="1" w:styleId="CommentSubjectChar">
    <w:name w:val="Comment Subject Char"/>
    <w:basedOn w:val="CommentTextChar"/>
    <w:link w:val="CommentSubject"/>
    <w:uiPriority w:val="99"/>
    <w:semiHidden/>
    <w:rsid w:val="00000546"/>
    <w:rPr>
      <w:b/>
      <w:bCs/>
      <w:lang w:val="en-US"/>
    </w:rPr>
  </w:style>
  <w:style w:type="paragraph" w:styleId="ListParagraph">
    <w:name w:val="List Paragraph"/>
    <w:basedOn w:val="Normal"/>
    <w:link w:val="ListParagraphChar"/>
    <w:uiPriority w:val="34"/>
    <w:qFormat/>
    <w:rsid w:val="006D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ListParagraphChar">
    <w:name w:val="List Paragraph Char"/>
    <w:basedOn w:val="DefaultParagraphFont"/>
    <w:link w:val="ListParagraph"/>
    <w:uiPriority w:val="34"/>
    <w:rsid w:val="006D5F77"/>
    <w:rPr>
      <w:rFonts w:asciiTheme="minorHAnsi" w:eastAsiaTheme="minorHAnsi" w:hAnsiTheme="minorHAnsi" w:cstheme="minorBidi"/>
      <w:sz w:val="22"/>
      <w:szCs w:val="22"/>
      <w:bdr w:val="none" w:sz="0" w:space="0" w:color="auto"/>
    </w:rPr>
  </w:style>
  <w:style w:type="paragraph" w:customStyle="1" w:styleId="EndNoteBibliography">
    <w:name w:val="EndNote Bibliography"/>
    <w:basedOn w:val="Normal"/>
    <w:link w:val="EndNoteBibliographyChar"/>
    <w:rsid w:val="00DD32CE"/>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Theme="minorHAnsi" w:hAnsi="Calibri" w:cs="Calibri"/>
      <w:noProof/>
      <w:sz w:val="22"/>
      <w:szCs w:val="22"/>
      <w:bdr w:val="none" w:sz="0" w:space="0" w:color="auto"/>
    </w:rPr>
  </w:style>
  <w:style w:type="character" w:styleId="Strong">
    <w:name w:val="Strong"/>
    <w:basedOn w:val="DefaultParagraphFont"/>
    <w:uiPriority w:val="22"/>
    <w:qFormat/>
    <w:rsid w:val="001B314D"/>
    <w:rPr>
      <w:b/>
      <w:bCs/>
    </w:rPr>
  </w:style>
  <w:style w:type="paragraph" w:styleId="FootnoteText">
    <w:name w:val="footnote text"/>
    <w:basedOn w:val="Normal"/>
    <w:link w:val="FootnoteTextChar"/>
    <w:uiPriority w:val="99"/>
    <w:semiHidden/>
    <w:unhideWhenUsed/>
    <w:rsid w:val="00B1524D"/>
    <w:rPr>
      <w:sz w:val="20"/>
      <w:szCs w:val="20"/>
    </w:rPr>
  </w:style>
  <w:style w:type="character" w:customStyle="1" w:styleId="FootnoteTextChar">
    <w:name w:val="Footnote Text Char"/>
    <w:basedOn w:val="DefaultParagraphFont"/>
    <w:link w:val="FootnoteText"/>
    <w:uiPriority w:val="99"/>
    <w:semiHidden/>
    <w:rsid w:val="00B1524D"/>
    <w:rPr>
      <w:lang w:val="en-US"/>
    </w:rPr>
  </w:style>
  <w:style w:type="character" w:styleId="FootnoteReference">
    <w:name w:val="footnote reference"/>
    <w:basedOn w:val="DefaultParagraphFont"/>
    <w:uiPriority w:val="99"/>
    <w:semiHidden/>
    <w:unhideWhenUsed/>
    <w:rsid w:val="00B1524D"/>
    <w:rPr>
      <w:vertAlign w:val="superscript"/>
    </w:rPr>
  </w:style>
  <w:style w:type="character" w:styleId="FollowedHyperlink">
    <w:name w:val="FollowedHyperlink"/>
    <w:basedOn w:val="DefaultParagraphFont"/>
    <w:uiPriority w:val="99"/>
    <w:semiHidden/>
    <w:unhideWhenUsed/>
    <w:rsid w:val="00672AFE"/>
    <w:rPr>
      <w:color w:val="FF00FF" w:themeColor="followedHyperlink"/>
      <w:u w:val="single"/>
    </w:rPr>
  </w:style>
  <w:style w:type="paragraph" w:styleId="Bibliography">
    <w:name w:val="Bibliography"/>
    <w:basedOn w:val="Normal"/>
    <w:next w:val="Normal"/>
    <w:uiPriority w:val="37"/>
    <w:unhideWhenUsed/>
    <w:rsid w:val="00672AFE"/>
    <w:pPr>
      <w:tabs>
        <w:tab w:val="left" w:pos="384"/>
      </w:tabs>
      <w:spacing w:line="480" w:lineRule="auto"/>
      <w:ind w:left="384" w:hanging="384"/>
    </w:pPr>
  </w:style>
  <w:style w:type="character" w:customStyle="1" w:styleId="EndNoteBibliographyChar">
    <w:name w:val="EndNote Bibliography Char"/>
    <w:basedOn w:val="ListParagraphChar"/>
    <w:link w:val="EndNoteBibliography"/>
    <w:rsid w:val="00073A12"/>
    <w:rPr>
      <w:rFonts w:ascii="Calibri" w:eastAsiaTheme="minorHAnsi" w:hAnsi="Calibri" w:cs="Calibri"/>
      <w:noProof/>
      <w:sz w:val="22"/>
      <w:szCs w:val="22"/>
      <w:bdr w:val="none" w:sz="0" w:space="0" w:color="auto"/>
      <w:lang w:val="en-US"/>
    </w:rPr>
  </w:style>
  <w:style w:type="paragraph" w:customStyle="1" w:styleId="Default">
    <w:name w:val="Default"/>
    <w:rsid w:val="00073A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AU"/>
    </w:rPr>
  </w:style>
  <w:style w:type="character" w:customStyle="1" w:styleId="Heading3Char">
    <w:name w:val="Heading 3 Char"/>
    <w:basedOn w:val="DefaultParagraphFont"/>
    <w:link w:val="Heading3"/>
    <w:uiPriority w:val="9"/>
    <w:rsid w:val="000C2755"/>
    <w:rPr>
      <w:rFonts w:eastAsia="Times New Roman"/>
      <w:b/>
      <w:bCs/>
      <w:sz w:val="27"/>
      <w:szCs w:val="27"/>
      <w:bdr w:val="none" w:sz="0" w:space="0" w:color="auto"/>
      <w:lang w:val="en-AU" w:eastAsia="en-AU"/>
    </w:rPr>
  </w:style>
  <w:style w:type="paragraph" w:styleId="Revision">
    <w:name w:val="Revision"/>
    <w:hidden/>
    <w:uiPriority w:val="99"/>
    <w:semiHidden/>
    <w:rsid w:val="00D973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Compact">
    <w:name w:val="Compact"/>
    <w:basedOn w:val="BodyText"/>
    <w:qFormat/>
    <w:rsid w:val="00375DEF"/>
    <w:pPr>
      <w:pBdr>
        <w:top w:val="none" w:sz="0" w:space="0" w:color="auto"/>
        <w:left w:val="none" w:sz="0" w:space="0" w:color="auto"/>
        <w:bottom w:val="none" w:sz="0" w:space="0" w:color="auto"/>
        <w:right w:val="none" w:sz="0" w:space="0" w:color="auto"/>
        <w:between w:val="none" w:sz="0" w:space="0" w:color="auto"/>
        <w:bar w:val="none" w:sz="0" w:color="auto"/>
      </w:pBdr>
      <w:spacing w:before="36" w:after="36"/>
    </w:pPr>
    <w:rPr>
      <w:rFonts w:asciiTheme="minorHAnsi" w:eastAsiaTheme="minorHAnsi" w:hAnsiTheme="minorHAnsi" w:cstheme="minorBidi"/>
      <w:bdr w:val="none" w:sz="0" w:space="0" w:color="auto"/>
    </w:rPr>
  </w:style>
  <w:style w:type="paragraph" w:styleId="BodyText">
    <w:name w:val="Body Text"/>
    <w:basedOn w:val="Normal"/>
    <w:link w:val="BodyTextChar"/>
    <w:uiPriority w:val="99"/>
    <w:semiHidden/>
    <w:unhideWhenUsed/>
    <w:rsid w:val="00375DEF"/>
    <w:pPr>
      <w:spacing w:after="120"/>
    </w:pPr>
  </w:style>
  <w:style w:type="character" w:customStyle="1" w:styleId="BodyTextChar">
    <w:name w:val="Body Text Char"/>
    <w:basedOn w:val="DefaultParagraphFont"/>
    <w:link w:val="BodyText"/>
    <w:uiPriority w:val="99"/>
    <w:semiHidden/>
    <w:rsid w:val="00375DEF"/>
    <w:rPr>
      <w:sz w:val="24"/>
      <w:szCs w:val="24"/>
      <w:lang w:val="en-US"/>
    </w:rPr>
  </w:style>
  <w:style w:type="character" w:styleId="LineNumber">
    <w:name w:val="line number"/>
    <w:basedOn w:val="DefaultParagraphFont"/>
    <w:uiPriority w:val="99"/>
    <w:semiHidden/>
    <w:unhideWhenUsed/>
    <w:rsid w:val="0040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1394">
      <w:bodyDiv w:val="1"/>
      <w:marLeft w:val="0"/>
      <w:marRight w:val="0"/>
      <w:marTop w:val="0"/>
      <w:marBottom w:val="0"/>
      <w:divBdr>
        <w:top w:val="none" w:sz="0" w:space="0" w:color="auto"/>
        <w:left w:val="none" w:sz="0" w:space="0" w:color="auto"/>
        <w:bottom w:val="none" w:sz="0" w:space="0" w:color="auto"/>
        <w:right w:val="none" w:sz="0" w:space="0" w:color="auto"/>
      </w:divBdr>
    </w:div>
    <w:div w:id="281965544">
      <w:bodyDiv w:val="1"/>
      <w:marLeft w:val="0"/>
      <w:marRight w:val="0"/>
      <w:marTop w:val="0"/>
      <w:marBottom w:val="0"/>
      <w:divBdr>
        <w:top w:val="none" w:sz="0" w:space="0" w:color="auto"/>
        <w:left w:val="none" w:sz="0" w:space="0" w:color="auto"/>
        <w:bottom w:val="none" w:sz="0" w:space="0" w:color="auto"/>
        <w:right w:val="none" w:sz="0" w:space="0" w:color="auto"/>
      </w:divBdr>
    </w:div>
    <w:div w:id="691493015">
      <w:bodyDiv w:val="1"/>
      <w:marLeft w:val="0"/>
      <w:marRight w:val="0"/>
      <w:marTop w:val="0"/>
      <w:marBottom w:val="0"/>
      <w:divBdr>
        <w:top w:val="none" w:sz="0" w:space="0" w:color="auto"/>
        <w:left w:val="none" w:sz="0" w:space="0" w:color="auto"/>
        <w:bottom w:val="none" w:sz="0" w:space="0" w:color="auto"/>
        <w:right w:val="none" w:sz="0" w:space="0" w:color="auto"/>
      </w:divBdr>
    </w:div>
    <w:div w:id="834958874">
      <w:bodyDiv w:val="1"/>
      <w:marLeft w:val="0"/>
      <w:marRight w:val="0"/>
      <w:marTop w:val="0"/>
      <w:marBottom w:val="0"/>
      <w:divBdr>
        <w:top w:val="none" w:sz="0" w:space="0" w:color="auto"/>
        <w:left w:val="none" w:sz="0" w:space="0" w:color="auto"/>
        <w:bottom w:val="none" w:sz="0" w:space="0" w:color="auto"/>
        <w:right w:val="none" w:sz="0" w:space="0" w:color="auto"/>
      </w:divBdr>
      <w:divsChild>
        <w:div w:id="1504851920">
          <w:marLeft w:val="0"/>
          <w:marRight w:val="0"/>
          <w:marTop w:val="0"/>
          <w:marBottom w:val="0"/>
          <w:divBdr>
            <w:top w:val="none" w:sz="0" w:space="0" w:color="auto"/>
            <w:left w:val="none" w:sz="0" w:space="0" w:color="auto"/>
            <w:bottom w:val="none" w:sz="0" w:space="0" w:color="auto"/>
            <w:right w:val="none" w:sz="0" w:space="0" w:color="auto"/>
          </w:divBdr>
          <w:divsChild>
            <w:div w:id="1899827867">
              <w:marLeft w:val="0"/>
              <w:marRight w:val="0"/>
              <w:marTop w:val="0"/>
              <w:marBottom w:val="0"/>
              <w:divBdr>
                <w:top w:val="none" w:sz="0" w:space="0" w:color="auto"/>
                <w:left w:val="none" w:sz="0" w:space="0" w:color="auto"/>
                <w:bottom w:val="none" w:sz="0" w:space="0" w:color="auto"/>
                <w:right w:val="none" w:sz="0" w:space="0" w:color="auto"/>
              </w:divBdr>
              <w:divsChild>
                <w:div w:id="11334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2468">
      <w:bodyDiv w:val="1"/>
      <w:marLeft w:val="0"/>
      <w:marRight w:val="0"/>
      <w:marTop w:val="0"/>
      <w:marBottom w:val="0"/>
      <w:divBdr>
        <w:top w:val="none" w:sz="0" w:space="0" w:color="auto"/>
        <w:left w:val="none" w:sz="0" w:space="0" w:color="auto"/>
        <w:bottom w:val="none" w:sz="0" w:space="0" w:color="auto"/>
        <w:right w:val="none" w:sz="0" w:space="0" w:color="auto"/>
      </w:divBdr>
    </w:div>
    <w:div w:id="1243643728">
      <w:bodyDiv w:val="1"/>
      <w:marLeft w:val="0"/>
      <w:marRight w:val="0"/>
      <w:marTop w:val="0"/>
      <w:marBottom w:val="0"/>
      <w:divBdr>
        <w:top w:val="none" w:sz="0" w:space="0" w:color="auto"/>
        <w:left w:val="none" w:sz="0" w:space="0" w:color="auto"/>
        <w:bottom w:val="none" w:sz="0" w:space="0" w:color="auto"/>
        <w:right w:val="none" w:sz="0" w:space="0" w:color="auto"/>
      </w:divBdr>
    </w:div>
    <w:div w:id="1817987929">
      <w:bodyDiv w:val="1"/>
      <w:marLeft w:val="0"/>
      <w:marRight w:val="0"/>
      <w:marTop w:val="0"/>
      <w:marBottom w:val="0"/>
      <w:divBdr>
        <w:top w:val="none" w:sz="0" w:space="0" w:color="auto"/>
        <w:left w:val="none" w:sz="0" w:space="0" w:color="auto"/>
        <w:bottom w:val="none" w:sz="0" w:space="0" w:color="auto"/>
        <w:right w:val="none" w:sz="0" w:space="0" w:color="auto"/>
      </w:divBdr>
      <w:divsChild>
        <w:div w:id="1789082911">
          <w:marLeft w:val="0"/>
          <w:marRight w:val="0"/>
          <w:marTop w:val="0"/>
          <w:marBottom w:val="0"/>
          <w:divBdr>
            <w:top w:val="none" w:sz="0" w:space="0" w:color="auto"/>
            <w:left w:val="none" w:sz="0" w:space="0" w:color="auto"/>
            <w:bottom w:val="none" w:sz="0" w:space="0" w:color="auto"/>
            <w:right w:val="none" w:sz="0" w:space="0" w:color="auto"/>
          </w:divBdr>
          <w:divsChild>
            <w:div w:id="1789275816">
              <w:marLeft w:val="0"/>
              <w:marRight w:val="0"/>
              <w:marTop w:val="0"/>
              <w:marBottom w:val="0"/>
              <w:divBdr>
                <w:top w:val="none" w:sz="0" w:space="0" w:color="auto"/>
                <w:left w:val="none" w:sz="0" w:space="0" w:color="auto"/>
                <w:bottom w:val="none" w:sz="0" w:space="0" w:color="auto"/>
                <w:right w:val="none" w:sz="0" w:space="0" w:color="auto"/>
              </w:divBdr>
              <w:divsChild>
                <w:div w:id="1461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496">
      <w:bodyDiv w:val="1"/>
      <w:marLeft w:val="0"/>
      <w:marRight w:val="0"/>
      <w:marTop w:val="0"/>
      <w:marBottom w:val="0"/>
      <w:divBdr>
        <w:top w:val="none" w:sz="0" w:space="0" w:color="auto"/>
        <w:left w:val="none" w:sz="0" w:space="0" w:color="auto"/>
        <w:bottom w:val="none" w:sz="0" w:space="0" w:color="auto"/>
        <w:right w:val="none" w:sz="0" w:space="0" w:color="auto"/>
      </w:divBdr>
    </w:div>
    <w:div w:id="1998411524">
      <w:bodyDiv w:val="1"/>
      <w:marLeft w:val="0"/>
      <w:marRight w:val="0"/>
      <w:marTop w:val="0"/>
      <w:marBottom w:val="0"/>
      <w:divBdr>
        <w:top w:val="none" w:sz="0" w:space="0" w:color="auto"/>
        <w:left w:val="none" w:sz="0" w:space="0" w:color="auto"/>
        <w:bottom w:val="none" w:sz="0" w:space="0" w:color="auto"/>
        <w:right w:val="none" w:sz="0" w:space="0" w:color="auto"/>
      </w:divBdr>
    </w:div>
    <w:div w:id="2039743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github.com/mbhall88/taeper" TargetMode="External"/><Relationship Id="rId3" Type="http://schemas.openxmlformats.org/officeDocument/2006/relationships/customXml" Target="../customXml/item3.xml"/><Relationship Id="rId21" Type="http://schemas.openxmlformats.org/officeDocument/2006/relationships/hyperlink" Target="https://github.com/esteinig/sketchy" TargetMode="External"/><Relationship Id="rId7" Type="http://schemas.openxmlformats.org/officeDocument/2006/relationships/settings" Target="settings.xml"/><Relationship Id="rId12" Type="http://schemas.openxmlformats.org/officeDocument/2006/relationships/hyperlink" Target="https://www.georgeinstitute.org/sites/default/files/documents/stopping-sepsis-national-action-plan.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github.com/mdcao/npAnalys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reporting-guidelines/spirit-2013-statement-defining-standard-protocol-items-for-clinical-trial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ithub.com/esteinig/nano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22F4D8-3960-4CDA-8A22-DE987CCEB4D4}" type="doc">
      <dgm:prSet loTypeId="urn:microsoft.com/office/officeart/2005/8/layout/process2" loCatId="process" qsTypeId="urn:microsoft.com/office/officeart/2005/8/quickstyle/simple1" qsCatId="simple" csTypeId="urn:microsoft.com/office/officeart/2005/8/colors/accent0_1" csCatId="mainScheme" phldr="1"/>
      <dgm:spPr/>
    </dgm:pt>
    <dgm:pt modelId="{EE7B800B-94EB-452A-9A11-92DB9337E2D3}">
      <dgm:prSet phldrT="[Text]" custT="1"/>
      <dgm:spPr/>
      <dgm:t>
        <a:bodyPr/>
        <a:lstStyle/>
        <a:p>
          <a:r>
            <a:rPr lang="en-US" sz="1100">
              <a:latin typeface="Arial" panose="020B0604020202020204" pitchFamily="34" charset="0"/>
              <a:cs typeface="Arial" panose="020B0604020202020204" pitchFamily="34" charset="0"/>
            </a:rPr>
            <a:t>Phase 1:</a:t>
          </a:r>
        </a:p>
        <a:p>
          <a:r>
            <a:rPr lang="en-US" sz="1100">
              <a:latin typeface="Arial" panose="020B0604020202020204" pitchFamily="34" charset="0"/>
              <a:cs typeface="Arial" panose="020B0604020202020204" pitchFamily="34" charset="0"/>
            </a:rPr>
            <a:t>Observational.</a:t>
          </a:r>
        </a:p>
        <a:p>
          <a:r>
            <a:rPr lang="en-US" sz="1100">
              <a:latin typeface="Arial" panose="020B0604020202020204" pitchFamily="34" charset="0"/>
              <a:cs typeface="Arial" panose="020B0604020202020204" pitchFamily="34" charset="0"/>
            </a:rPr>
            <a:t>Rapid pathogen sequencing using ONT MinION direct from blood. </a:t>
          </a:r>
        </a:p>
        <a:p>
          <a:r>
            <a:rPr lang="en-US" sz="1100">
              <a:latin typeface="Arial" panose="020B0604020202020204" pitchFamily="34" charset="0"/>
              <a:cs typeface="Arial" panose="020B0604020202020204" pitchFamily="34" charset="0"/>
            </a:rPr>
            <a:t>Sample size n=50.</a:t>
          </a:r>
        </a:p>
        <a:p>
          <a:r>
            <a:rPr lang="en-US" sz="1100">
              <a:latin typeface="Arial" panose="020B0604020202020204" pitchFamily="34" charset="0"/>
              <a:cs typeface="Arial" panose="020B0604020202020204" pitchFamily="34" charset="0"/>
            </a:rPr>
            <a:t>Culture-confirmed sepsis </a:t>
          </a:r>
        </a:p>
      </dgm:t>
    </dgm:pt>
    <dgm:pt modelId="{88F6BC57-2759-4144-B3D5-66E00D0F7D01}" type="parTrans" cxnId="{AE35AD45-908B-4397-840B-C3AAE6344F3F}">
      <dgm:prSet/>
      <dgm:spPr/>
      <dgm:t>
        <a:bodyPr/>
        <a:lstStyle/>
        <a:p>
          <a:endParaRPr lang="en-US" sz="1100">
            <a:latin typeface="Arial" panose="020B0604020202020204" pitchFamily="34" charset="0"/>
            <a:cs typeface="Arial" panose="020B0604020202020204" pitchFamily="34" charset="0"/>
          </a:endParaRPr>
        </a:p>
      </dgm:t>
    </dgm:pt>
    <dgm:pt modelId="{931665DA-98A8-4A75-B163-3A019F961E00}" type="sibTrans" cxnId="{AE35AD45-908B-4397-840B-C3AAE6344F3F}">
      <dgm:prSet custT="1"/>
      <dgm:spPr/>
      <dgm:t>
        <a:bodyPr/>
        <a:lstStyle/>
        <a:p>
          <a:endParaRPr lang="en-US" sz="1100">
            <a:latin typeface="Arial" panose="020B0604020202020204" pitchFamily="34" charset="0"/>
            <a:cs typeface="Arial" panose="020B0604020202020204" pitchFamily="34" charset="0"/>
          </a:endParaRPr>
        </a:p>
      </dgm:t>
    </dgm:pt>
    <dgm:pt modelId="{7CEFADBD-9A9C-4F22-B112-DD246D230B1E}">
      <dgm:prSet phldrT="[Text]" custT="1"/>
      <dgm:spPr/>
      <dgm:t>
        <a:bodyPr/>
        <a:lstStyle/>
        <a:p>
          <a:r>
            <a:rPr lang="en-US" sz="1100">
              <a:latin typeface="Arial" panose="020B0604020202020204" pitchFamily="34" charset="0"/>
              <a:cs typeface="Arial" panose="020B0604020202020204" pitchFamily="34" charset="0"/>
            </a:rPr>
            <a:t>Phase 2:</a:t>
          </a:r>
        </a:p>
        <a:p>
          <a:r>
            <a:rPr lang="en-US" sz="1100">
              <a:latin typeface="Arial" panose="020B0604020202020204" pitchFamily="34" charset="0"/>
              <a:cs typeface="Arial" panose="020B0604020202020204" pitchFamily="34" charset="0"/>
            </a:rPr>
            <a:t>Interventional.</a:t>
          </a:r>
        </a:p>
        <a:p>
          <a:r>
            <a:rPr lang="en-US" sz="1100">
              <a:latin typeface="Arial" panose="020B0604020202020204" pitchFamily="34" charset="0"/>
              <a:cs typeface="Arial" panose="020B0604020202020204" pitchFamily="34" charset="0"/>
            </a:rPr>
            <a:t>Rapid pathogen sequencing followed by Bayesian software-guided dosing recommendations (ID-ODS). </a:t>
          </a:r>
        </a:p>
        <a:p>
          <a:r>
            <a:rPr lang="en-US" sz="1100">
              <a:latin typeface="Arial" panose="020B0604020202020204" pitchFamily="34" charset="0"/>
              <a:cs typeface="Arial" panose="020B0604020202020204" pitchFamily="34" charset="0"/>
            </a:rPr>
            <a:t>Sample size n=50.</a:t>
          </a:r>
        </a:p>
        <a:p>
          <a:r>
            <a:rPr lang="en-US" sz="1100">
              <a:latin typeface="Arial" panose="020B0604020202020204" pitchFamily="34" charset="0"/>
              <a:cs typeface="Arial" panose="020B0604020202020204" pitchFamily="34" charset="0"/>
            </a:rPr>
            <a:t>Consecutive patients with suspected sepsis</a:t>
          </a:r>
        </a:p>
      </dgm:t>
    </dgm:pt>
    <dgm:pt modelId="{F8C4C7F5-32CC-4E47-AB8B-A740C6DC9914}" type="sibTrans" cxnId="{B7C79241-AC4A-49D8-B73B-57DAEF3D8C05}">
      <dgm:prSet/>
      <dgm:spPr/>
      <dgm:t>
        <a:bodyPr/>
        <a:lstStyle/>
        <a:p>
          <a:endParaRPr lang="en-US" sz="1100">
            <a:latin typeface="Arial" panose="020B0604020202020204" pitchFamily="34" charset="0"/>
            <a:cs typeface="Arial" panose="020B0604020202020204" pitchFamily="34" charset="0"/>
          </a:endParaRPr>
        </a:p>
      </dgm:t>
    </dgm:pt>
    <dgm:pt modelId="{1FAE3FB2-34A8-40B9-8B43-C971355CB4BB}" type="parTrans" cxnId="{B7C79241-AC4A-49D8-B73B-57DAEF3D8C05}">
      <dgm:prSet/>
      <dgm:spPr/>
      <dgm:t>
        <a:bodyPr/>
        <a:lstStyle/>
        <a:p>
          <a:endParaRPr lang="en-US" sz="1100">
            <a:latin typeface="Arial" panose="020B0604020202020204" pitchFamily="34" charset="0"/>
            <a:cs typeface="Arial" panose="020B0604020202020204" pitchFamily="34" charset="0"/>
          </a:endParaRPr>
        </a:p>
      </dgm:t>
    </dgm:pt>
    <dgm:pt modelId="{35E46E45-1D2F-4DDB-9115-25B26035EEFC}" type="pres">
      <dgm:prSet presAssocID="{3422F4D8-3960-4CDA-8A22-DE987CCEB4D4}" presName="linearFlow" presStyleCnt="0">
        <dgm:presLayoutVars>
          <dgm:resizeHandles val="exact"/>
        </dgm:presLayoutVars>
      </dgm:prSet>
      <dgm:spPr/>
    </dgm:pt>
    <dgm:pt modelId="{3A1B9A10-62C1-4FB7-8E8E-8326E07D8A10}" type="pres">
      <dgm:prSet presAssocID="{EE7B800B-94EB-452A-9A11-92DB9337E2D3}" presName="node" presStyleLbl="node1" presStyleIdx="0" presStyleCnt="2" custLinFactNeighborY="4465">
        <dgm:presLayoutVars>
          <dgm:bulletEnabled val="1"/>
        </dgm:presLayoutVars>
      </dgm:prSet>
      <dgm:spPr/>
    </dgm:pt>
    <dgm:pt modelId="{ACA4FABB-872C-4348-8B74-AE840CED56C1}" type="pres">
      <dgm:prSet presAssocID="{931665DA-98A8-4A75-B163-3A019F961E00}" presName="sibTrans" presStyleLbl="sibTrans2D1" presStyleIdx="0" presStyleCnt="1"/>
      <dgm:spPr/>
    </dgm:pt>
    <dgm:pt modelId="{9909EBA2-8C61-4AEB-A293-882F7BAE6768}" type="pres">
      <dgm:prSet presAssocID="{931665DA-98A8-4A75-B163-3A019F961E00}" presName="connectorText" presStyleLbl="sibTrans2D1" presStyleIdx="0" presStyleCnt="1"/>
      <dgm:spPr/>
    </dgm:pt>
    <dgm:pt modelId="{9C814A15-66A4-4C7F-8FE9-83C5E9116FF6}" type="pres">
      <dgm:prSet presAssocID="{7CEFADBD-9A9C-4F22-B112-DD246D230B1E}" presName="node" presStyleLbl="node1" presStyleIdx="1" presStyleCnt="2" custLinFactNeighborY="-5954">
        <dgm:presLayoutVars>
          <dgm:bulletEnabled val="1"/>
        </dgm:presLayoutVars>
      </dgm:prSet>
      <dgm:spPr/>
    </dgm:pt>
  </dgm:ptLst>
  <dgm:cxnLst>
    <dgm:cxn modelId="{10BC3101-4883-4177-A252-163C6C6C2D85}" type="presOf" srcId="{931665DA-98A8-4A75-B163-3A019F961E00}" destId="{9909EBA2-8C61-4AEB-A293-882F7BAE6768}" srcOrd="1" destOrd="0" presId="urn:microsoft.com/office/officeart/2005/8/layout/process2"/>
    <dgm:cxn modelId="{2BCD1A29-27A9-4698-8CD4-4B856972186F}" type="presOf" srcId="{7CEFADBD-9A9C-4F22-B112-DD246D230B1E}" destId="{9C814A15-66A4-4C7F-8FE9-83C5E9116FF6}" srcOrd="0" destOrd="0" presId="urn:microsoft.com/office/officeart/2005/8/layout/process2"/>
    <dgm:cxn modelId="{B7C79241-AC4A-49D8-B73B-57DAEF3D8C05}" srcId="{3422F4D8-3960-4CDA-8A22-DE987CCEB4D4}" destId="{7CEFADBD-9A9C-4F22-B112-DD246D230B1E}" srcOrd="1" destOrd="0" parTransId="{1FAE3FB2-34A8-40B9-8B43-C971355CB4BB}" sibTransId="{F8C4C7F5-32CC-4E47-AB8B-A740C6DC9914}"/>
    <dgm:cxn modelId="{AE35AD45-908B-4397-840B-C3AAE6344F3F}" srcId="{3422F4D8-3960-4CDA-8A22-DE987CCEB4D4}" destId="{EE7B800B-94EB-452A-9A11-92DB9337E2D3}" srcOrd="0" destOrd="0" parTransId="{88F6BC57-2759-4144-B3D5-66E00D0F7D01}" sibTransId="{931665DA-98A8-4A75-B163-3A019F961E00}"/>
    <dgm:cxn modelId="{C475907D-8BFE-4ACA-84D6-5497D1FCFC68}" type="presOf" srcId="{EE7B800B-94EB-452A-9A11-92DB9337E2D3}" destId="{3A1B9A10-62C1-4FB7-8E8E-8326E07D8A10}" srcOrd="0" destOrd="0" presId="urn:microsoft.com/office/officeart/2005/8/layout/process2"/>
    <dgm:cxn modelId="{7AD81585-56E5-4681-AE8A-91BD172157B1}" type="presOf" srcId="{3422F4D8-3960-4CDA-8A22-DE987CCEB4D4}" destId="{35E46E45-1D2F-4DDB-9115-25B26035EEFC}" srcOrd="0" destOrd="0" presId="urn:microsoft.com/office/officeart/2005/8/layout/process2"/>
    <dgm:cxn modelId="{F99E93CE-DED1-41DC-97CA-F0DBDB86B8EE}" type="presOf" srcId="{931665DA-98A8-4A75-B163-3A019F961E00}" destId="{ACA4FABB-872C-4348-8B74-AE840CED56C1}" srcOrd="0" destOrd="0" presId="urn:microsoft.com/office/officeart/2005/8/layout/process2"/>
    <dgm:cxn modelId="{3B6DFBC5-E616-48DD-8BED-253C359E3030}" type="presParOf" srcId="{35E46E45-1D2F-4DDB-9115-25B26035EEFC}" destId="{3A1B9A10-62C1-4FB7-8E8E-8326E07D8A10}" srcOrd="0" destOrd="0" presId="urn:microsoft.com/office/officeart/2005/8/layout/process2"/>
    <dgm:cxn modelId="{AFCD0AA7-9532-4DC7-BD5B-A88A86A3B37C}" type="presParOf" srcId="{35E46E45-1D2F-4DDB-9115-25B26035EEFC}" destId="{ACA4FABB-872C-4348-8B74-AE840CED56C1}" srcOrd="1" destOrd="0" presId="urn:microsoft.com/office/officeart/2005/8/layout/process2"/>
    <dgm:cxn modelId="{D240F561-9446-4EDD-9857-D8FB7AF105A5}" type="presParOf" srcId="{ACA4FABB-872C-4348-8B74-AE840CED56C1}" destId="{9909EBA2-8C61-4AEB-A293-882F7BAE6768}" srcOrd="0" destOrd="0" presId="urn:microsoft.com/office/officeart/2005/8/layout/process2"/>
    <dgm:cxn modelId="{C71B7B35-4FA0-488D-ABFD-0B53C8F2F896}" type="presParOf" srcId="{35E46E45-1D2F-4DDB-9115-25B26035EEFC}" destId="{9C814A15-66A4-4C7F-8FE9-83C5E9116FF6}" srcOrd="2"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B9A10-62C1-4FB7-8E8E-8326E07D8A10}">
      <dsp:nvSpPr>
        <dsp:cNvPr id="0" name=""/>
        <dsp:cNvSpPr/>
      </dsp:nvSpPr>
      <dsp:spPr>
        <a:xfrm>
          <a:off x="1519467" y="28963"/>
          <a:ext cx="3447589" cy="127984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Phase 1:</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Observational.</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Rapid pathogen sequencing using ONT MinION direct from blood. </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Sample size n=50.</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Culture-confirmed sepsis </a:t>
          </a:r>
        </a:p>
      </dsp:txBody>
      <dsp:txXfrm>
        <a:off x="1556952" y="66448"/>
        <a:ext cx="3372619" cy="1204877"/>
      </dsp:txXfrm>
    </dsp:sp>
    <dsp:sp modelId="{ACA4FABB-872C-4348-8B74-AE840CED56C1}">
      <dsp:nvSpPr>
        <dsp:cNvPr id="0" name=""/>
        <dsp:cNvSpPr/>
      </dsp:nvSpPr>
      <dsp:spPr>
        <a:xfrm rot="5400000">
          <a:off x="3028293" y="1307470"/>
          <a:ext cx="429937" cy="57593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70483" y="1380467"/>
        <a:ext cx="345559" cy="300956"/>
      </dsp:txXfrm>
    </dsp:sp>
    <dsp:sp modelId="{9C814A15-66A4-4C7F-8FE9-83C5E9116FF6}">
      <dsp:nvSpPr>
        <dsp:cNvPr id="0" name=""/>
        <dsp:cNvSpPr/>
      </dsp:nvSpPr>
      <dsp:spPr>
        <a:xfrm>
          <a:off x="1519467" y="1882060"/>
          <a:ext cx="3447589" cy="127984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Phase 2:</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Interventional.</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Rapid pathogen sequencing followed by Bayesian software-guided dosing recommendations (ID-ODS). </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Sample size n=50.</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Consecutive patients with suspected sepsis</a:t>
          </a:r>
        </a:p>
      </dsp:txBody>
      <dsp:txXfrm>
        <a:off x="1556952" y="1919545"/>
        <a:ext cx="3372619" cy="12048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05A4D1F2A4B4C8BCF738293A5F000" ma:contentTypeVersion="10" ma:contentTypeDescription="Create a new document." ma:contentTypeScope="" ma:versionID="c8574a5a126b1b887fa810a315b992f4">
  <xsd:schema xmlns:xsd="http://www.w3.org/2001/XMLSchema" xmlns:xs="http://www.w3.org/2001/XMLSchema" xmlns:p="http://schemas.microsoft.com/office/2006/metadata/properties" xmlns:ns3="854230c0-fcb9-42dc-b735-7a46c9a5a6cc" targetNamespace="http://schemas.microsoft.com/office/2006/metadata/properties" ma:root="true" ma:fieldsID="9daae52586598ccdcbfd5ca671527575" ns3:_="">
    <xsd:import namespace="854230c0-fcb9-42dc-b735-7a46c9a5a6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30c0-fcb9-42dc-b735-7a46c9a5a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1B1F84-5B21-404E-899C-23706F7229A1}">
  <ds:schemaRefs>
    <ds:schemaRef ds:uri="http://schemas.microsoft.com/sharepoint/v3/contenttype/forms"/>
  </ds:schemaRefs>
</ds:datastoreItem>
</file>

<file path=customXml/itemProps2.xml><?xml version="1.0" encoding="utf-8"?>
<ds:datastoreItem xmlns:ds="http://schemas.openxmlformats.org/officeDocument/2006/customXml" ds:itemID="{3D5916E5-E14F-422A-8ACD-B70A51AC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30c0-fcb9-42dc-b735-7a46c9a5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7269F-F2C6-4A9F-92B5-3E52A0586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060F5-941C-45D4-A64C-D88BB108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10338</Words>
  <Characters>58932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Claire Percival</cp:lastModifiedBy>
  <cp:revision>3</cp:revision>
  <cp:lastPrinted>2021-02-14T06:58:00Z</cp:lastPrinted>
  <dcterms:created xsi:type="dcterms:W3CDTF">2021-05-31T23:43:00Z</dcterms:created>
  <dcterms:modified xsi:type="dcterms:W3CDTF">2021-06-17T09:49:00Z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id="Mve3p91P"/&gt;&lt;style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y fmtid="{D5CDD505-2E9C-101B-9397-08002B2CF9AE}" pid="4" name="ContentTypeId">
    <vt:lpwstr>0x010100DA205A4D1F2A4B4C8BCF738293A5F000</vt:lpwstr>
  </property>
</Properties>
</file>