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27EEE6" w14:textId="77777777" w:rsidR="00654E8F" w:rsidRPr="00A27D4F" w:rsidRDefault="00654E8F" w:rsidP="00A27D4F">
      <w:pPr>
        <w:pStyle w:val="SupplementaryMaterial"/>
        <w:jc w:val="left"/>
        <w:rPr>
          <w:rFonts w:ascii="Times" w:hAnsi="Times"/>
          <w:b w:val="0"/>
          <w:sz w:val="24"/>
          <w:szCs w:val="24"/>
        </w:rPr>
      </w:pPr>
      <w:r w:rsidRPr="00A27D4F">
        <w:rPr>
          <w:rFonts w:ascii="Times" w:hAnsi="Times"/>
          <w:sz w:val="24"/>
          <w:szCs w:val="24"/>
        </w:rPr>
        <w:t>Supplementary Material</w:t>
      </w:r>
    </w:p>
    <w:p w14:paraId="0579586B" w14:textId="4AACB6DB" w:rsidR="00A27D4F" w:rsidRDefault="00A27D4F" w:rsidP="00A27D4F">
      <w:pPr>
        <w:pStyle w:val="MDPI62BackMatter"/>
        <w:numPr>
          <w:ilvl w:val="0"/>
          <w:numId w:val="21"/>
        </w:numPr>
        <w:spacing w:before="240"/>
        <w:rPr>
          <w:rFonts w:ascii="Times" w:hAnsi="Times"/>
          <w:b/>
          <w:bCs/>
          <w:sz w:val="24"/>
          <w:szCs w:val="24"/>
        </w:rPr>
      </w:pPr>
      <w:r w:rsidRPr="00A27D4F">
        <w:rPr>
          <w:rFonts w:ascii="Times" w:hAnsi="Times"/>
          <w:b/>
          <w:bCs/>
          <w:sz w:val="24"/>
          <w:szCs w:val="24"/>
        </w:rPr>
        <w:t>SUPPLEMENTARY FIGURES</w:t>
      </w:r>
    </w:p>
    <w:p w14:paraId="361B26CF" w14:textId="77777777" w:rsidR="00A27D4F" w:rsidRPr="00A27D4F" w:rsidRDefault="00A27D4F" w:rsidP="00A27D4F">
      <w:pPr>
        <w:pStyle w:val="MDPI62BackMatter"/>
        <w:spacing w:before="240"/>
        <w:ind w:left="1080"/>
        <w:rPr>
          <w:rFonts w:ascii="Times" w:hAnsi="Times"/>
          <w:b/>
          <w:bCs/>
          <w:sz w:val="24"/>
          <w:szCs w:val="24"/>
        </w:rPr>
      </w:pPr>
    </w:p>
    <w:p w14:paraId="434BC505" w14:textId="6B8154F7" w:rsidR="00A27D4F" w:rsidRPr="00A27D4F" w:rsidRDefault="00A27D4F" w:rsidP="00A27D4F">
      <w:pPr>
        <w:pStyle w:val="MDPI62BackMatter"/>
        <w:spacing w:before="240"/>
        <w:ind w:left="0"/>
        <w:rPr>
          <w:rFonts w:ascii="Times" w:hAnsi="Times"/>
          <w:sz w:val="24"/>
          <w:szCs w:val="24"/>
        </w:rPr>
      </w:pPr>
      <w:r w:rsidRPr="00A27D4F">
        <w:rPr>
          <w:rFonts w:ascii="Times" w:hAnsi="Times"/>
          <w:noProof/>
          <w:snapToGrid/>
          <w:sz w:val="24"/>
          <w:szCs w:val="24"/>
          <w:lang w:bidi="ar-SA"/>
        </w:rPr>
        <w:drawing>
          <wp:inline distT="0" distB="0" distL="0" distR="0" wp14:anchorId="7C55A254" wp14:editId="7C417416">
            <wp:extent cx="6642735" cy="4992370"/>
            <wp:effectExtent l="0" t="0" r="0" b="0"/>
            <wp:docPr id="11" name="Picture 24" descr="Diagram&#10;&#10;&#10;&#10;&#10;&#10;&#10;&#10;&#10;&#10;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iagram&#10;&#10;&#10;&#10;&#10;&#10;&#10;&#10;&#10;&#10;&#10;&#10;Description automatically generated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499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231D9" w14:textId="77777777" w:rsidR="00A27D4F" w:rsidRPr="00A27D4F" w:rsidRDefault="00A27D4F" w:rsidP="00A27D4F">
      <w:pPr>
        <w:pStyle w:val="MDPI62BackMatter"/>
        <w:spacing w:before="240"/>
        <w:ind w:left="0"/>
        <w:rPr>
          <w:rFonts w:ascii="Times" w:hAnsi="Times"/>
          <w:sz w:val="24"/>
          <w:szCs w:val="24"/>
        </w:rPr>
      </w:pPr>
    </w:p>
    <w:p w14:paraId="36CF344A" w14:textId="77777777" w:rsidR="00A27D4F" w:rsidRPr="00A27D4F" w:rsidRDefault="00A27D4F" w:rsidP="00A27D4F">
      <w:pPr>
        <w:rPr>
          <w:rFonts w:ascii="Times" w:hAnsi="Times"/>
          <w:szCs w:val="24"/>
        </w:rPr>
      </w:pPr>
      <w:r w:rsidRPr="00A27D4F">
        <w:rPr>
          <w:rFonts w:ascii="Times" w:hAnsi="Times"/>
          <w:b/>
          <w:szCs w:val="24"/>
        </w:rPr>
        <w:t>Figure S1. Characterization of FLS isolated from human synovial tissue.</w:t>
      </w:r>
      <w:r w:rsidRPr="00A27D4F">
        <w:rPr>
          <w:rFonts w:ascii="Times" w:hAnsi="Times"/>
          <w:szCs w:val="24"/>
        </w:rPr>
        <w:t xml:space="preserve"> (A) A confluent monolayer of isolated FLS was grown at passage 2 and observed at 20X magnification. (B-D)  mRNA expression levels of fibroblast specific markers such as prolyl 4 hydroxylase (P4HB), vimentin and CD248, (E-G), osteoblast-specific markers like osteocalcin (OCN), bone sialoprotein (BSP), and osteoprogrenin (OPG) and (H) monocyte specific marker CD68 were determined by real-time RT-PCR in FLS at passage 3, primary osteoblasts (HOB) and the monocyte cell line, THP 1. Data are shown as the mean ±SD. Similar results were obtained in three independent experiments. </w:t>
      </w:r>
    </w:p>
    <w:p w14:paraId="4615C849" w14:textId="77777777" w:rsidR="00A27D4F" w:rsidRPr="00A27D4F" w:rsidRDefault="00A27D4F" w:rsidP="00A27D4F">
      <w:pPr>
        <w:pStyle w:val="MDPI62BackMatter"/>
        <w:spacing w:before="240"/>
        <w:ind w:left="0"/>
        <w:rPr>
          <w:rFonts w:ascii="Times" w:hAnsi="Times"/>
          <w:sz w:val="24"/>
          <w:szCs w:val="24"/>
        </w:rPr>
      </w:pPr>
    </w:p>
    <w:p w14:paraId="4CB16459" w14:textId="77777777" w:rsidR="00A27D4F" w:rsidRPr="00A27D4F" w:rsidRDefault="00A27D4F" w:rsidP="00A27D4F">
      <w:pPr>
        <w:pStyle w:val="MDPI62BackMatter"/>
        <w:spacing w:before="240"/>
        <w:ind w:left="0"/>
        <w:rPr>
          <w:rFonts w:ascii="Times" w:hAnsi="Times"/>
          <w:sz w:val="24"/>
          <w:szCs w:val="24"/>
        </w:rPr>
      </w:pPr>
      <w:r w:rsidRPr="00A27D4F">
        <w:rPr>
          <w:rFonts w:ascii="Times" w:hAnsi="Times"/>
          <w:noProof/>
          <w:snapToGrid/>
          <w:sz w:val="24"/>
          <w:szCs w:val="24"/>
          <w:lang w:bidi="ar-SA"/>
        </w:rPr>
        <w:lastRenderedPageBreak/>
        <w:drawing>
          <wp:inline distT="0" distB="0" distL="0" distR="0" wp14:anchorId="760F6EB1" wp14:editId="4916827F">
            <wp:extent cx="6642735" cy="4992370"/>
            <wp:effectExtent l="0" t="0" r="0" b="0"/>
            <wp:docPr id="12" name="Picture 25" descr="Diagram&#10;&#10;&#10;&#10;&#10;&#10;&#10;&#10;&#10;&#10;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iagram&#10;&#10;&#10;&#10;&#10;&#10;&#10;&#10;&#10;&#10;&#10;&#10;Description automatically generated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499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37D47" w14:textId="77777777" w:rsidR="00A27D4F" w:rsidRPr="00A27D4F" w:rsidRDefault="00A27D4F" w:rsidP="00A27D4F">
      <w:pPr>
        <w:pStyle w:val="MDPI62BackMatter"/>
        <w:spacing w:before="240" w:line="276" w:lineRule="auto"/>
        <w:ind w:left="0"/>
        <w:rPr>
          <w:rFonts w:ascii="Times" w:hAnsi="Times"/>
          <w:sz w:val="24"/>
          <w:szCs w:val="24"/>
        </w:rPr>
      </w:pPr>
      <w:r w:rsidRPr="00A27D4F">
        <w:rPr>
          <w:rFonts w:ascii="Times" w:hAnsi="Times"/>
          <w:b/>
          <w:sz w:val="24"/>
          <w:szCs w:val="24"/>
        </w:rPr>
        <w:t>Figure S2. Effect of Ti particles on FLS.</w:t>
      </w:r>
      <w:r w:rsidRPr="00A27D4F">
        <w:rPr>
          <w:rFonts w:ascii="Times" w:hAnsi="Times"/>
          <w:sz w:val="24"/>
          <w:szCs w:val="24"/>
        </w:rPr>
        <w:t xml:space="preserve"> (A&amp;B)  Ratio (FLS to Ti particles) of 1:100-1:400 demonstrated no cell viability (MTT assay) and cytotoxic (LDH assay) effect on FLS until 72 h of treatment. (B) Secretory protein array analysis of Ti CM. Total secreted proteins in the Ti CM are grouped into 9 categories and depicted as a percentage of their ratio to Cont CM. (C) Ti particle treatment-induced COX-2 expression in a time-dependent manner (3, 6, 12, and 24 h). TNF-α was taken as a positive control. Similar results were obtained in three independent experiments.</w:t>
      </w:r>
    </w:p>
    <w:p w14:paraId="1FC9E98E" w14:textId="77777777" w:rsidR="00A27D4F" w:rsidRPr="00A27D4F" w:rsidRDefault="00A27D4F" w:rsidP="00A27D4F">
      <w:pPr>
        <w:pStyle w:val="MDPI62BackMatter"/>
        <w:spacing w:before="240"/>
        <w:ind w:left="0"/>
        <w:rPr>
          <w:rFonts w:ascii="Times" w:hAnsi="Times"/>
          <w:sz w:val="24"/>
          <w:szCs w:val="24"/>
        </w:rPr>
      </w:pPr>
      <w:r w:rsidRPr="00A27D4F">
        <w:rPr>
          <w:rFonts w:ascii="Times" w:hAnsi="Times"/>
          <w:noProof/>
          <w:snapToGrid/>
          <w:sz w:val="24"/>
          <w:szCs w:val="24"/>
          <w:lang w:bidi="ar-SA"/>
        </w:rPr>
        <w:lastRenderedPageBreak/>
        <w:drawing>
          <wp:inline distT="0" distB="0" distL="0" distR="0" wp14:anchorId="7F992843" wp14:editId="31AA8249">
            <wp:extent cx="6642735" cy="4992370"/>
            <wp:effectExtent l="0" t="0" r="0" b="0"/>
            <wp:docPr id="13" name="Picture 27" descr="A picture containing chart&#10;&#10;&#10;&#10;&#10;&#10;&#10;&#10;&#10;&#10;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 picture containing chart&#10;&#10;&#10;&#10;&#10;&#10;&#10;&#10;&#10;&#10;&#10;&#10;Description automatically generated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499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1C17B" w14:textId="77777777" w:rsidR="00A27D4F" w:rsidRPr="00A27D4F" w:rsidRDefault="00A27D4F" w:rsidP="00A27D4F">
      <w:pPr>
        <w:jc w:val="both"/>
        <w:rPr>
          <w:rFonts w:ascii="Times" w:hAnsi="Times"/>
          <w:szCs w:val="24"/>
        </w:rPr>
      </w:pPr>
      <w:r w:rsidRPr="00A27D4F">
        <w:rPr>
          <w:rFonts w:ascii="Times" w:hAnsi="Times"/>
          <w:b/>
          <w:szCs w:val="24"/>
        </w:rPr>
        <w:t>Figure S3. Effect of Ti particles on cell viability and cytotoxicity in  Raw 264.7 cells and osteoblast cell (S</w:t>
      </w:r>
      <w:bookmarkStart w:id="0" w:name="_GoBack"/>
      <w:bookmarkEnd w:id="0"/>
      <w:r w:rsidRPr="00A27D4F">
        <w:rPr>
          <w:rFonts w:ascii="Times" w:hAnsi="Times"/>
          <w:b/>
          <w:szCs w:val="24"/>
        </w:rPr>
        <w:t>aOS-2)</w:t>
      </w:r>
      <w:r w:rsidRPr="00A27D4F">
        <w:rPr>
          <w:rFonts w:ascii="Times" w:hAnsi="Times"/>
          <w:szCs w:val="24"/>
        </w:rPr>
        <w:t xml:space="preserve"> (A&amp;B) Ti CM treated to Raw 264.7 cells and (C&amp;D) SaOS-2 cells at different percentages (25%-100%) demonstrated no cell viability (MTT assay) and cytotoxic (LDH assay) effect till 72 h of treatment. Similar results were obtained in three independent experiments.</w:t>
      </w:r>
    </w:p>
    <w:p w14:paraId="64385DCE" w14:textId="77777777" w:rsidR="00A27D4F" w:rsidRPr="00A27D4F" w:rsidRDefault="00A27D4F" w:rsidP="00A27D4F">
      <w:pPr>
        <w:pStyle w:val="MDPI62BackMatter"/>
        <w:spacing w:before="240"/>
        <w:ind w:left="0"/>
        <w:rPr>
          <w:rFonts w:ascii="Times" w:hAnsi="Times"/>
          <w:sz w:val="24"/>
          <w:szCs w:val="24"/>
        </w:rPr>
      </w:pPr>
    </w:p>
    <w:p w14:paraId="617384AC" w14:textId="77777777" w:rsidR="00A27D4F" w:rsidRPr="00A27D4F" w:rsidRDefault="00A27D4F" w:rsidP="00A27D4F">
      <w:pPr>
        <w:pStyle w:val="MDPI62BackMatter"/>
        <w:spacing w:before="240"/>
        <w:ind w:left="0"/>
        <w:rPr>
          <w:rFonts w:ascii="Times" w:hAnsi="Times"/>
          <w:sz w:val="24"/>
          <w:szCs w:val="24"/>
        </w:rPr>
      </w:pPr>
      <w:r w:rsidRPr="00A27D4F">
        <w:rPr>
          <w:rFonts w:ascii="Times" w:hAnsi="Times"/>
          <w:noProof/>
          <w:snapToGrid/>
          <w:sz w:val="24"/>
          <w:szCs w:val="24"/>
          <w:lang w:bidi="ar-SA"/>
        </w:rPr>
        <w:lastRenderedPageBreak/>
        <w:drawing>
          <wp:inline distT="0" distB="0" distL="0" distR="0" wp14:anchorId="7554EC61" wp14:editId="55FD387A">
            <wp:extent cx="6642735" cy="4992370"/>
            <wp:effectExtent l="0" t="0" r="0" b="0"/>
            <wp:docPr id="14" name="Picture 28" descr="A picture containing text&#10;&#10;&#10;&#10;&#10;&#10;&#10;&#10;&#10;&#10;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 picture containing text&#10;&#10;&#10;&#10;&#10;&#10;&#10;&#10;&#10;&#10;&#10;&#10;Description automatically generated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499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59659" w14:textId="77777777" w:rsidR="00A27D4F" w:rsidRPr="00A27D4F" w:rsidRDefault="00A27D4F" w:rsidP="00A27D4F">
      <w:pPr>
        <w:jc w:val="both"/>
        <w:rPr>
          <w:rFonts w:ascii="Times" w:hAnsi="Times"/>
          <w:b/>
          <w:szCs w:val="24"/>
        </w:rPr>
      </w:pPr>
      <w:r w:rsidRPr="00A27D4F">
        <w:rPr>
          <w:rFonts w:ascii="Times" w:hAnsi="Times"/>
          <w:b/>
          <w:szCs w:val="24"/>
        </w:rPr>
        <w:t>Figure S4</w:t>
      </w:r>
      <w:r w:rsidRPr="00A27D4F">
        <w:rPr>
          <w:rFonts w:ascii="Times" w:hAnsi="Times"/>
          <w:szCs w:val="24"/>
        </w:rPr>
        <w:t xml:space="preserve">. </w:t>
      </w:r>
      <w:r w:rsidRPr="00A27D4F">
        <w:rPr>
          <w:rFonts w:ascii="Times" w:hAnsi="Times"/>
          <w:b/>
          <w:szCs w:val="24"/>
        </w:rPr>
        <w:t>Ti particles induced the expression of WNT and BMP signaling antagonists in FLS.</w:t>
      </w:r>
      <w:r w:rsidRPr="00A27D4F">
        <w:rPr>
          <w:rFonts w:ascii="Times" w:hAnsi="Times"/>
          <w:szCs w:val="24"/>
        </w:rPr>
        <w:t xml:space="preserve"> Treatment of Ti particle to FLS induced mRNA expression of WNT antagonist: (A) DKK2, (B) sFRP3, (C) sFRP5, and BMP signaling antagonist: (D) noggin, (E) chordin, and (F) follistatin. Similar results were obtained in three independent experiments. *P &lt; 0.05, **P &lt; 0.01, ***, P &lt; 0.001 and ns (no significance) compared to the control.</w:t>
      </w:r>
    </w:p>
    <w:p w14:paraId="7B65BC41" w14:textId="77777777" w:rsidR="00DE23E8" w:rsidRPr="00A27D4F" w:rsidRDefault="00DE23E8" w:rsidP="00654E8F">
      <w:pPr>
        <w:spacing w:before="240"/>
        <w:rPr>
          <w:rFonts w:ascii="Times" w:hAnsi="Times"/>
          <w:szCs w:val="24"/>
        </w:rPr>
      </w:pPr>
    </w:p>
    <w:sectPr w:rsidR="00DE23E8" w:rsidRPr="00A27D4F" w:rsidSect="0093429D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EDC25C" w14:textId="77777777" w:rsidR="00EA5234" w:rsidRDefault="00EA5234" w:rsidP="00117666">
      <w:pPr>
        <w:spacing w:after="0"/>
      </w:pPr>
      <w:r>
        <w:separator/>
      </w:r>
    </w:p>
  </w:endnote>
  <w:endnote w:type="continuationSeparator" w:id="0">
    <w:p w14:paraId="3852663C" w14:textId="77777777" w:rsidR="00EA5234" w:rsidRDefault="00EA523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">
    <w:altName w:val="Times"/>
    <w:panose1 w:val="02020603050405020304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3D655F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3D655F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3D655F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3D655F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C67540" w14:textId="77777777" w:rsidR="00EA5234" w:rsidRDefault="00EA5234" w:rsidP="00117666">
      <w:pPr>
        <w:spacing w:after="0"/>
      </w:pPr>
      <w:r>
        <w:separator/>
      </w:r>
    </w:p>
  </w:footnote>
  <w:footnote w:type="continuationSeparator" w:id="0">
    <w:p w14:paraId="2A15CCAA" w14:textId="77777777" w:rsidR="00EA5234" w:rsidRDefault="00EA523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35531D3"/>
    <w:multiLevelType w:val="hybridMultilevel"/>
    <w:tmpl w:val="1E5AD7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EE2DA6"/>
    <w:multiLevelType w:val="hybridMultilevel"/>
    <w:tmpl w:val="5024E67E"/>
    <w:lvl w:ilvl="0" w:tplc="02D63A3A">
      <w:start w:val="1"/>
      <w:numFmt w:val="decimal"/>
      <w:lvlText w:val="%1"/>
      <w:lvlJc w:val="left"/>
      <w:pPr>
        <w:ind w:left="1080" w:hanging="72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7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8"/>
  </w:num>
  <w:num w:numId="12">
    <w:abstractNumId w:val="8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4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hideSpellingErrors/>
  <w:hideGrammaticalErrors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c2sjAyNTMwMTUxNzVT0lEKTi0uzszPAykwrAUAHf0mQiwAAAA="/>
  </w:docVars>
  <w:rsids>
    <w:rsidRoot w:val="00ED20B5"/>
    <w:rsid w:val="0001436A"/>
    <w:rsid w:val="00034304"/>
    <w:rsid w:val="00035434"/>
    <w:rsid w:val="00052A14"/>
    <w:rsid w:val="00077D53"/>
    <w:rsid w:val="000D136A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3D655F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27D4F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90479"/>
    <w:rsid w:val="00EA3D3C"/>
    <w:rsid w:val="00EA5234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MDPI62BackMatter">
    <w:name w:val="MDPI_6.2_BackMatter"/>
    <w:qFormat/>
    <w:rsid w:val="00A27D4F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18"/>
      <w:szCs w:val="20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MDPI62BackMatter">
    <w:name w:val="MDPI_6.2_BackMatter"/>
    <w:qFormat/>
    <w:rsid w:val="00A27D4F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18"/>
      <w:szCs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1EFAA38A-1DA2-48ED-8418-21EBF8FF1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4</Pages>
  <Words>311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PC</cp:lastModifiedBy>
  <cp:revision>2</cp:revision>
  <cp:lastPrinted>2013-10-03T12:51:00Z</cp:lastPrinted>
  <dcterms:created xsi:type="dcterms:W3CDTF">2021-02-09T07:11:00Z</dcterms:created>
  <dcterms:modified xsi:type="dcterms:W3CDTF">2021-02-09T07:11:00Z</dcterms:modified>
</cp:coreProperties>
</file>