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57075" w14:textId="0E2D036A" w:rsidR="00980DFF" w:rsidRPr="001F4494" w:rsidRDefault="00980DFF" w:rsidP="001F4494">
      <w:pPr>
        <w:jc w:val="center"/>
        <w:rPr>
          <w:rFonts w:asciiTheme="majorHAnsi" w:hAnsiTheme="majorHAnsi" w:cstheme="majorHAnsi"/>
          <w:b/>
          <w:sz w:val="20"/>
          <w:szCs w:val="20"/>
          <w:u w:val="single"/>
        </w:rPr>
      </w:pPr>
      <w:r w:rsidRPr="001F4494">
        <w:rPr>
          <w:rFonts w:asciiTheme="majorHAnsi" w:hAnsiTheme="majorHAnsi" w:cstheme="majorHAnsi"/>
          <w:b/>
          <w:sz w:val="20"/>
          <w:szCs w:val="20"/>
          <w:u w:val="single"/>
        </w:rPr>
        <w:t>Supplementa</w:t>
      </w:r>
      <w:r w:rsidR="001F4494" w:rsidRPr="001F4494">
        <w:rPr>
          <w:rFonts w:asciiTheme="majorHAnsi" w:hAnsiTheme="majorHAnsi" w:cstheme="majorHAnsi"/>
          <w:b/>
          <w:sz w:val="20"/>
          <w:szCs w:val="20"/>
          <w:u w:val="single"/>
        </w:rPr>
        <w:t>l</w:t>
      </w:r>
      <w:r w:rsidRPr="001F4494">
        <w:rPr>
          <w:rFonts w:asciiTheme="majorHAnsi" w:hAnsiTheme="majorHAnsi" w:cstheme="majorHAnsi"/>
          <w:b/>
          <w:sz w:val="20"/>
          <w:szCs w:val="20"/>
          <w:u w:val="single"/>
        </w:rPr>
        <w:t xml:space="preserve"> Material</w:t>
      </w:r>
    </w:p>
    <w:p w14:paraId="6FE8BA8B" w14:textId="40539F66" w:rsidR="001F4494" w:rsidRPr="001F4494" w:rsidRDefault="001F4494" w:rsidP="001F4494">
      <w:pPr>
        <w:jc w:val="center"/>
        <w:rPr>
          <w:rFonts w:asciiTheme="majorHAnsi" w:hAnsiTheme="majorHAnsi" w:cstheme="majorHAnsi"/>
          <w:b/>
          <w:sz w:val="20"/>
          <w:szCs w:val="20"/>
        </w:rPr>
      </w:pPr>
      <w:r w:rsidRPr="001F4494">
        <w:rPr>
          <w:rFonts w:asciiTheme="majorHAnsi" w:hAnsiTheme="majorHAnsi" w:cstheme="majorHAnsi"/>
          <w:b/>
          <w:sz w:val="20"/>
          <w:szCs w:val="20"/>
        </w:rPr>
        <w:t>Impact of PEWS on Perceived Quality of Care During Deterioration in Children with Cancer Hospitalized in Different Resource-Settings</w:t>
      </w:r>
    </w:p>
    <w:p w14:paraId="6316D269" w14:textId="7D92F57C" w:rsidR="001F4494" w:rsidRPr="001F4494" w:rsidRDefault="001F4494" w:rsidP="001F4494">
      <w:pPr>
        <w:jc w:val="center"/>
        <w:rPr>
          <w:rFonts w:asciiTheme="majorHAnsi" w:hAnsiTheme="majorHAnsi" w:cstheme="majorHAnsi"/>
          <w:b/>
          <w:sz w:val="20"/>
          <w:szCs w:val="20"/>
        </w:rPr>
      </w:pPr>
    </w:p>
    <w:p w14:paraId="5652E029" w14:textId="77777777" w:rsidR="00DB2470" w:rsidRPr="00DB2470" w:rsidRDefault="00DB2470" w:rsidP="00DB2470">
      <w:pPr>
        <w:jc w:val="center"/>
        <w:rPr>
          <w:rFonts w:asciiTheme="majorHAnsi" w:eastAsia="Calibri" w:hAnsiTheme="majorHAnsi" w:cstheme="majorHAnsi"/>
          <w:sz w:val="20"/>
          <w:szCs w:val="20"/>
          <w:lang w:val="es-GT"/>
        </w:rPr>
      </w:pPr>
      <w:bookmarkStart w:id="0" w:name="_GoBack"/>
      <w:bookmarkEnd w:id="0"/>
      <w:r w:rsidRPr="00DB2470">
        <w:rPr>
          <w:rFonts w:asciiTheme="majorHAnsi" w:eastAsia="Calibri" w:hAnsiTheme="majorHAnsi" w:cstheme="majorHAnsi"/>
          <w:sz w:val="20"/>
          <w:szCs w:val="20"/>
          <w:lang w:val="es-GT"/>
        </w:rPr>
        <w:t>Marcela Garza, MD</w:t>
      </w:r>
      <w:r w:rsidRPr="00DB2470">
        <w:rPr>
          <w:rFonts w:asciiTheme="majorHAnsi" w:eastAsia="Calibri" w:hAnsiTheme="majorHAnsi" w:cstheme="majorHAnsi"/>
          <w:sz w:val="20"/>
          <w:szCs w:val="20"/>
          <w:vertAlign w:val="superscript"/>
          <w:lang w:val="es-GT"/>
        </w:rPr>
        <w:t>1</w:t>
      </w:r>
      <w:r w:rsidRPr="00DB2470">
        <w:rPr>
          <w:rFonts w:asciiTheme="majorHAnsi" w:eastAsia="Calibri" w:hAnsiTheme="majorHAnsi" w:cstheme="majorHAnsi"/>
          <w:sz w:val="20"/>
          <w:szCs w:val="20"/>
          <w:lang w:val="es-GT"/>
        </w:rPr>
        <w:t>, Dylan Graetz, MD</w:t>
      </w:r>
      <w:r w:rsidRPr="00DB2470">
        <w:rPr>
          <w:rFonts w:asciiTheme="majorHAnsi" w:eastAsia="Calibri" w:hAnsiTheme="majorHAnsi" w:cstheme="majorHAnsi"/>
          <w:sz w:val="20"/>
          <w:szCs w:val="20"/>
          <w:vertAlign w:val="superscript"/>
          <w:lang w:val="es-GT"/>
        </w:rPr>
        <w:t>1</w:t>
      </w:r>
      <w:r w:rsidRPr="00DB2470">
        <w:rPr>
          <w:rFonts w:asciiTheme="majorHAnsi" w:eastAsia="Calibri" w:hAnsiTheme="majorHAnsi" w:cstheme="majorHAnsi"/>
          <w:sz w:val="20"/>
          <w:szCs w:val="20"/>
          <w:lang w:val="es-GT"/>
        </w:rPr>
        <w:t>, Erica C. Kaye, MD</w:t>
      </w:r>
      <w:r w:rsidRPr="00DB2470">
        <w:rPr>
          <w:rFonts w:asciiTheme="majorHAnsi" w:eastAsia="Calibri" w:hAnsiTheme="majorHAnsi" w:cstheme="majorHAnsi"/>
          <w:sz w:val="20"/>
          <w:szCs w:val="20"/>
          <w:vertAlign w:val="superscript"/>
          <w:lang w:val="es-GT"/>
        </w:rPr>
        <w:t>2</w:t>
      </w:r>
      <w:r w:rsidRPr="00DB2470">
        <w:rPr>
          <w:rFonts w:asciiTheme="majorHAnsi" w:eastAsia="Calibri" w:hAnsiTheme="majorHAnsi" w:cstheme="majorHAnsi"/>
          <w:sz w:val="20"/>
          <w:szCs w:val="20"/>
          <w:lang w:val="es-GT"/>
        </w:rPr>
        <w:t>, Gia Ferrara, MSGH</w:t>
      </w:r>
      <w:r w:rsidRPr="00DB2470">
        <w:rPr>
          <w:rFonts w:asciiTheme="majorHAnsi" w:eastAsia="Calibri" w:hAnsiTheme="majorHAnsi" w:cstheme="majorHAnsi"/>
          <w:sz w:val="20"/>
          <w:szCs w:val="20"/>
          <w:vertAlign w:val="superscript"/>
          <w:lang w:val="es-GT"/>
        </w:rPr>
        <w:t>1</w:t>
      </w:r>
      <w:r w:rsidRPr="00DB2470">
        <w:rPr>
          <w:rFonts w:asciiTheme="majorHAnsi" w:eastAsia="Calibri" w:hAnsiTheme="majorHAnsi" w:cstheme="majorHAnsi"/>
          <w:sz w:val="20"/>
          <w:szCs w:val="20"/>
          <w:lang w:val="es-GT"/>
        </w:rPr>
        <w:t>, Mario Rodriguez, MD</w:t>
      </w:r>
      <w:r w:rsidRPr="00DB2470">
        <w:rPr>
          <w:rFonts w:asciiTheme="majorHAnsi" w:eastAsia="Calibri" w:hAnsiTheme="majorHAnsi" w:cstheme="majorHAnsi"/>
          <w:sz w:val="20"/>
          <w:szCs w:val="20"/>
          <w:vertAlign w:val="superscript"/>
          <w:lang w:val="es-GT"/>
        </w:rPr>
        <w:t>3</w:t>
      </w:r>
      <w:r w:rsidRPr="00DB2470">
        <w:rPr>
          <w:rFonts w:asciiTheme="majorHAnsi" w:eastAsia="Calibri" w:hAnsiTheme="majorHAnsi" w:cstheme="majorHAnsi"/>
          <w:sz w:val="20"/>
          <w:szCs w:val="20"/>
          <w:lang w:val="es-GT"/>
        </w:rPr>
        <w:t>, Dora Judith Soberanis Vásquez, RN</w:t>
      </w:r>
      <w:r w:rsidRPr="00DB2470">
        <w:rPr>
          <w:rFonts w:asciiTheme="majorHAnsi" w:eastAsia="Calibri" w:hAnsiTheme="majorHAnsi" w:cstheme="majorHAnsi"/>
          <w:sz w:val="20"/>
          <w:szCs w:val="20"/>
          <w:vertAlign w:val="superscript"/>
          <w:lang w:val="es-GT"/>
        </w:rPr>
        <w:t>4</w:t>
      </w:r>
      <w:r w:rsidRPr="00DB2470">
        <w:rPr>
          <w:rFonts w:asciiTheme="majorHAnsi" w:eastAsia="Calibri" w:hAnsiTheme="majorHAnsi" w:cstheme="majorHAnsi"/>
          <w:sz w:val="20"/>
          <w:szCs w:val="20"/>
          <w:lang w:val="es-GT"/>
        </w:rPr>
        <w:t>, Alejandra Méndez Aceituno, MD</w:t>
      </w:r>
      <w:r w:rsidRPr="00DB2470">
        <w:rPr>
          <w:rFonts w:asciiTheme="majorHAnsi" w:eastAsia="Calibri" w:hAnsiTheme="majorHAnsi" w:cstheme="majorHAnsi"/>
          <w:sz w:val="20"/>
          <w:szCs w:val="20"/>
          <w:vertAlign w:val="superscript"/>
          <w:lang w:val="es-GT"/>
        </w:rPr>
        <w:t>5</w:t>
      </w:r>
      <w:r w:rsidRPr="00DB2470">
        <w:rPr>
          <w:rFonts w:asciiTheme="majorHAnsi" w:eastAsia="Calibri" w:hAnsiTheme="majorHAnsi" w:cstheme="majorHAnsi"/>
          <w:sz w:val="20"/>
          <w:szCs w:val="20"/>
          <w:lang w:val="es-GT"/>
        </w:rPr>
        <w:t>, Federico Antillon-Klussmann, MD</w:t>
      </w:r>
      <w:r w:rsidRPr="00DB2470">
        <w:rPr>
          <w:rFonts w:asciiTheme="majorHAnsi" w:eastAsia="Calibri" w:hAnsiTheme="majorHAnsi" w:cstheme="majorHAnsi"/>
          <w:sz w:val="20"/>
          <w:szCs w:val="20"/>
          <w:vertAlign w:val="superscript"/>
          <w:lang w:val="es-GT"/>
        </w:rPr>
        <w:t>3,6</w:t>
      </w:r>
      <w:r w:rsidRPr="00DB2470">
        <w:rPr>
          <w:rFonts w:asciiTheme="majorHAnsi" w:eastAsia="Calibri" w:hAnsiTheme="majorHAnsi" w:cstheme="majorHAnsi"/>
          <w:sz w:val="20"/>
          <w:szCs w:val="20"/>
          <w:lang w:val="es-GT"/>
        </w:rPr>
        <w:t>, Jami S. Gattuso, MSN</w:t>
      </w:r>
      <w:r w:rsidRPr="00DB2470">
        <w:rPr>
          <w:rFonts w:asciiTheme="majorHAnsi" w:eastAsia="Calibri" w:hAnsiTheme="majorHAnsi" w:cstheme="majorHAnsi"/>
          <w:sz w:val="20"/>
          <w:szCs w:val="20"/>
          <w:vertAlign w:val="superscript"/>
          <w:lang w:val="es-GT"/>
        </w:rPr>
        <w:t>7</w:t>
      </w:r>
      <w:r w:rsidRPr="00DB2470">
        <w:rPr>
          <w:rFonts w:asciiTheme="majorHAnsi" w:eastAsia="Calibri" w:hAnsiTheme="majorHAnsi" w:cstheme="majorHAnsi"/>
          <w:sz w:val="20"/>
          <w:szCs w:val="20"/>
          <w:lang w:val="es-GT"/>
        </w:rPr>
        <w:t>, Belinda N. Mandrell, PhD</w:t>
      </w:r>
      <w:r w:rsidRPr="00DB2470">
        <w:rPr>
          <w:rFonts w:asciiTheme="majorHAnsi" w:eastAsia="Calibri" w:hAnsiTheme="majorHAnsi" w:cstheme="majorHAnsi"/>
          <w:sz w:val="20"/>
          <w:szCs w:val="20"/>
          <w:vertAlign w:val="superscript"/>
          <w:lang w:val="es-GT"/>
        </w:rPr>
        <w:t>7</w:t>
      </w:r>
      <w:r w:rsidRPr="00DB2470">
        <w:rPr>
          <w:rFonts w:asciiTheme="majorHAnsi" w:eastAsia="Calibri" w:hAnsiTheme="majorHAnsi" w:cstheme="majorHAnsi"/>
          <w:sz w:val="20"/>
          <w:szCs w:val="20"/>
          <w:lang w:val="es-GT"/>
        </w:rPr>
        <w:t>, Justin N. Baker, MD</w:t>
      </w:r>
      <w:r w:rsidRPr="00DB2470">
        <w:rPr>
          <w:rFonts w:asciiTheme="majorHAnsi" w:eastAsia="Calibri" w:hAnsiTheme="majorHAnsi" w:cstheme="majorHAnsi"/>
          <w:sz w:val="20"/>
          <w:szCs w:val="20"/>
          <w:vertAlign w:val="superscript"/>
          <w:lang w:val="es-GT"/>
        </w:rPr>
        <w:t>2</w:t>
      </w:r>
      <w:r w:rsidRPr="00DB2470">
        <w:rPr>
          <w:rFonts w:asciiTheme="majorHAnsi" w:eastAsia="Calibri" w:hAnsiTheme="majorHAnsi" w:cstheme="majorHAnsi"/>
          <w:sz w:val="20"/>
          <w:szCs w:val="20"/>
          <w:lang w:val="es-GT"/>
        </w:rPr>
        <w:t>, Carlos Rodriguez-Galindo, MD</w:t>
      </w:r>
      <w:r w:rsidRPr="00DB2470">
        <w:rPr>
          <w:rFonts w:asciiTheme="majorHAnsi" w:eastAsia="Calibri" w:hAnsiTheme="majorHAnsi" w:cstheme="majorHAnsi"/>
          <w:sz w:val="20"/>
          <w:szCs w:val="20"/>
          <w:vertAlign w:val="superscript"/>
          <w:lang w:val="es-GT"/>
        </w:rPr>
        <w:t>1</w:t>
      </w:r>
      <w:r w:rsidRPr="00DB2470">
        <w:rPr>
          <w:rFonts w:asciiTheme="majorHAnsi" w:eastAsia="Calibri" w:hAnsiTheme="majorHAnsi" w:cstheme="majorHAnsi"/>
          <w:sz w:val="20"/>
          <w:szCs w:val="20"/>
          <w:lang w:val="es-GT"/>
        </w:rPr>
        <w:t>, Asya Agulnik, MD</w:t>
      </w:r>
      <w:r w:rsidRPr="00DB2470">
        <w:rPr>
          <w:rFonts w:asciiTheme="majorHAnsi" w:eastAsia="Calibri" w:hAnsiTheme="majorHAnsi" w:cstheme="majorHAnsi"/>
          <w:sz w:val="20"/>
          <w:szCs w:val="20"/>
          <w:vertAlign w:val="superscript"/>
          <w:lang w:val="es-GT"/>
        </w:rPr>
        <w:t>1*</w:t>
      </w:r>
    </w:p>
    <w:p w14:paraId="446E58AA" w14:textId="77777777" w:rsidR="00DB2470" w:rsidRPr="00DB2470" w:rsidRDefault="00DB2470" w:rsidP="00DB2470">
      <w:pPr>
        <w:jc w:val="center"/>
        <w:rPr>
          <w:rFonts w:asciiTheme="majorHAnsi" w:eastAsia="Calibri" w:hAnsiTheme="majorHAnsi" w:cstheme="majorHAnsi"/>
          <w:sz w:val="20"/>
          <w:szCs w:val="20"/>
        </w:rPr>
      </w:pPr>
    </w:p>
    <w:p w14:paraId="584C4E71" w14:textId="77777777" w:rsidR="00DB2470" w:rsidRPr="00DB2470" w:rsidRDefault="00DB2470" w:rsidP="00DB2470">
      <w:pPr>
        <w:rPr>
          <w:rFonts w:asciiTheme="majorHAnsi" w:eastAsia="Calibri" w:hAnsiTheme="majorHAnsi" w:cstheme="majorHAnsi"/>
          <w:sz w:val="20"/>
          <w:szCs w:val="20"/>
        </w:rPr>
      </w:pPr>
      <w:r w:rsidRPr="00DB2470">
        <w:rPr>
          <w:rFonts w:asciiTheme="majorHAnsi" w:eastAsia="Calibri" w:hAnsiTheme="majorHAnsi" w:cstheme="majorHAnsi"/>
          <w:sz w:val="20"/>
          <w:szCs w:val="20"/>
          <w:vertAlign w:val="superscript"/>
        </w:rPr>
        <w:t>1</w:t>
      </w:r>
      <w:r w:rsidRPr="00DB2470">
        <w:rPr>
          <w:rFonts w:asciiTheme="majorHAnsi" w:eastAsia="Calibri" w:hAnsiTheme="majorHAnsi" w:cstheme="majorHAnsi"/>
          <w:sz w:val="20"/>
          <w:szCs w:val="20"/>
        </w:rPr>
        <w:t>Department of Global Pediatric Medicine, St. Jude Children’s Research Hospital, Memphis, Tennessee, USA.</w:t>
      </w:r>
    </w:p>
    <w:p w14:paraId="026A3958" w14:textId="77777777" w:rsidR="00DB2470" w:rsidRPr="00DB2470" w:rsidRDefault="00DB2470" w:rsidP="00DB2470">
      <w:pPr>
        <w:rPr>
          <w:rFonts w:asciiTheme="majorHAnsi" w:eastAsia="Calibri" w:hAnsiTheme="majorHAnsi" w:cstheme="majorHAnsi"/>
          <w:sz w:val="20"/>
          <w:szCs w:val="20"/>
        </w:rPr>
      </w:pPr>
      <w:r w:rsidRPr="00DB2470">
        <w:rPr>
          <w:rFonts w:asciiTheme="majorHAnsi" w:eastAsia="Calibri" w:hAnsiTheme="majorHAnsi" w:cstheme="majorHAnsi"/>
          <w:sz w:val="20"/>
          <w:szCs w:val="20"/>
          <w:vertAlign w:val="superscript"/>
        </w:rPr>
        <w:t>2</w:t>
      </w:r>
      <w:r w:rsidRPr="00DB2470">
        <w:rPr>
          <w:rFonts w:asciiTheme="majorHAnsi" w:eastAsia="Calibri" w:hAnsiTheme="majorHAnsi" w:cstheme="majorHAnsi"/>
          <w:sz w:val="20"/>
          <w:szCs w:val="20"/>
        </w:rPr>
        <w:t xml:space="preserve"> Division of Quality of Life and Palliative Care, St. Jude Children’s Research Hospital, Memphis, Tennessee, USA.</w:t>
      </w:r>
    </w:p>
    <w:p w14:paraId="402694D9" w14:textId="77777777" w:rsidR="00DB2470" w:rsidRPr="00DB2470" w:rsidRDefault="00DB2470" w:rsidP="00DB2470">
      <w:pPr>
        <w:rPr>
          <w:rFonts w:asciiTheme="majorHAnsi" w:eastAsia="Calibri" w:hAnsiTheme="majorHAnsi" w:cstheme="majorHAnsi"/>
          <w:sz w:val="20"/>
          <w:szCs w:val="20"/>
          <w:lang w:val="es-BO"/>
        </w:rPr>
      </w:pPr>
      <w:r w:rsidRPr="00DB2470">
        <w:rPr>
          <w:rFonts w:asciiTheme="majorHAnsi" w:eastAsia="Calibri" w:hAnsiTheme="majorHAnsi" w:cstheme="majorHAnsi"/>
          <w:sz w:val="20"/>
          <w:szCs w:val="20"/>
          <w:vertAlign w:val="superscript"/>
          <w:lang w:val="es-BO"/>
        </w:rPr>
        <w:t>3</w:t>
      </w:r>
      <w:r w:rsidRPr="00DB2470">
        <w:rPr>
          <w:rFonts w:asciiTheme="majorHAnsi" w:eastAsia="Calibri" w:hAnsiTheme="majorHAnsi" w:cstheme="majorHAnsi"/>
          <w:sz w:val="20"/>
          <w:szCs w:val="20"/>
          <w:lang w:val="es-BO"/>
        </w:rPr>
        <w:t xml:space="preserve">Department of </w:t>
      </w:r>
      <w:proofErr w:type="spellStart"/>
      <w:r w:rsidRPr="00DB2470">
        <w:rPr>
          <w:rFonts w:asciiTheme="majorHAnsi" w:eastAsia="Calibri" w:hAnsiTheme="majorHAnsi" w:cstheme="majorHAnsi"/>
          <w:sz w:val="20"/>
          <w:szCs w:val="20"/>
          <w:lang w:val="es-BO"/>
        </w:rPr>
        <w:t>Oncology</w:t>
      </w:r>
      <w:proofErr w:type="spellEnd"/>
      <w:r w:rsidRPr="00DB2470">
        <w:rPr>
          <w:rFonts w:asciiTheme="majorHAnsi" w:eastAsia="Calibri" w:hAnsiTheme="majorHAnsi" w:cstheme="majorHAnsi"/>
          <w:sz w:val="20"/>
          <w:szCs w:val="20"/>
          <w:lang w:val="es-BO"/>
        </w:rPr>
        <w:t xml:space="preserve">, Unidad Nacional de Oncología Pediátrica, Guatemala City, Guatemala. </w:t>
      </w:r>
    </w:p>
    <w:p w14:paraId="2329254C" w14:textId="77777777" w:rsidR="00DB2470" w:rsidRPr="00DB2470" w:rsidRDefault="00DB2470" w:rsidP="00DB2470">
      <w:pPr>
        <w:rPr>
          <w:rFonts w:asciiTheme="majorHAnsi" w:eastAsia="Calibri" w:hAnsiTheme="majorHAnsi" w:cstheme="majorHAnsi"/>
          <w:sz w:val="20"/>
          <w:szCs w:val="20"/>
          <w:lang w:val="es-BO"/>
        </w:rPr>
      </w:pPr>
      <w:r w:rsidRPr="00DB2470">
        <w:rPr>
          <w:rFonts w:asciiTheme="majorHAnsi" w:eastAsia="Calibri" w:hAnsiTheme="majorHAnsi" w:cstheme="majorHAnsi"/>
          <w:sz w:val="20"/>
          <w:szCs w:val="20"/>
          <w:vertAlign w:val="superscript"/>
          <w:lang w:val="es-BO"/>
        </w:rPr>
        <w:t>4</w:t>
      </w:r>
      <w:r w:rsidRPr="00DB2470">
        <w:rPr>
          <w:rFonts w:asciiTheme="majorHAnsi" w:eastAsia="Calibri" w:hAnsiTheme="majorHAnsi" w:cstheme="majorHAnsi"/>
          <w:sz w:val="20"/>
          <w:szCs w:val="20"/>
          <w:lang w:val="es-BO"/>
        </w:rPr>
        <w:t xml:space="preserve">Department of </w:t>
      </w:r>
      <w:proofErr w:type="spellStart"/>
      <w:r w:rsidRPr="00DB2470">
        <w:rPr>
          <w:rFonts w:asciiTheme="majorHAnsi" w:eastAsia="Calibri" w:hAnsiTheme="majorHAnsi" w:cstheme="majorHAnsi"/>
          <w:sz w:val="20"/>
          <w:szCs w:val="20"/>
          <w:lang w:val="es-BO"/>
        </w:rPr>
        <w:t>Nursing</w:t>
      </w:r>
      <w:proofErr w:type="spellEnd"/>
      <w:r w:rsidRPr="00DB2470">
        <w:rPr>
          <w:rFonts w:asciiTheme="majorHAnsi" w:eastAsia="Calibri" w:hAnsiTheme="majorHAnsi" w:cstheme="majorHAnsi"/>
          <w:sz w:val="20"/>
          <w:szCs w:val="20"/>
          <w:lang w:val="es-BO"/>
        </w:rPr>
        <w:t xml:space="preserve">, Unidad Nacional de Oncología Pediátrica, Guatemala City, Guatemala. </w:t>
      </w:r>
    </w:p>
    <w:p w14:paraId="7C88A4A1" w14:textId="77777777" w:rsidR="00DB2470" w:rsidRPr="00DB2470" w:rsidRDefault="00DB2470" w:rsidP="00DB2470">
      <w:pPr>
        <w:rPr>
          <w:rFonts w:asciiTheme="majorHAnsi" w:eastAsia="Calibri" w:hAnsiTheme="majorHAnsi" w:cstheme="majorHAnsi"/>
          <w:sz w:val="20"/>
          <w:szCs w:val="20"/>
          <w:lang w:val="es-BO"/>
        </w:rPr>
      </w:pPr>
      <w:r w:rsidRPr="00DB2470">
        <w:rPr>
          <w:rFonts w:asciiTheme="majorHAnsi" w:eastAsia="Calibri" w:hAnsiTheme="majorHAnsi" w:cstheme="majorHAnsi"/>
          <w:sz w:val="20"/>
          <w:szCs w:val="20"/>
          <w:vertAlign w:val="superscript"/>
          <w:lang w:val="es-BO"/>
        </w:rPr>
        <w:t>5</w:t>
      </w:r>
      <w:r w:rsidRPr="00DB2470">
        <w:rPr>
          <w:rFonts w:asciiTheme="majorHAnsi" w:eastAsia="Calibri" w:hAnsiTheme="majorHAnsi" w:cstheme="majorHAnsi"/>
          <w:sz w:val="20"/>
          <w:szCs w:val="20"/>
          <w:lang w:val="es-BO"/>
        </w:rPr>
        <w:t xml:space="preserve">Department of </w:t>
      </w:r>
      <w:proofErr w:type="spellStart"/>
      <w:r w:rsidRPr="00DB2470">
        <w:rPr>
          <w:rFonts w:asciiTheme="majorHAnsi" w:eastAsia="Calibri" w:hAnsiTheme="majorHAnsi" w:cstheme="majorHAnsi"/>
          <w:sz w:val="20"/>
          <w:szCs w:val="20"/>
          <w:lang w:val="es-BO"/>
        </w:rPr>
        <w:t>Critical</w:t>
      </w:r>
      <w:proofErr w:type="spellEnd"/>
      <w:r w:rsidRPr="00DB2470">
        <w:rPr>
          <w:rFonts w:asciiTheme="majorHAnsi" w:eastAsia="Calibri" w:hAnsiTheme="majorHAnsi" w:cstheme="majorHAnsi"/>
          <w:sz w:val="20"/>
          <w:szCs w:val="20"/>
          <w:lang w:val="es-BO"/>
        </w:rPr>
        <w:t xml:space="preserve"> </w:t>
      </w:r>
      <w:proofErr w:type="spellStart"/>
      <w:r w:rsidRPr="00DB2470">
        <w:rPr>
          <w:rFonts w:asciiTheme="majorHAnsi" w:eastAsia="Calibri" w:hAnsiTheme="majorHAnsi" w:cstheme="majorHAnsi"/>
          <w:sz w:val="20"/>
          <w:szCs w:val="20"/>
          <w:lang w:val="es-BO"/>
        </w:rPr>
        <w:t>Care</w:t>
      </w:r>
      <w:proofErr w:type="spellEnd"/>
      <w:r w:rsidRPr="00DB2470">
        <w:rPr>
          <w:rFonts w:asciiTheme="majorHAnsi" w:eastAsia="Calibri" w:hAnsiTheme="majorHAnsi" w:cstheme="majorHAnsi"/>
          <w:sz w:val="20"/>
          <w:szCs w:val="20"/>
          <w:lang w:val="es-BO"/>
        </w:rPr>
        <w:t>, Unidad Nacional de Oncología Pediátrica, Guatemala City, Guatemala.</w:t>
      </w:r>
    </w:p>
    <w:p w14:paraId="2120B465" w14:textId="77777777" w:rsidR="00DB2470" w:rsidRPr="00DB2470" w:rsidRDefault="00DB2470" w:rsidP="00DB2470">
      <w:pPr>
        <w:rPr>
          <w:rFonts w:asciiTheme="majorHAnsi" w:eastAsia="Calibri" w:hAnsiTheme="majorHAnsi" w:cstheme="majorHAnsi"/>
          <w:sz w:val="20"/>
          <w:szCs w:val="20"/>
        </w:rPr>
      </w:pPr>
      <w:r w:rsidRPr="00DB2470">
        <w:rPr>
          <w:rFonts w:asciiTheme="majorHAnsi" w:eastAsia="Calibri" w:hAnsiTheme="majorHAnsi" w:cstheme="majorHAnsi"/>
          <w:sz w:val="20"/>
          <w:szCs w:val="20"/>
          <w:vertAlign w:val="superscript"/>
        </w:rPr>
        <w:t>6</w:t>
      </w:r>
      <w:r w:rsidRPr="00DB2470">
        <w:rPr>
          <w:rFonts w:asciiTheme="majorHAnsi" w:eastAsia="Calibri" w:hAnsiTheme="majorHAnsi" w:cstheme="majorHAnsi"/>
          <w:sz w:val="20"/>
          <w:szCs w:val="20"/>
        </w:rPr>
        <w:t>Francisco Marroquin University School of Medicine, Guatemala City, Guatemala.</w:t>
      </w:r>
    </w:p>
    <w:p w14:paraId="7EB53C90" w14:textId="77777777" w:rsidR="00DB2470" w:rsidRPr="00DB2470" w:rsidRDefault="00DB2470" w:rsidP="00DB2470">
      <w:pPr>
        <w:rPr>
          <w:rFonts w:asciiTheme="majorHAnsi" w:eastAsia="Calibri" w:hAnsiTheme="majorHAnsi" w:cstheme="majorHAnsi"/>
          <w:sz w:val="20"/>
          <w:szCs w:val="20"/>
        </w:rPr>
      </w:pPr>
      <w:r w:rsidRPr="00DB2470">
        <w:rPr>
          <w:rFonts w:asciiTheme="majorHAnsi" w:eastAsia="Calibri" w:hAnsiTheme="majorHAnsi" w:cstheme="majorHAnsi"/>
          <w:sz w:val="20"/>
          <w:szCs w:val="20"/>
          <w:vertAlign w:val="superscript"/>
        </w:rPr>
        <w:t>7</w:t>
      </w:r>
      <w:r w:rsidRPr="00DB2470">
        <w:rPr>
          <w:rFonts w:asciiTheme="majorHAnsi" w:eastAsia="Calibri" w:hAnsiTheme="majorHAnsi" w:cstheme="majorHAnsi"/>
          <w:sz w:val="20"/>
          <w:szCs w:val="20"/>
        </w:rPr>
        <w:t>Department of Nursing Research, St. Jude Children’s Research Hospital, Memphis, Tennessee, USA.</w:t>
      </w:r>
    </w:p>
    <w:p w14:paraId="09E15128" w14:textId="77777777" w:rsidR="00DB2470" w:rsidRPr="00DB2470" w:rsidRDefault="00DB2470" w:rsidP="00DB2470">
      <w:pPr>
        <w:rPr>
          <w:rFonts w:asciiTheme="majorHAnsi" w:eastAsia="Calibri" w:hAnsiTheme="majorHAnsi" w:cstheme="majorHAnsi"/>
          <w:sz w:val="20"/>
          <w:szCs w:val="20"/>
        </w:rPr>
      </w:pPr>
      <w:r w:rsidRPr="00DB2470">
        <w:rPr>
          <w:rFonts w:asciiTheme="majorHAnsi" w:eastAsia="Calibri" w:hAnsiTheme="majorHAnsi" w:cstheme="majorHAnsi"/>
          <w:sz w:val="20"/>
          <w:szCs w:val="20"/>
          <w:vertAlign w:val="superscript"/>
        </w:rPr>
        <w:t>7</w:t>
      </w:r>
      <w:r w:rsidRPr="00DB2470">
        <w:rPr>
          <w:rFonts w:asciiTheme="majorHAnsi" w:eastAsia="Calibri" w:hAnsiTheme="majorHAnsi" w:cstheme="majorHAnsi"/>
          <w:sz w:val="20"/>
          <w:szCs w:val="20"/>
        </w:rPr>
        <w:t>Division of Critical Care, St. Jude Children’s Research Hospital, Memphis, Tennessee, USA.</w:t>
      </w:r>
    </w:p>
    <w:p w14:paraId="09E0931B" w14:textId="77777777" w:rsidR="001F4494" w:rsidRPr="001F4494" w:rsidRDefault="001F4494" w:rsidP="001F4494">
      <w:pPr>
        <w:jc w:val="center"/>
        <w:rPr>
          <w:rFonts w:asciiTheme="majorHAnsi" w:hAnsiTheme="majorHAnsi" w:cstheme="majorHAnsi"/>
          <w:b/>
          <w:sz w:val="20"/>
          <w:szCs w:val="20"/>
        </w:rPr>
      </w:pPr>
    </w:p>
    <w:p w14:paraId="63C7FE09" w14:textId="77777777" w:rsidR="00980DFF" w:rsidRPr="001F4494" w:rsidRDefault="00980DFF" w:rsidP="00E447EA">
      <w:pPr>
        <w:jc w:val="center"/>
        <w:rPr>
          <w:rFonts w:asciiTheme="majorHAnsi" w:hAnsiTheme="majorHAnsi" w:cstheme="majorHAnsi"/>
          <w:b/>
          <w:sz w:val="20"/>
          <w:szCs w:val="20"/>
        </w:rPr>
      </w:pPr>
    </w:p>
    <w:p w14:paraId="0A698EB1" w14:textId="77777777" w:rsidR="00980DFF" w:rsidRPr="001F4494" w:rsidRDefault="00980DFF" w:rsidP="00E447EA">
      <w:pPr>
        <w:jc w:val="center"/>
        <w:rPr>
          <w:rFonts w:asciiTheme="majorHAnsi" w:hAnsiTheme="majorHAnsi" w:cstheme="majorHAnsi"/>
          <w:b/>
          <w:sz w:val="20"/>
          <w:szCs w:val="20"/>
        </w:rPr>
      </w:pPr>
      <w:r w:rsidRPr="001F4494">
        <w:rPr>
          <w:rFonts w:asciiTheme="majorHAnsi" w:hAnsiTheme="majorHAnsi" w:cstheme="majorHAnsi"/>
          <w:b/>
          <w:sz w:val="20"/>
          <w:szCs w:val="20"/>
        </w:rPr>
        <w:t>Table of Contents</w:t>
      </w:r>
    </w:p>
    <w:p w14:paraId="0E93D39A" w14:textId="77777777" w:rsidR="00980DFF" w:rsidRPr="001F4494" w:rsidRDefault="00980DFF">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6385"/>
        <w:gridCol w:w="2471"/>
      </w:tblGrid>
      <w:tr w:rsidR="00980DFF" w:rsidRPr="001F4494" w14:paraId="569CBCD4" w14:textId="77777777" w:rsidTr="001F4494">
        <w:tc>
          <w:tcPr>
            <w:tcW w:w="6385" w:type="dxa"/>
          </w:tcPr>
          <w:p w14:paraId="5829705E" w14:textId="77777777" w:rsidR="00980DFF" w:rsidRPr="001F4494" w:rsidRDefault="00980DFF">
            <w:pPr>
              <w:rPr>
                <w:rFonts w:asciiTheme="majorHAnsi" w:hAnsiTheme="majorHAnsi" w:cstheme="majorHAnsi"/>
                <w:b/>
                <w:sz w:val="20"/>
                <w:szCs w:val="20"/>
              </w:rPr>
            </w:pPr>
            <w:r w:rsidRPr="001F4494">
              <w:rPr>
                <w:rFonts w:asciiTheme="majorHAnsi" w:hAnsiTheme="majorHAnsi" w:cstheme="majorHAnsi"/>
                <w:b/>
                <w:sz w:val="20"/>
                <w:szCs w:val="20"/>
              </w:rPr>
              <w:t>Item</w:t>
            </w:r>
          </w:p>
        </w:tc>
        <w:tc>
          <w:tcPr>
            <w:tcW w:w="2471" w:type="dxa"/>
          </w:tcPr>
          <w:p w14:paraId="48C8B38B" w14:textId="77777777" w:rsidR="00980DFF" w:rsidRPr="001F4494" w:rsidRDefault="00980DFF">
            <w:pPr>
              <w:rPr>
                <w:rFonts w:asciiTheme="majorHAnsi" w:hAnsiTheme="majorHAnsi" w:cstheme="majorHAnsi"/>
                <w:b/>
                <w:sz w:val="20"/>
                <w:szCs w:val="20"/>
              </w:rPr>
            </w:pPr>
            <w:r w:rsidRPr="001F4494">
              <w:rPr>
                <w:rFonts w:asciiTheme="majorHAnsi" w:hAnsiTheme="majorHAnsi" w:cstheme="majorHAnsi"/>
                <w:b/>
                <w:sz w:val="20"/>
                <w:szCs w:val="20"/>
              </w:rPr>
              <w:t>Page</w:t>
            </w:r>
          </w:p>
        </w:tc>
      </w:tr>
      <w:tr w:rsidR="00980DFF" w:rsidRPr="001F4494" w14:paraId="3C994A8F" w14:textId="77777777" w:rsidTr="001F4494">
        <w:tc>
          <w:tcPr>
            <w:tcW w:w="6385" w:type="dxa"/>
          </w:tcPr>
          <w:p w14:paraId="5604E8FB" w14:textId="77777777" w:rsidR="00980DFF" w:rsidRPr="001F4494" w:rsidRDefault="00980DFF">
            <w:pPr>
              <w:rPr>
                <w:rFonts w:asciiTheme="majorHAnsi" w:hAnsiTheme="majorHAnsi" w:cstheme="majorHAnsi"/>
                <w:sz w:val="20"/>
                <w:szCs w:val="20"/>
              </w:rPr>
            </w:pPr>
            <w:r w:rsidRPr="001F4494">
              <w:rPr>
                <w:rFonts w:asciiTheme="majorHAnsi" w:hAnsiTheme="majorHAnsi" w:cstheme="majorHAnsi"/>
                <w:sz w:val="20"/>
                <w:szCs w:val="20"/>
              </w:rPr>
              <w:t>Supplemental Table 1. Code Definitions</w:t>
            </w:r>
          </w:p>
        </w:tc>
        <w:tc>
          <w:tcPr>
            <w:tcW w:w="2471" w:type="dxa"/>
          </w:tcPr>
          <w:p w14:paraId="156AC877" w14:textId="77777777" w:rsidR="00980DFF" w:rsidRPr="001F4494" w:rsidRDefault="00980DFF">
            <w:pPr>
              <w:rPr>
                <w:rFonts w:asciiTheme="majorHAnsi" w:hAnsiTheme="majorHAnsi" w:cstheme="majorHAnsi"/>
                <w:sz w:val="20"/>
                <w:szCs w:val="20"/>
              </w:rPr>
            </w:pPr>
            <w:r w:rsidRPr="001F4494">
              <w:rPr>
                <w:rFonts w:asciiTheme="majorHAnsi" w:hAnsiTheme="majorHAnsi" w:cstheme="majorHAnsi"/>
                <w:sz w:val="20"/>
                <w:szCs w:val="20"/>
              </w:rPr>
              <w:t>2-3</w:t>
            </w:r>
          </w:p>
        </w:tc>
      </w:tr>
      <w:tr w:rsidR="00980DFF" w:rsidRPr="001F4494" w14:paraId="463FAD17" w14:textId="77777777" w:rsidTr="001F4494">
        <w:tc>
          <w:tcPr>
            <w:tcW w:w="6385" w:type="dxa"/>
          </w:tcPr>
          <w:p w14:paraId="5FCE14CF" w14:textId="77777777" w:rsidR="00980DFF" w:rsidRPr="001F4494" w:rsidRDefault="00E447EA">
            <w:pPr>
              <w:rPr>
                <w:rFonts w:asciiTheme="majorHAnsi" w:hAnsiTheme="majorHAnsi" w:cstheme="majorHAnsi"/>
                <w:sz w:val="20"/>
                <w:szCs w:val="20"/>
              </w:rPr>
            </w:pPr>
            <w:r w:rsidRPr="001F4494">
              <w:rPr>
                <w:rFonts w:asciiTheme="majorHAnsi" w:hAnsiTheme="majorHAnsi" w:cstheme="majorHAnsi"/>
                <w:sz w:val="20"/>
                <w:szCs w:val="20"/>
              </w:rPr>
              <w:t>Supplemental Figure 1. Interview Script</w:t>
            </w:r>
          </w:p>
        </w:tc>
        <w:tc>
          <w:tcPr>
            <w:tcW w:w="2471" w:type="dxa"/>
          </w:tcPr>
          <w:p w14:paraId="00012045" w14:textId="77777777" w:rsidR="00980DFF" w:rsidRPr="001F4494" w:rsidRDefault="00980DFF">
            <w:pPr>
              <w:rPr>
                <w:rFonts w:asciiTheme="majorHAnsi" w:hAnsiTheme="majorHAnsi" w:cstheme="majorHAnsi"/>
                <w:sz w:val="20"/>
                <w:szCs w:val="20"/>
              </w:rPr>
            </w:pPr>
            <w:r w:rsidRPr="001F4494">
              <w:rPr>
                <w:rFonts w:asciiTheme="majorHAnsi" w:hAnsiTheme="majorHAnsi" w:cstheme="majorHAnsi"/>
                <w:sz w:val="20"/>
                <w:szCs w:val="20"/>
              </w:rPr>
              <w:t>4-5</w:t>
            </w:r>
          </w:p>
        </w:tc>
      </w:tr>
      <w:tr w:rsidR="001F4494" w:rsidRPr="001F4494" w14:paraId="6A6DA37F" w14:textId="77777777" w:rsidTr="001F4494">
        <w:tc>
          <w:tcPr>
            <w:tcW w:w="6385" w:type="dxa"/>
          </w:tcPr>
          <w:p w14:paraId="2813967A" w14:textId="16AC9625" w:rsidR="001F4494" w:rsidRPr="001F4494" w:rsidRDefault="001F4494">
            <w:pPr>
              <w:rPr>
                <w:rFonts w:asciiTheme="majorHAnsi" w:hAnsiTheme="majorHAnsi" w:cstheme="majorHAnsi"/>
                <w:sz w:val="20"/>
                <w:szCs w:val="20"/>
              </w:rPr>
            </w:pPr>
            <w:r>
              <w:rPr>
                <w:rFonts w:asciiTheme="majorHAnsi" w:hAnsiTheme="majorHAnsi" w:cstheme="majorHAnsi"/>
                <w:sz w:val="20"/>
                <w:szCs w:val="20"/>
              </w:rPr>
              <w:t xml:space="preserve">Supplemental Figure 2. </w:t>
            </w:r>
            <w:r w:rsidRPr="001F4494">
              <w:rPr>
                <w:rFonts w:asciiTheme="majorHAnsi" w:hAnsiTheme="majorHAnsi" w:cstheme="majorHAnsi"/>
                <w:sz w:val="20"/>
                <w:szCs w:val="20"/>
              </w:rPr>
              <w:t xml:space="preserve">PEWS </w:t>
            </w:r>
            <w:r w:rsidR="0094149A">
              <w:rPr>
                <w:rFonts w:asciiTheme="majorHAnsi" w:hAnsiTheme="majorHAnsi" w:cstheme="majorHAnsi"/>
                <w:sz w:val="20"/>
                <w:szCs w:val="20"/>
              </w:rPr>
              <w:t xml:space="preserve"> </w:t>
            </w:r>
            <w:r w:rsidRPr="001F4494">
              <w:rPr>
                <w:rFonts w:asciiTheme="majorHAnsi" w:hAnsiTheme="majorHAnsi" w:cstheme="majorHAnsi"/>
                <w:sz w:val="20"/>
                <w:szCs w:val="20"/>
              </w:rPr>
              <w:t>Scoring Tool</w:t>
            </w:r>
          </w:p>
        </w:tc>
        <w:tc>
          <w:tcPr>
            <w:tcW w:w="2471" w:type="dxa"/>
          </w:tcPr>
          <w:p w14:paraId="128098AB" w14:textId="0DE95A63" w:rsidR="001F4494" w:rsidRPr="001F4494" w:rsidRDefault="005D5846">
            <w:pPr>
              <w:rPr>
                <w:rFonts w:asciiTheme="majorHAnsi" w:hAnsiTheme="majorHAnsi" w:cstheme="majorHAnsi"/>
                <w:sz w:val="20"/>
                <w:szCs w:val="20"/>
              </w:rPr>
            </w:pPr>
            <w:r>
              <w:rPr>
                <w:rFonts w:asciiTheme="majorHAnsi" w:hAnsiTheme="majorHAnsi" w:cstheme="majorHAnsi"/>
                <w:sz w:val="20"/>
                <w:szCs w:val="20"/>
              </w:rPr>
              <w:t>6</w:t>
            </w:r>
          </w:p>
        </w:tc>
      </w:tr>
      <w:tr w:rsidR="001F4494" w:rsidRPr="001F4494" w14:paraId="49B5ECCE" w14:textId="77777777" w:rsidTr="001F4494">
        <w:tc>
          <w:tcPr>
            <w:tcW w:w="6385" w:type="dxa"/>
          </w:tcPr>
          <w:p w14:paraId="56936E45" w14:textId="3CDA2E46" w:rsidR="001F4494" w:rsidRPr="001F4494" w:rsidRDefault="005D5846">
            <w:pPr>
              <w:rPr>
                <w:rFonts w:asciiTheme="majorHAnsi" w:hAnsiTheme="majorHAnsi" w:cstheme="majorHAnsi"/>
                <w:sz w:val="20"/>
                <w:szCs w:val="20"/>
              </w:rPr>
            </w:pPr>
            <w:r>
              <w:rPr>
                <w:rFonts w:asciiTheme="majorHAnsi" w:hAnsiTheme="majorHAnsi" w:cstheme="majorHAnsi"/>
                <w:sz w:val="20"/>
                <w:szCs w:val="20"/>
              </w:rPr>
              <w:t xml:space="preserve">Supplemental Figure 3. </w:t>
            </w:r>
            <w:r w:rsidRPr="005D5846">
              <w:rPr>
                <w:rFonts w:asciiTheme="majorHAnsi" w:hAnsiTheme="majorHAnsi" w:cstheme="majorHAnsi"/>
                <w:sz w:val="20"/>
                <w:szCs w:val="20"/>
              </w:rPr>
              <w:t>PEWS Sample Algorithm</w:t>
            </w:r>
          </w:p>
        </w:tc>
        <w:tc>
          <w:tcPr>
            <w:tcW w:w="2471" w:type="dxa"/>
          </w:tcPr>
          <w:p w14:paraId="70FA3451" w14:textId="4C3D46C1" w:rsidR="001F4494" w:rsidRPr="001F4494" w:rsidRDefault="005D5846">
            <w:pPr>
              <w:rPr>
                <w:rFonts w:asciiTheme="majorHAnsi" w:hAnsiTheme="majorHAnsi" w:cstheme="majorHAnsi"/>
                <w:sz w:val="20"/>
                <w:szCs w:val="20"/>
              </w:rPr>
            </w:pPr>
            <w:r>
              <w:rPr>
                <w:rFonts w:asciiTheme="majorHAnsi" w:hAnsiTheme="majorHAnsi" w:cstheme="majorHAnsi"/>
                <w:sz w:val="20"/>
                <w:szCs w:val="20"/>
              </w:rPr>
              <w:t>7</w:t>
            </w:r>
          </w:p>
        </w:tc>
      </w:tr>
    </w:tbl>
    <w:p w14:paraId="13E023C6" w14:textId="77777777" w:rsidR="00980DFF" w:rsidRPr="001F4494" w:rsidRDefault="00980DFF">
      <w:pPr>
        <w:rPr>
          <w:rFonts w:asciiTheme="majorHAnsi" w:hAnsiTheme="majorHAnsi" w:cstheme="majorHAnsi"/>
          <w:b/>
          <w:sz w:val="20"/>
          <w:szCs w:val="20"/>
        </w:rPr>
      </w:pPr>
    </w:p>
    <w:p w14:paraId="18C93128" w14:textId="77777777" w:rsidR="00980DFF" w:rsidRPr="001F4494" w:rsidRDefault="00980DFF">
      <w:pPr>
        <w:rPr>
          <w:rFonts w:asciiTheme="majorHAnsi" w:hAnsiTheme="majorHAnsi" w:cstheme="majorHAnsi"/>
          <w:b/>
          <w:sz w:val="20"/>
          <w:szCs w:val="20"/>
        </w:rPr>
      </w:pPr>
      <w:r w:rsidRPr="001F4494">
        <w:rPr>
          <w:rFonts w:asciiTheme="majorHAnsi" w:hAnsiTheme="majorHAnsi" w:cstheme="majorHAnsi"/>
          <w:b/>
          <w:sz w:val="20"/>
          <w:szCs w:val="20"/>
        </w:rPr>
        <w:br w:type="page"/>
      </w:r>
    </w:p>
    <w:p w14:paraId="796F9748" w14:textId="77777777" w:rsidR="00980DFF" w:rsidRPr="001F4494" w:rsidRDefault="00980DFF">
      <w:pPr>
        <w:rPr>
          <w:rFonts w:asciiTheme="majorHAnsi" w:hAnsiTheme="majorHAnsi" w:cstheme="majorHAnsi"/>
          <w:b/>
          <w:sz w:val="20"/>
          <w:szCs w:val="20"/>
        </w:rPr>
      </w:pPr>
    </w:p>
    <w:p w14:paraId="490B977F" w14:textId="77777777" w:rsidR="00987979" w:rsidRPr="001F4494" w:rsidRDefault="003324B8">
      <w:pPr>
        <w:rPr>
          <w:rFonts w:asciiTheme="majorHAnsi" w:hAnsiTheme="majorHAnsi" w:cstheme="majorHAnsi"/>
          <w:b/>
          <w:sz w:val="20"/>
          <w:szCs w:val="20"/>
        </w:rPr>
      </w:pPr>
      <w:r w:rsidRPr="001F4494">
        <w:rPr>
          <w:rFonts w:asciiTheme="majorHAnsi" w:hAnsiTheme="majorHAnsi" w:cstheme="majorHAnsi"/>
          <w:b/>
          <w:i/>
          <w:sz w:val="20"/>
          <w:szCs w:val="20"/>
        </w:rPr>
        <w:t>Supplemental Table 1.</w:t>
      </w:r>
      <w:r w:rsidRPr="001F4494">
        <w:rPr>
          <w:rFonts w:asciiTheme="majorHAnsi" w:hAnsiTheme="majorHAnsi" w:cstheme="majorHAnsi"/>
          <w:b/>
          <w:sz w:val="20"/>
          <w:szCs w:val="20"/>
        </w:rPr>
        <w:t xml:space="preserve"> Code Definitions</w:t>
      </w:r>
    </w:p>
    <w:p w14:paraId="5CBFC42B" w14:textId="77777777" w:rsidR="00980DFF" w:rsidRPr="001F4494" w:rsidRDefault="00980DFF">
      <w:pPr>
        <w:rPr>
          <w:rFonts w:asciiTheme="majorHAnsi" w:hAnsiTheme="majorHAnsi" w:cstheme="majorHAnsi"/>
          <w:b/>
          <w:sz w:val="20"/>
          <w:szCs w:val="20"/>
        </w:rPr>
      </w:pPr>
    </w:p>
    <w:p w14:paraId="43D58814" w14:textId="77777777" w:rsidR="00980DFF" w:rsidRPr="001F4494" w:rsidRDefault="00980DFF">
      <w:pPr>
        <w:rPr>
          <w:rFonts w:asciiTheme="majorHAnsi" w:hAnsiTheme="majorHAnsi" w:cstheme="majorHAnsi"/>
          <w:b/>
          <w:sz w:val="20"/>
          <w:szCs w:val="20"/>
        </w:rPr>
      </w:pPr>
    </w:p>
    <w:p w14:paraId="71D234AA" w14:textId="77777777" w:rsidR="003324B8" w:rsidRPr="001F4494" w:rsidRDefault="003324B8">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2296"/>
        <w:gridCol w:w="2323"/>
        <w:gridCol w:w="4731"/>
      </w:tblGrid>
      <w:tr w:rsidR="003324B8" w:rsidRPr="001F4494" w14:paraId="11C1AB7E" w14:textId="77777777" w:rsidTr="003324B8">
        <w:trPr>
          <w:trHeight w:val="320"/>
        </w:trPr>
        <w:tc>
          <w:tcPr>
            <w:tcW w:w="3360" w:type="dxa"/>
            <w:noWrap/>
            <w:hideMark/>
          </w:tcPr>
          <w:p w14:paraId="283B4FF3"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Category</w:t>
            </w:r>
          </w:p>
        </w:tc>
        <w:tc>
          <w:tcPr>
            <w:tcW w:w="3400" w:type="dxa"/>
            <w:noWrap/>
            <w:hideMark/>
          </w:tcPr>
          <w:p w14:paraId="0676F03A"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Code</w:t>
            </w:r>
          </w:p>
        </w:tc>
        <w:tc>
          <w:tcPr>
            <w:tcW w:w="7040" w:type="dxa"/>
            <w:noWrap/>
            <w:hideMark/>
          </w:tcPr>
          <w:p w14:paraId="1BEA9779"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Definition</w:t>
            </w:r>
          </w:p>
        </w:tc>
      </w:tr>
      <w:tr w:rsidR="003324B8" w:rsidRPr="001F4494" w14:paraId="055A7BF8" w14:textId="77777777" w:rsidTr="003324B8">
        <w:trPr>
          <w:trHeight w:val="900"/>
        </w:trPr>
        <w:tc>
          <w:tcPr>
            <w:tcW w:w="3360" w:type="dxa"/>
            <w:noWrap/>
            <w:hideMark/>
          </w:tcPr>
          <w:p w14:paraId="4DDCAC88"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Early Awareness</w:t>
            </w:r>
          </w:p>
        </w:tc>
        <w:tc>
          <w:tcPr>
            <w:tcW w:w="3400" w:type="dxa"/>
            <w:noWrap/>
            <w:hideMark/>
          </w:tcPr>
          <w:p w14:paraId="25D3BA3F"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 </w:t>
            </w:r>
          </w:p>
        </w:tc>
        <w:tc>
          <w:tcPr>
            <w:tcW w:w="7040" w:type="dxa"/>
            <w:hideMark/>
          </w:tcPr>
          <w:p w14:paraId="469CB863"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All references to PEWS as a point of EARLY communication increasing provider identification of sick or deteriorating children BEFORE it is too late or significant morbidity/mortality occurs.</w:t>
            </w:r>
          </w:p>
        </w:tc>
      </w:tr>
      <w:tr w:rsidR="003324B8" w:rsidRPr="001F4494" w14:paraId="055F0373" w14:textId="77777777" w:rsidTr="003324B8">
        <w:trPr>
          <w:trHeight w:val="300"/>
        </w:trPr>
        <w:tc>
          <w:tcPr>
            <w:tcW w:w="3360" w:type="dxa"/>
            <w:noWrap/>
            <w:hideMark/>
          </w:tcPr>
          <w:p w14:paraId="7B528FF0"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 xml:space="preserve">Experience </w:t>
            </w:r>
          </w:p>
        </w:tc>
        <w:tc>
          <w:tcPr>
            <w:tcW w:w="3400" w:type="dxa"/>
            <w:noWrap/>
            <w:hideMark/>
          </w:tcPr>
          <w:p w14:paraId="2968E8E5" w14:textId="77777777" w:rsidR="003324B8" w:rsidRPr="001F4494" w:rsidRDefault="003324B8">
            <w:pPr>
              <w:rPr>
                <w:rFonts w:asciiTheme="majorHAnsi" w:hAnsiTheme="majorHAnsi" w:cstheme="majorHAnsi"/>
                <w:sz w:val="20"/>
                <w:szCs w:val="20"/>
              </w:rPr>
            </w:pPr>
          </w:p>
        </w:tc>
        <w:tc>
          <w:tcPr>
            <w:tcW w:w="7040" w:type="dxa"/>
            <w:hideMark/>
          </w:tcPr>
          <w:p w14:paraId="38BB52AA" w14:textId="77777777" w:rsidR="003324B8" w:rsidRPr="001F4494" w:rsidRDefault="003324B8">
            <w:pPr>
              <w:rPr>
                <w:rFonts w:asciiTheme="majorHAnsi" w:hAnsiTheme="majorHAnsi" w:cstheme="majorHAnsi"/>
                <w:sz w:val="20"/>
                <w:szCs w:val="20"/>
              </w:rPr>
            </w:pPr>
          </w:p>
        </w:tc>
      </w:tr>
      <w:tr w:rsidR="003324B8" w:rsidRPr="001F4494" w14:paraId="163E6BD5" w14:textId="77777777" w:rsidTr="003324B8">
        <w:trPr>
          <w:trHeight w:val="600"/>
        </w:trPr>
        <w:tc>
          <w:tcPr>
            <w:tcW w:w="3360" w:type="dxa"/>
            <w:noWrap/>
            <w:hideMark/>
          </w:tcPr>
          <w:p w14:paraId="29141564"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 </w:t>
            </w:r>
          </w:p>
        </w:tc>
        <w:tc>
          <w:tcPr>
            <w:tcW w:w="3400" w:type="dxa"/>
            <w:hideMark/>
          </w:tcPr>
          <w:p w14:paraId="0285632A"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Experience/Inexperience with deterioration</w:t>
            </w:r>
          </w:p>
        </w:tc>
        <w:tc>
          <w:tcPr>
            <w:tcW w:w="7040" w:type="dxa"/>
            <w:hideMark/>
          </w:tcPr>
          <w:p w14:paraId="523A00D2"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Refers to the familiarity of the healthcare providers with patients that have clinical deterioration.</w:t>
            </w:r>
          </w:p>
        </w:tc>
      </w:tr>
      <w:tr w:rsidR="003324B8" w:rsidRPr="001F4494" w14:paraId="1EE84067" w14:textId="77777777" w:rsidTr="003324B8">
        <w:trPr>
          <w:trHeight w:val="900"/>
        </w:trPr>
        <w:tc>
          <w:tcPr>
            <w:tcW w:w="3360" w:type="dxa"/>
            <w:noWrap/>
            <w:hideMark/>
          </w:tcPr>
          <w:p w14:paraId="73BB984D" w14:textId="6126E693"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False Positive</w:t>
            </w:r>
            <w:r w:rsidR="001F4494">
              <w:rPr>
                <w:rFonts w:asciiTheme="majorHAnsi" w:hAnsiTheme="majorHAnsi" w:cstheme="majorHAnsi"/>
                <w:b/>
                <w:bCs/>
                <w:sz w:val="20"/>
                <w:szCs w:val="20"/>
              </w:rPr>
              <w:t xml:space="preserve"> Score</w:t>
            </w:r>
          </w:p>
        </w:tc>
        <w:tc>
          <w:tcPr>
            <w:tcW w:w="3400" w:type="dxa"/>
            <w:noWrap/>
            <w:hideMark/>
          </w:tcPr>
          <w:p w14:paraId="7ECEBE93"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 </w:t>
            </w:r>
          </w:p>
        </w:tc>
        <w:tc>
          <w:tcPr>
            <w:tcW w:w="7040" w:type="dxa"/>
            <w:hideMark/>
          </w:tcPr>
          <w:p w14:paraId="5C72104D"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References to patients who trigger RRTs because of high PEWS scores but may not really require escalation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“that kid with the fever who is tachycardic and just needs Tylenol…”)</w:t>
            </w:r>
          </w:p>
        </w:tc>
      </w:tr>
      <w:tr w:rsidR="003324B8" w:rsidRPr="001F4494" w14:paraId="044CA181" w14:textId="77777777" w:rsidTr="003324B8">
        <w:trPr>
          <w:trHeight w:val="2100"/>
        </w:trPr>
        <w:tc>
          <w:tcPr>
            <w:tcW w:w="3360" w:type="dxa"/>
            <w:noWrap/>
            <w:hideMark/>
          </w:tcPr>
          <w:p w14:paraId="4EFB6E82" w14:textId="1B95AB88" w:rsidR="003324B8" w:rsidRPr="001F4494" w:rsidRDefault="001F4494">
            <w:pPr>
              <w:rPr>
                <w:rFonts w:asciiTheme="majorHAnsi" w:hAnsiTheme="majorHAnsi" w:cstheme="majorHAnsi"/>
                <w:b/>
                <w:bCs/>
                <w:sz w:val="20"/>
                <w:szCs w:val="20"/>
              </w:rPr>
            </w:pPr>
            <w:r>
              <w:rPr>
                <w:rFonts w:asciiTheme="majorHAnsi" w:hAnsiTheme="majorHAnsi" w:cstheme="majorHAnsi"/>
                <w:b/>
                <w:bCs/>
                <w:sz w:val="20"/>
                <w:szCs w:val="20"/>
              </w:rPr>
              <w:t>Lack of Communication</w:t>
            </w:r>
          </w:p>
        </w:tc>
        <w:tc>
          <w:tcPr>
            <w:tcW w:w="3400" w:type="dxa"/>
            <w:noWrap/>
            <w:hideMark/>
          </w:tcPr>
          <w:p w14:paraId="1ECB48D2"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 </w:t>
            </w:r>
          </w:p>
        </w:tc>
        <w:tc>
          <w:tcPr>
            <w:tcW w:w="7040" w:type="dxa"/>
            <w:hideMark/>
          </w:tcPr>
          <w:p w14:paraId="77B560B9"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References to when there is an absence of communication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someone was not notified). Note, this code should be used when communication does not happen, but should not be used when there is communication but specific elements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a PEWS score) are lacking. This code should also include lack of action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someone did not complete an order, or did not notify the person they were supposed to about a score).</w:t>
            </w:r>
          </w:p>
        </w:tc>
      </w:tr>
      <w:tr w:rsidR="003324B8" w:rsidRPr="001F4494" w14:paraId="7D5DF879" w14:textId="77777777" w:rsidTr="003324B8">
        <w:trPr>
          <w:trHeight w:val="1800"/>
        </w:trPr>
        <w:tc>
          <w:tcPr>
            <w:tcW w:w="3360" w:type="dxa"/>
            <w:noWrap/>
            <w:hideMark/>
          </w:tcPr>
          <w:p w14:paraId="0ADC94ED"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Objective tool</w:t>
            </w:r>
          </w:p>
        </w:tc>
        <w:tc>
          <w:tcPr>
            <w:tcW w:w="3400" w:type="dxa"/>
            <w:noWrap/>
            <w:hideMark/>
          </w:tcPr>
          <w:p w14:paraId="4B4A1161"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 </w:t>
            </w:r>
          </w:p>
        </w:tc>
        <w:tc>
          <w:tcPr>
            <w:tcW w:w="7040" w:type="dxa"/>
            <w:hideMark/>
          </w:tcPr>
          <w:p w14:paraId="73898270" w14:textId="77777777" w:rsidR="00980DFF"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 xml:space="preserve">References to PEWS as a quantitative/objective tool or instrument. This reference may refer to this as a positive or a negative thing, or the reference may be neutral. References to a particular patient's score (PEWS) should not be included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"he scored a 3 for..." References to the score as a "tool" without any mention of it as an objective or specifically quantitative should not be included.</w:t>
            </w:r>
          </w:p>
        </w:tc>
      </w:tr>
      <w:tr w:rsidR="003324B8" w:rsidRPr="001F4494" w14:paraId="50AFE070" w14:textId="77777777" w:rsidTr="003324B8">
        <w:trPr>
          <w:trHeight w:val="300"/>
        </w:trPr>
        <w:tc>
          <w:tcPr>
            <w:tcW w:w="3360" w:type="dxa"/>
            <w:noWrap/>
            <w:hideMark/>
          </w:tcPr>
          <w:p w14:paraId="1912287B"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Perception of PEWS</w:t>
            </w:r>
          </w:p>
        </w:tc>
        <w:tc>
          <w:tcPr>
            <w:tcW w:w="3400" w:type="dxa"/>
            <w:noWrap/>
            <w:hideMark/>
          </w:tcPr>
          <w:p w14:paraId="68A7A729" w14:textId="77777777" w:rsidR="003324B8" w:rsidRPr="001F4494" w:rsidRDefault="003324B8">
            <w:pPr>
              <w:rPr>
                <w:rFonts w:asciiTheme="majorHAnsi" w:hAnsiTheme="majorHAnsi" w:cstheme="majorHAnsi"/>
                <w:sz w:val="20"/>
                <w:szCs w:val="20"/>
              </w:rPr>
            </w:pPr>
          </w:p>
        </w:tc>
        <w:tc>
          <w:tcPr>
            <w:tcW w:w="7040" w:type="dxa"/>
            <w:noWrap/>
            <w:hideMark/>
          </w:tcPr>
          <w:p w14:paraId="02C4BDBE" w14:textId="77777777" w:rsidR="003324B8" w:rsidRPr="001F4494" w:rsidRDefault="003324B8">
            <w:pPr>
              <w:rPr>
                <w:rFonts w:asciiTheme="majorHAnsi" w:hAnsiTheme="majorHAnsi" w:cstheme="majorHAnsi"/>
                <w:sz w:val="20"/>
                <w:szCs w:val="20"/>
              </w:rPr>
            </w:pPr>
          </w:p>
        </w:tc>
      </w:tr>
      <w:tr w:rsidR="003324B8" w:rsidRPr="001F4494" w14:paraId="34F3EC81" w14:textId="77777777" w:rsidTr="003324B8">
        <w:trPr>
          <w:trHeight w:val="1200"/>
        </w:trPr>
        <w:tc>
          <w:tcPr>
            <w:tcW w:w="3360" w:type="dxa"/>
            <w:noWrap/>
            <w:hideMark/>
          </w:tcPr>
          <w:p w14:paraId="06420E4C" w14:textId="77777777" w:rsidR="003324B8" w:rsidRPr="001F4494" w:rsidRDefault="003324B8">
            <w:pPr>
              <w:rPr>
                <w:rFonts w:asciiTheme="majorHAnsi" w:hAnsiTheme="majorHAnsi" w:cstheme="majorHAnsi"/>
                <w:b/>
                <w:bCs/>
                <w:sz w:val="20"/>
                <w:szCs w:val="20"/>
              </w:rPr>
            </w:pPr>
          </w:p>
        </w:tc>
        <w:tc>
          <w:tcPr>
            <w:tcW w:w="3400" w:type="dxa"/>
            <w:noWrap/>
            <w:hideMark/>
          </w:tcPr>
          <w:p w14:paraId="2F2B296A"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Positive Perception of PEWS</w:t>
            </w:r>
          </w:p>
        </w:tc>
        <w:tc>
          <w:tcPr>
            <w:tcW w:w="7040" w:type="dxa"/>
            <w:hideMark/>
          </w:tcPr>
          <w:p w14:paraId="25E09D01" w14:textId="3BBF4AB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 xml:space="preserve">All references to PEWS as a positive tool/instrument. Includes general statements about how PEWS DOES </w:t>
            </w:r>
            <w:proofErr w:type="gramStart"/>
            <w:r w:rsidRPr="001F4494">
              <w:rPr>
                <w:rFonts w:asciiTheme="majorHAnsi" w:hAnsiTheme="majorHAnsi" w:cstheme="majorHAnsi"/>
                <w:sz w:val="20"/>
                <w:szCs w:val="20"/>
              </w:rPr>
              <w:t>work, but</w:t>
            </w:r>
            <w:proofErr w:type="gramEnd"/>
            <w:r w:rsidRPr="001F4494">
              <w:rPr>
                <w:rFonts w:asciiTheme="majorHAnsi" w:hAnsiTheme="majorHAnsi" w:cstheme="majorHAnsi"/>
                <w:sz w:val="20"/>
                <w:szCs w:val="20"/>
              </w:rPr>
              <w:t xml:space="preserve"> does not include general references to good communication around patient deterioration that is unrelated to PEWS. </w:t>
            </w:r>
          </w:p>
        </w:tc>
      </w:tr>
      <w:tr w:rsidR="003324B8" w:rsidRPr="001F4494" w14:paraId="412187E7" w14:textId="77777777" w:rsidTr="003324B8">
        <w:trPr>
          <w:trHeight w:val="1500"/>
        </w:trPr>
        <w:tc>
          <w:tcPr>
            <w:tcW w:w="3360" w:type="dxa"/>
            <w:noWrap/>
            <w:hideMark/>
          </w:tcPr>
          <w:p w14:paraId="0CC4F319"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 </w:t>
            </w:r>
          </w:p>
        </w:tc>
        <w:tc>
          <w:tcPr>
            <w:tcW w:w="3400" w:type="dxa"/>
            <w:noWrap/>
            <w:hideMark/>
          </w:tcPr>
          <w:p w14:paraId="7AAEBE93"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Negative Perception of PEWS</w:t>
            </w:r>
          </w:p>
        </w:tc>
        <w:tc>
          <w:tcPr>
            <w:tcW w:w="7040" w:type="dxa"/>
            <w:hideMark/>
          </w:tcPr>
          <w:p w14:paraId="1CD20BF5"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 xml:space="preserve">All references to PEWS as a negative tool/instrument. Includes general statements about how PEWS </w:t>
            </w:r>
            <w:proofErr w:type="gramStart"/>
            <w:r w:rsidRPr="001F4494">
              <w:rPr>
                <w:rFonts w:asciiTheme="majorHAnsi" w:hAnsiTheme="majorHAnsi" w:cstheme="majorHAnsi"/>
                <w:sz w:val="20"/>
                <w:szCs w:val="20"/>
              </w:rPr>
              <w:t>does</w:t>
            </w:r>
            <w:proofErr w:type="gramEnd"/>
            <w:r w:rsidRPr="001F4494">
              <w:rPr>
                <w:rFonts w:asciiTheme="majorHAnsi" w:hAnsiTheme="majorHAnsi" w:cstheme="majorHAnsi"/>
                <w:sz w:val="20"/>
                <w:szCs w:val="20"/>
              </w:rPr>
              <w:t xml:space="preserve"> NOT work, but does not include general references to poor communication around patient deterioration that is unrelated to PEWS. Also does not include general suggestions for additions or alterations to the score.</w:t>
            </w:r>
          </w:p>
        </w:tc>
      </w:tr>
      <w:tr w:rsidR="003324B8" w:rsidRPr="001F4494" w14:paraId="360178EE" w14:textId="77777777" w:rsidTr="003324B8">
        <w:trPr>
          <w:trHeight w:val="300"/>
        </w:trPr>
        <w:tc>
          <w:tcPr>
            <w:tcW w:w="3360" w:type="dxa"/>
            <w:noWrap/>
            <w:hideMark/>
          </w:tcPr>
          <w:p w14:paraId="3E6770D9"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Perception of Event</w:t>
            </w:r>
          </w:p>
        </w:tc>
        <w:tc>
          <w:tcPr>
            <w:tcW w:w="3400" w:type="dxa"/>
            <w:noWrap/>
            <w:hideMark/>
          </w:tcPr>
          <w:p w14:paraId="21611D0F" w14:textId="77777777" w:rsidR="003324B8" w:rsidRPr="001F4494" w:rsidRDefault="003324B8">
            <w:pPr>
              <w:rPr>
                <w:rFonts w:asciiTheme="majorHAnsi" w:hAnsiTheme="majorHAnsi" w:cstheme="majorHAnsi"/>
                <w:sz w:val="20"/>
                <w:szCs w:val="20"/>
              </w:rPr>
            </w:pPr>
          </w:p>
        </w:tc>
        <w:tc>
          <w:tcPr>
            <w:tcW w:w="7040" w:type="dxa"/>
            <w:noWrap/>
            <w:hideMark/>
          </w:tcPr>
          <w:p w14:paraId="25A49554" w14:textId="77777777" w:rsidR="003324B8" w:rsidRPr="001F4494" w:rsidRDefault="003324B8">
            <w:pPr>
              <w:rPr>
                <w:rFonts w:asciiTheme="majorHAnsi" w:hAnsiTheme="majorHAnsi" w:cstheme="majorHAnsi"/>
                <w:sz w:val="20"/>
                <w:szCs w:val="20"/>
              </w:rPr>
            </w:pPr>
          </w:p>
        </w:tc>
      </w:tr>
      <w:tr w:rsidR="003324B8" w:rsidRPr="001F4494" w14:paraId="49283492" w14:textId="77777777" w:rsidTr="003324B8">
        <w:trPr>
          <w:trHeight w:val="300"/>
        </w:trPr>
        <w:tc>
          <w:tcPr>
            <w:tcW w:w="3360" w:type="dxa"/>
            <w:noWrap/>
            <w:hideMark/>
          </w:tcPr>
          <w:p w14:paraId="71890BE3" w14:textId="77777777" w:rsidR="003324B8" w:rsidRPr="001F4494" w:rsidRDefault="003324B8">
            <w:pPr>
              <w:rPr>
                <w:rFonts w:asciiTheme="majorHAnsi" w:hAnsiTheme="majorHAnsi" w:cstheme="majorHAnsi"/>
                <w:b/>
                <w:bCs/>
                <w:sz w:val="20"/>
                <w:szCs w:val="20"/>
              </w:rPr>
            </w:pPr>
          </w:p>
        </w:tc>
        <w:tc>
          <w:tcPr>
            <w:tcW w:w="3400" w:type="dxa"/>
            <w:noWrap/>
            <w:hideMark/>
          </w:tcPr>
          <w:p w14:paraId="319A03F8"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Positive Perception of Event</w:t>
            </w:r>
          </w:p>
        </w:tc>
        <w:tc>
          <w:tcPr>
            <w:tcW w:w="7040" w:type="dxa"/>
            <w:noWrap/>
            <w:hideMark/>
          </w:tcPr>
          <w:p w14:paraId="7C970859"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Refers to descriptions of a deterioration event that “went well.”</w:t>
            </w:r>
          </w:p>
        </w:tc>
      </w:tr>
      <w:tr w:rsidR="003324B8" w:rsidRPr="001F4494" w14:paraId="0E0137E1" w14:textId="77777777" w:rsidTr="003324B8">
        <w:trPr>
          <w:trHeight w:val="300"/>
        </w:trPr>
        <w:tc>
          <w:tcPr>
            <w:tcW w:w="3360" w:type="dxa"/>
            <w:noWrap/>
            <w:hideMark/>
          </w:tcPr>
          <w:p w14:paraId="267590CB"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lastRenderedPageBreak/>
              <w:t> </w:t>
            </w:r>
          </w:p>
        </w:tc>
        <w:tc>
          <w:tcPr>
            <w:tcW w:w="3400" w:type="dxa"/>
            <w:noWrap/>
            <w:hideMark/>
          </w:tcPr>
          <w:p w14:paraId="074087BA"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Negative Perception of Event</w:t>
            </w:r>
          </w:p>
        </w:tc>
        <w:tc>
          <w:tcPr>
            <w:tcW w:w="7040" w:type="dxa"/>
            <w:noWrap/>
            <w:hideMark/>
          </w:tcPr>
          <w:p w14:paraId="51A3A517"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Refers to descriptions of a deterioration event that “did not go well.”</w:t>
            </w:r>
          </w:p>
        </w:tc>
      </w:tr>
      <w:tr w:rsidR="003324B8" w:rsidRPr="001F4494" w14:paraId="279AA752" w14:textId="77777777" w:rsidTr="003324B8">
        <w:trPr>
          <w:trHeight w:val="300"/>
        </w:trPr>
        <w:tc>
          <w:tcPr>
            <w:tcW w:w="3360" w:type="dxa"/>
            <w:noWrap/>
            <w:hideMark/>
          </w:tcPr>
          <w:p w14:paraId="5FC96204"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Resources</w:t>
            </w:r>
          </w:p>
        </w:tc>
        <w:tc>
          <w:tcPr>
            <w:tcW w:w="3400" w:type="dxa"/>
            <w:noWrap/>
            <w:hideMark/>
          </w:tcPr>
          <w:p w14:paraId="4BC224E5" w14:textId="77777777" w:rsidR="003324B8" w:rsidRPr="001F4494" w:rsidRDefault="003324B8">
            <w:pPr>
              <w:rPr>
                <w:rFonts w:asciiTheme="majorHAnsi" w:hAnsiTheme="majorHAnsi" w:cstheme="majorHAnsi"/>
                <w:sz w:val="20"/>
                <w:szCs w:val="20"/>
              </w:rPr>
            </w:pPr>
          </w:p>
        </w:tc>
        <w:tc>
          <w:tcPr>
            <w:tcW w:w="7040" w:type="dxa"/>
            <w:noWrap/>
            <w:hideMark/>
          </w:tcPr>
          <w:p w14:paraId="720E3F2D" w14:textId="77777777" w:rsidR="003324B8" w:rsidRPr="001F4494" w:rsidRDefault="003324B8">
            <w:pPr>
              <w:rPr>
                <w:rFonts w:asciiTheme="majorHAnsi" w:hAnsiTheme="majorHAnsi" w:cstheme="majorHAnsi"/>
                <w:sz w:val="20"/>
                <w:szCs w:val="20"/>
              </w:rPr>
            </w:pPr>
          </w:p>
        </w:tc>
      </w:tr>
      <w:tr w:rsidR="003324B8" w:rsidRPr="001F4494" w14:paraId="5B1874F7" w14:textId="77777777" w:rsidTr="003324B8">
        <w:trPr>
          <w:trHeight w:val="2400"/>
        </w:trPr>
        <w:tc>
          <w:tcPr>
            <w:tcW w:w="3360" w:type="dxa"/>
            <w:noWrap/>
            <w:hideMark/>
          </w:tcPr>
          <w:p w14:paraId="7311C5EF"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 </w:t>
            </w:r>
          </w:p>
        </w:tc>
        <w:tc>
          <w:tcPr>
            <w:tcW w:w="3400" w:type="dxa"/>
            <w:noWrap/>
            <w:hideMark/>
          </w:tcPr>
          <w:p w14:paraId="0BE3572A" w14:textId="2991CF2C" w:rsidR="003324B8" w:rsidRPr="001F4494" w:rsidRDefault="001F4494">
            <w:pPr>
              <w:rPr>
                <w:rFonts w:asciiTheme="majorHAnsi" w:hAnsiTheme="majorHAnsi" w:cstheme="majorHAnsi"/>
                <w:sz w:val="20"/>
                <w:szCs w:val="20"/>
              </w:rPr>
            </w:pPr>
            <w:r>
              <w:rPr>
                <w:rFonts w:asciiTheme="majorHAnsi" w:hAnsiTheme="majorHAnsi" w:cstheme="majorHAnsi"/>
                <w:sz w:val="20"/>
                <w:szCs w:val="20"/>
              </w:rPr>
              <w:t>Limited Material Resources / Challenges with Technology</w:t>
            </w:r>
          </w:p>
        </w:tc>
        <w:tc>
          <w:tcPr>
            <w:tcW w:w="7040" w:type="dxa"/>
            <w:hideMark/>
          </w:tcPr>
          <w:p w14:paraId="2B93AB1E"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Includes references to technology (positive, negative or neutral) including medical technology (such as imaging monitors, BiPAP, Hi-flow) and electronic technology (pagers, electronic medical record, automatic alerts) that affect patient care. This also includes elements of infrastructure such as space/beds in a particular unit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the ICU) or in the hospital. The colored buttons used on the board at UNOP should be coded as technology. Telephone use should not be coded as technology but belongs under "non in-person communication". </w:t>
            </w:r>
          </w:p>
        </w:tc>
      </w:tr>
      <w:tr w:rsidR="003324B8" w:rsidRPr="001F4494" w14:paraId="705BFA58" w14:textId="77777777" w:rsidTr="003324B8">
        <w:trPr>
          <w:trHeight w:val="3300"/>
        </w:trPr>
        <w:tc>
          <w:tcPr>
            <w:tcW w:w="3360" w:type="dxa"/>
            <w:noWrap/>
            <w:hideMark/>
          </w:tcPr>
          <w:p w14:paraId="544C041E" w14:textId="77777777" w:rsidR="003324B8" w:rsidRPr="001F4494" w:rsidRDefault="003324B8">
            <w:pPr>
              <w:rPr>
                <w:rFonts w:asciiTheme="majorHAnsi" w:hAnsiTheme="majorHAnsi" w:cstheme="majorHAnsi"/>
                <w:b/>
                <w:bCs/>
                <w:sz w:val="20"/>
                <w:szCs w:val="20"/>
              </w:rPr>
            </w:pPr>
            <w:r w:rsidRPr="001F4494">
              <w:rPr>
                <w:rFonts w:asciiTheme="majorHAnsi" w:hAnsiTheme="majorHAnsi" w:cstheme="majorHAnsi"/>
                <w:b/>
                <w:bCs/>
                <w:sz w:val="20"/>
                <w:szCs w:val="20"/>
              </w:rPr>
              <w:t>Teamwork</w:t>
            </w:r>
          </w:p>
        </w:tc>
        <w:tc>
          <w:tcPr>
            <w:tcW w:w="3400" w:type="dxa"/>
            <w:noWrap/>
            <w:hideMark/>
          </w:tcPr>
          <w:p w14:paraId="0346CB51"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 </w:t>
            </w:r>
          </w:p>
        </w:tc>
        <w:tc>
          <w:tcPr>
            <w:tcW w:w="7040" w:type="dxa"/>
            <w:hideMark/>
          </w:tcPr>
          <w:p w14:paraId="4DF2A2CA" w14:textId="77777777" w:rsidR="003324B8" w:rsidRPr="001F4494" w:rsidRDefault="003324B8">
            <w:pPr>
              <w:rPr>
                <w:rFonts w:asciiTheme="majorHAnsi" w:hAnsiTheme="majorHAnsi" w:cstheme="majorHAnsi"/>
                <w:sz w:val="20"/>
                <w:szCs w:val="20"/>
              </w:rPr>
            </w:pPr>
            <w:r w:rsidRPr="001F4494">
              <w:rPr>
                <w:rFonts w:asciiTheme="majorHAnsi" w:hAnsiTheme="majorHAnsi" w:cstheme="majorHAnsi"/>
                <w:sz w:val="20"/>
                <w:szCs w:val="20"/>
              </w:rPr>
              <w:t>References to or descriptions of teamwork, providers coming together and working successfully toward common goal of patient care, or LACK of teamwork. This includes all group communication where providers from more than 2 disciplines are discussing a case together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primary team + nurse + ICU team). It also includes references to a colleague helping another one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a nurse covering someone's stable patients during and escalation event, or a nurse covering another nurse's patients while she goes to lunch). Finally, it includes providers not coming together when they should, or coming together and disagreeing. It does not include references to handoff or sign-out which should be coded under "peer communication". </w:t>
            </w:r>
          </w:p>
        </w:tc>
      </w:tr>
    </w:tbl>
    <w:p w14:paraId="13A00672" w14:textId="77777777" w:rsidR="00980DFF" w:rsidRPr="001F4494" w:rsidRDefault="00980DFF">
      <w:pPr>
        <w:rPr>
          <w:rFonts w:asciiTheme="majorHAnsi" w:hAnsiTheme="majorHAnsi" w:cstheme="majorHAnsi"/>
          <w:sz w:val="20"/>
          <w:szCs w:val="20"/>
        </w:rPr>
      </w:pPr>
    </w:p>
    <w:p w14:paraId="7D23FC48" w14:textId="77777777" w:rsidR="00980DFF" w:rsidRPr="001F4494" w:rsidRDefault="00980DFF">
      <w:pPr>
        <w:rPr>
          <w:rFonts w:asciiTheme="majorHAnsi" w:hAnsiTheme="majorHAnsi" w:cstheme="majorHAnsi"/>
          <w:sz w:val="20"/>
          <w:szCs w:val="20"/>
        </w:rPr>
      </w:pPr>
      <w:r w:rsidRPr="001F4494">
        <w:rPr>
          <w:rFonts w:asciiTheme="majorHAnsi" w:hAnsiTheme="majorHAnsi" w:cstheme="majorHAnsi"/>
          <w:sz w:val="20"/>
          <w:szCs w:val="20"/>
        </w:rPr>
        <w:br w:type="page"/>
      </w:r>
    </w:p>
    <w:p w14:paraId="68925130" w14:textId="77777777" w:rsidR="003324B8" w:rsidRPr="001F4494" w:rsidRDefault="00980DFF">
      <w:pPr>
        <w:rPr>
          <w:rFonts w:asciiTheme="majorHAnsi" w:hAnsiTheme="majorHAnsi" w:cstheme="majorHAnsi"/>
          <w:b/>
          <w:sz w:val="20"/>
          <w:szCs w:val="20"/>
        </w:rPr>
      </w:pPr>
      <w:r w:rsidRPr="001F4494">
        <w:rPr>
          <w:rFonts w:asciiTheme="majorHAnsi" w:hAnsiTheme="majorHAnsi" w:cstheme="majorHAnsi"/>
          <w:b/>
          <w:i/>
          <w:sz w:val="20"/>
          <w:szCs w:val="20"/>
        </w:rPr>
        <w:lastRenderedPageBreak/>
        <w:t>Supplemental Figure 1.</w:t>
      </w:r>
      <w:r w:rsidRPr="001F4494">
        <w:rPr>
          <w:rFonts w:asciiTheme="majorHAnsi" w:hAnsiTheme="majorHAnsi" w:cstheme="majorHAnsi"/>
          <w:b/>
          <w:sz w:val="20"/>
          <w:szCs w:val="20"/>
        </w:rPr>
        <w:t xml:space="preserve"> Interview Script</w:t>
      </w:r>
    </w:p>
    <w:p w14:paraId="5041822B" w14:textId="77777777" w:rsidR="00980DFF" w:rsidRPr="001F4494" w:rsidRDefault="00980DFF" w:rsidP="00980DFF">
      <w:pPr>
        <w:rPr>
          <w:rFonts w:asciiTheme="majorHAnsi" w:hAnsiTheme="majorHAnsi" w:cstheme="majorHAnsi"/>
          <w:sz w:val="20"/>
          <w:szCs w:val="20"/>
        </w:rPr>
      </w:pPr>
    </w:p>
    <w:p w14:paraId="7C2B7C64" w14:textId="77777777" w:rsidR="00980DFF" w:rsidRPr="001F4494" w:rsidRDefault="00980DFF" w:rsidP="00980DFF">
      <w:pPr>
        <w:pStyle w:val="ListParagraph"/>
        <w:numPr>
          <w:ilvl w:val="0"/>
          <w:numId w:val="1"/>
        </w:numPr>
        <w:rPr>
          <w:rFonts w:asciiTheme="majorHAnsi" w:hAnsiTheme="majorHAnsi" w:cstheme="majorHAnsi"/>
          <w:sz w:val="20"/>
          <w:szCs w:val="20"/>
        </w:rPr>
      </w:pPr>
      <w:r w:rsidRPr="001F4494">
        <w:rPr>
          <w:rFonts w:asciiTheme="majorHAnsi" w:hAnsiTheme="majorHAnsi" w:cstheme="majorHAnsi"/>
          <w:sz w:val="20"/>
          <w:szCs w:val="20"/>
        </w:rPr>
        <w:t>Tell me what you think about PEWS</w:t>
      </w:r>
    </w:p>
    <w:p w14:paraId="2B500130"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How does it work on your floor/unit?</w:t>
      </w:r>
    </w:p>
    <w:p w14:paraId="374A67D4"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What is the role of PEWs in patient care?</w:t>
      </w:r>
    </w:p>
    <w:p w14:paraId="3C7DFE3E"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How does it (or doesn’t it) help you recognize patient deterioration?</w:t>
      </w:r>
    </w:p>
    <w:p w14:paraId="488F5C47"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What do you like about it?</w:t>
      </w:r>
    </w:p>
    <w:p w14:paraId="3ED3DBC5"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What don’t you like about it?</w:t>
      </w:r>
    </w:p>
    <w:p w14:paraId="60A2F572"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What would you change about it?</w:t>
      </w:r>
    </w:p>
    <w:p w14:paraId="66AF114B" w14:textId="77777777" w:rsidR="00980DFF" w:rsidRPr="001F4494" w:rsidRDefault="00980DFF" w:rsidP="00980DFF">
      <w:pPr>
        <w:pStyle w:val="ListParagraph"/>
        <w:numPr>
          <w:ilvl w:val="0"/>
          <w:numId w:val="1"/>
        </w:numPr>
        <w:rPr>
          <w:rFonts w:asciiTheme="majorHAnsi" w:hAnsiTheme="majorHAnsi" w:cstheme="majorHAnsi"/>
          <w:sz w:val="20"/>
          <w:szCs w:val="20"/>
        </w:rPr>
      </w:pPr>
      <w:r w:rsidRPr="001F4494">
        <w:rPr>
          <w:rFonts w:asciiTheme="majorHAnsi" w:hAnsiTheme="majorHAnsi" w:cstheme="majorHAnsi"/>
          <w:sz w:val="20"/>
          <w:szCs w:val="20"/>
        </w:rPr>
        <w:t>How does PEWs affect communication?</w:t>
      </w:r>
    </w:p>
    <w:p w14:paraId="65376640"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 xml:space="preserve">How has it affected your work </w:t>
      </w:r>
      <w:proofErr w:type="gramStart"/>
      <w:r w:rsidRPr="001F4494">
        <w:rPr>
          <w:rFonts w:asciiTheme="majorHAnsi" w:hAnsiTheme="majorHAnsi" w:cstheme="majorHAnsi"/>
          <w:sz w:val="20"/>
          <w:szCs w:val="20"/>
        </w:rPr>
        <w:t>with...</w:t>
      </w:r>
      <w:proofErr w:type="gramEnd"/>
    </w:p>
    <w:p w14:paraId="195A96B2" w14:textId="77777777" w:rsidR="00980DFF" w:rsidRPr="001F4494" w:rsidRDefault="00980DFF" w:rsidP="00980DFF">
      <w:pPr>
        <w:pStyle w:val="ListParagraph"/>
        <w:numPr>
          <w:ilvl w:val="2"/>
          <w:numId w:val="1"/>
        </w:numPr>
        <w:rPr>
          <w:rFonts w:asciiTheme="majorHAnsi" w:hAnsiTheme="majorHAnsi" w:cstheme="majorHAnsi"/>
          <w:sz w:val="20"/>
          <w:szCs w:val="20"/>
        </w:rPr>
      </w:pPr>
      <w:r w:rsidRPr="001F4494">
        <w:rPr>
          <w:rFonts w:asciiTheme="majorHAnsi" w:hAnsiTheme="majorHAnsi" w:cstheme="majorHAnsi"/>
          <w:sz w:val="20"/>
          <w:szCs w:val="20"/>
        </w:rPr>
        <w:t>…nurses and nursing coordinators?</w:t>
      </w:r>
    </w:p>
    <w:p w14:paraId="4353DE4A" w14:textId="77777777" w:rsidR="00980DFF" w:rsidRPr="001F4494" w:rsidRDefault="00980DFF" w:rsidP="00980DFF">
      <w:pPr>
        <w:pStyle w:val="ListParagraph"/>
        <w:numPr>
          <w:ilvl w:val="2"/>
          <w:numId w:val="1"/>
        </w:numPr>
        <w:rPr>
          <w:rFonts w:asciiTheme="majorHAnsi" w:hAnsiTheme="majorHAnsi" w:cstheme="majorHAnsi"/>
          <w:sz w:val="20"/>
          <w:szCs w:val="20"/>
        </w:rPr>
      </w:pPr>
      <w:r w:rsidRPr="001F4494">
        <w:rPr>
          <w:rFonts w:asciiTheme="majorHAnsi" w:hAnsiTheme="majorHAnsi" w:cstheme="majorHAnsi"/>
          <w:sz w:val="20"/>
          <w:szCs w:val="20"/>
        </w:rPr>
        <w:t>...residents, fellows and APPs?</w:t>
      </w:r>
    </w:p>
    <w:p w14:paraId="03839C7F" w14:textId="77777777" w:rsidR="00980DFF" w:rsidRPr="001F4494" w:rsidRDefault="00980DFF" w:rsidP="00980DFF">
      <w:pPr>
        <w:pStyle w:val="ListParagraph"/>
        <w:numPr>
          <w:ilvl w:val="2"/>
          <w:numId w:val="1"/>
        </w:numPr>
        <w:rPr>
          <w:rFonts w:asciiTheme="majorHAnsi" w:hAnsiTheme="majorHAnsi" w:cstheme="majorHAnsi"/>
          <w:sz w:val="20"/>
          <w:szCs w:val="20"/>
        </w:rPr>
      </w:pPr>
      <w:r w:rsidRPr="001F4494">
        <w:rPr>
          <w:rFonts w:asciiTheme="majorHAnsi" w:hAnsiTheme="majorHAnsi" w:cstheme="majorHAnsi"/>
          <w:sz w:val="20"/>
          <w:szCs w:val="20"/>
        </w:rPr>
        <w:t>....ICU team members?</w:t>
      </w:r>
    </w:p>
    <w:p w14:paraId="6B175EEB" w14:textId="77777777" w:rsidR="00980DFF" w:rsidRPr="001F4494" w:rsidRDefault="00980DFF" w:rsidP="00980DFF">
      <w:pPr>
        <w:pStyle w:val="ListParagraph"/>
        <w:numPr>
          <w:ilvl w:val="2"/>
          <w:numId w:val="1"/>
        </w:numPr>
        <w:rPr>
          <w:rFonts w:asciiTheme="majorHAnsi" w:hAnsiTheme="majorHAnsi" w:cstheme="majorHAnsi"/>
          <w:sz w:val="20"/>
          <w:szCs w:val="20"/>
        </w:rPr>
      </w:pPr>
      <w:r w:rsidRPr="001F4494">
        <w:rPr>
          <w:rFonts w:asciiTheme="majorHAnsi" w:hAnsiTheme="majorHAnsi" w:cstheme="majorHAnsi"/>
          <w:sz w:val="20"/>
          <w:szCs w:val="20"/>
        </w:rPr>
        <w:t>...families?</w:t>
      </w:r>
    </w:p>
    <w:p w14:paraId="7AA152B5"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When you call a provider with a concern, do you include the PEWs score? (or: When a nurse calls you with a concern, do you ask for the PEWs score?)</w:t>
      </w:r>
    </w:p>
    <w:p w14:paraId="19EED4FB" w14:textId="77777777" w:rsidR="00980DFF" w:rsidRPr="001F4494" w:rsidRDefault="00980DFF" w:rsidP="00980DFF">
      <w:pPr>
        <w:pStyle w:val="ListParagraph"/>
        <w:numPr>
          <w:ilvl w:val="2"/>
          <w:numId w:val="1"/>
        </w:numPr>
        <w:rPr>
          <w:rFonts w:asciiTheme="majorHAnsi" w:hAnsiTheme="majorHAnsi" w:cstheme="majorHAnsi"/>
          <w:sz w:val="20"/>
          <w:szCs w:val="20"/>
        </w:rPr>
      </w:pPr>
      <w:r w:rsidRPr="001F4494">
        <w:rPr>
          <w:rFonts w:asciiTheme="majorHAnsi" w:hAnsiTheme="majorHAnsi" w:cstheme="majorHAnsi"/>
          <w:sz w:val="20"/>
          <w:szCs w:val="20"/>
        </w:rPr>
        <w:t>Why or why not?</w:t>
      </w:r>
    </w:p>
    <w:p w14:paraId="7A6D51F5" w14:textId="77777777" w:rsidR="00980DFF" w:rsidRPr="001F4494" w:rsidRDefault="00980DFF" w:rsidP="00980DFF">
      <w:pPr>
        <w:pStyle w:val="ListParagraph"/>
        <w:numPr>
          <w:ilvl w:val="2"/>
          <w:numId w:val="1"/>
        </w:numPr>
        <w:rPr>
          <w:rFonts w:asciiTheme="majorHAnsi" w:hAnsiTheme="majorHAnsi" w:cstheme="majorHAnsi"/>
          <w:sz w:val="20"/>
          <w:szCs w:val="20"/>
        </w:rPr>
      </w:pPr>
      <w:r w:rsidRPr="001F4494">
        <w:rPr>
          <w:rFonts w:asciiTheme="majorHAnsi" w:hAnsiTheme="majorHAnsi" w:cstheme="majorHAnsi"/>
          <w:sz w:val="20"/>
          <w:szCs w:val="20"/>
        </w:rPr>
        <w:t>How do you decide when to score your concern under “staff concern”?</w:t>
      </w:r>
    </w:p>
    <w:p w14:paraId="4EEE2DB9"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When is PEWs helpful, when isn’t it?</w:t>
      </w:r>
    </w:p>
    <w:p w14:paraId="225CE6A7" w14:textId="77777777" w:rsidR="00980DFF" w:rsidRPr="001F4494" w:rsidRDefault="00980DFF" w:rsidP="00980DFF">
      <w:pPr>
        <w:pStyle w:val="ListParagraph"/>
        <w:numPr>
          <w:ilvl w:val="0"/>
          <w:numId w:val="1"/>
        </w:numPr>
        <w:rPr>
          <w:rFonts w:asciiTheme="majorHAnsi" w:hAnsiTheme="majorHAnsi" w:cstheme="majorHAnsi"/>
          <w:sz w:val="20"/>
          <w:szCs w:val="20"/>
        </w:rPr>
      </w:pPr>
      <w:r w:rsidRPr="001F4494">
        <w:rPr>
          <w:rFonts w:asciiTheme="majorHAnsi" w:hAnsiTheme="majorHAnsi" w:cstheme="majorHAnsi"/>
          <w:sz w:val="20"/>
          <w:szCs w:val="20"/>
        </w:rPr>
        <w:t>What do you see as the barriers to communication around patient deterioration events?</w:t>
      </w:r>
    </w:p>
    <w:p w14:paraId="61096357"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Can you think of a time when you thought about calling for help/escalating care and did not? (Can you think of a time when you feel care should have been escalated and was not?)?</w:t>
      </w:r>
    </w:p>
    <w:p w14:paraId="4034F62B"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Why do you think this happened?</w:t>
      </w:r>
    </w:p>
    <w:p w14:paraId="4AD4A93C" w14:textId="77777777" w:rsidR="00980DFF" w:rsidRPr="001F4494" w:rsidRDefault="00980DFF" w:rsidP="00980DFF">
      <w:pPr>
        <w:pStyle w:val="ListParagraph"/>
        <w:numPr>
          <w:ilvl w:val="0"/>
          <w:numId w:val="1"/>
        </w:numPr>
        <w:rPr>
          <w:rFonts w:asciiTheme="majorHAnsi" w:hAnsiTheme="majorHAnsi" w:cstheme="majorHAnsi"/>
          <w:sz w:val="20"/>
          <w:szCs w:val="20"/>
        </w:rPr>
      </w:pPr>
      <w:r w:rsidRPr="001F4494">
        <w:rPr>
          <w:rFonts w:asciiTheme="majorHAnsi" w:hAnsiTheme="majorHAnsi" w:cstheme="majorHAnsi"/>
          <w:sz w:val="20"/>
          <w:szCs w:val="20"/>
        </w:rPr>
        <w:t>Were you at St. Jude prior to the implementation of PEWs? If yes....</w:t>
      </w:r>
    </w:p>
    <w:p w14:paraId="5B6D45ED"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In what ways do you think it has affected patient safety?</w:t>
      </w:r>
    </w:p>
    <w:p w14:paraId="0A207ADB"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In what ways has it affected/changed communication?</w:t>
      </w:r>
    </w:p>
    <w:p w14:paraId="1B15CA4D"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How do you think it has affected the safety culture at St. Jude?</w:t>
      </w:r>
    </w:p>
    <w:p w14:paraId="2DFE9BEE" w14:textId="77777777" w:rsidR="00980DFF" w:rsidRPr="001F4494" w:rsidRDefault="00980DFF" w:rsidP="00980DFF">
      <w:pPr>
        <w:pStyle w:val="ListParagraph"/>
        <w:numPr>
          <w:ilvl w:val="0"/>
          <w:numId w:val="1"/>
        </w:numPr>
        <w:rPr>
          <w:rFonts w:asciiTheme="majorHAnsi" w:hAnsiTheme="majorHAnsi" w:cstheme="majorHAnsi"/>
          <w:sz w:val="20"/>
          <w:szCs w:val="20"/>
        </w:rPr>
      </w:pPr>
      <w:r w:rsidRPr="001F4494">
        <w:rPr>
          <w:rFonts w:asciiTheme="majorHAnsi" w:hAnsiTheme="majorHAnsi" w:cstheme="majorHAnsi"/>
          <w:sz w:val="20"/>
          <w:szCs w:val="20"/>
        </w:rPr>
        <w:t>Thank you for those thoughts. Now I’d like to talk to you about a specific event, is that okay? I’d like to talk to you about *event* on *day* can you tell me what happened?</w:t>
      </w:r>
    </w:p>
    <w:p w14:paraId="1BB0B688"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What was your shift/assignment like that day? How busy were you/was the team?</w:t>
      </w:r>
    </w:p>
    <w:p w14:paraId="6557344E"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What was the patient like? Tell me a bit about their history (</w:t>
      </w:r>
      <w:proofErr w:type="gramStart"/>
      <w:r w:rsidRPr="001F4494">
        <w:rPr>
          <w:rFonts w:asciiTheme="majorHAnsi" w:hAnsiTheme="majorHAnsi" w:cstheme="majorHAnsi"/>
          <w:sz w:val="20"/>
          <w:szCs w:val="20"/>
        </w:rPr>
        <w:t>e.g.</w:t>
      </w:r>
      <w:proofErr w:type="gramEnd"/>
      <w:r w:rsidRPr="001F4494">
        <w:rPr>
          <w:rFonts w:asciiTheme="majorHAnsi" w:hAnsiTheme="majorHAnsi" w:cstheme="majorHAnsi"/>
          <w:sz w:val="20"/>
          <w:szCs w:val="20"/>
        </w:rPr>
        <w:t xml:space="preserve"> prior deterioration events) and your history with them (did you take care of this patient regularly?)</w:t>
      </w:r>
    </w:p>
    <w:p w14:paraId="5D7E7751"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When did you first realize the patient was deteriorating? What happened next?</w:t>
      </w:r>
    </w:p>
    <w:p w14:paraId="57B4363E"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Who was called first?</w:t>
      </w:r>
    </w:p>
    <w:p w14:paraId="3791BDDE"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Did the ICU team see the patient before, with, or after the floor providers?</w:t>
      </w:r>
    </w:p>
    <w:p w14:paraId="6D2DC337"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Who talked to the ICU team?</w:t>
      </w:r>
    </w:p>
    <w:p w14:paraId="0FA6FF75"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Who made decisions regarding next steps? How were these decisions made? How were the decisions communicated? Were you comfortable with these decisions? Why or why not?</w:t>
      </w:r>
    </w:p>
    <w:p w14:paraId="14A2E354"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How did the PEWs score help/hurt? How might have this event gone differently without SJAWS?</w:t>
      </w:r>
    </w:p>
    <w:p w14:paraId="47F7CD5B" w14:textId="77777777" w:rsidR="00980DFF" w:rsidRPr="001F4494" w:rsidRDefault="00980DFF" w:rsidP="00980DFF">
      <w:pPr>
        <w:pStyle w:val="ListParagraph"/>
        <w:numPr>
          <w:ilvl w:val="1"/>
          <w:numId w:val="1"/>
        </w:numPr>
        <w:rPr>
          <w:rFonts w:asciiTheme="majorHAnsi" w:hAnsiTheme="majorHAnsi" w:cstheme="majorHAnsi"/>
          <w:sz w:val="20"/>
          <w:szCs w:val="20"/>
        </w:rPr>
      </w:pPr>
      <w:r w:rsidRPr="001F4494">
        <w:rPr>
          <w:rFonts w:asciiTheme="majorHAnsi" w:hAnsiTheme="majorHAnsi" w:cstheme="majorHAnsi"/>
          <w:sz w:val="20"/>
          <w:szCs w:val="20"/>
        </w:rPr>
        <w:t xml:space="preserve">In your opinion, did this case’s management go well? Is there anything you would have </w:t>
      </w:r>
      <w:proofErr w:type="gramStart"/>
      <w:r w:rsidRPr="001F4494">
        <w:rPr>
          <w:rFonts w:asciiTheme="majorHAnsi" w:hAnsiTheme="majorHAnsi" w:cstheme="majorHAnsi"/>
          <w:sz w:val="20"/>
          <w:szCs w:val="20"/>
        </w:rPr>
        <w:t>changed</w:t>
      </w:r>
      <w:proofErr w:type="gramEnd"/>
      <w:r w:rsidRPr="001F4494">
        <w:rPr>
          <w:rFonts w:asciiTheme="majorHAnsi" w:hAnsiTheme="majorHAnsi" w:cstheme="majorHAnsi"/>
          <w:sz w:val="20"/>
          <w:szCs w:val="20"/>
        </w:rPr>
        <w:t xml:space="preserve"> or wish had gone differently?</w:t>
      </w:r>
    </w:p>
    <w:p w14:paraId="36D4D721" w14:textId="6573A5D8" w:rsidR="00560C7D" w:rsidRPr="001F4494" w:rsidRDefault="00980DFF" w:rsidP="00560C7D">
      <w:pPr>
        <w:pStyle w:val="ListParagraph"/>
        <w:numPr>
          <w:ilvl w:val="0"/>
          <w:numId w:val="1"/>
        </w:numPr>
        <w:rPr>
          <w:rFonts w:asciiTheme="majorHAnsi" w:hAnsiTheme="majorHAnsi" w:cstheme="majorHAnsi"/>
          <w:sz w:val="20"/>
          <w:szCs w:val="20"/>
        </w:rPr>
        <w:sectPr w:rsidR="00560C7D" w:rsidRPr="001F4494" w:rsidSect="005D5846">
          <w:footerReference w:type="even" r:id="rId7"/>
          <w:footerReference w:type="default" r:id="rId8"/>
          <w:pgSz w:w="12240" w:h="15840"/>
          <w:pgMar w:top="1440" w:right="1440" w:bottom="1440" w:left="1440" w:header="720" w:footer="720" w:gutter="0"/>
          <w:cols w:space="720"/>
          <w:titlePg/>
          <w:docGrid w:linePitch="360"/>
        </w:sectPr>
      </w:pPr>
      <w:r w:rsidRPr="001F4494">
        <w:rPr>
          <w:rFonts w:asciiTheme="majorHAnsi" w:hAnsiTheme="majorHAnsi" w:cstheme="majorHAnsi"/>
          <w:sz w:val="20"/>
          <w:szCs w:val="20"/>
        </w:rPr>
        <w:t>Is there anything else you would like to say about PEWs scores and their use here?</w:t>
      </w:r>
    </w:p>
    <w:p w14:paraId="470CA428" w14:textId="351D0EFD" w:rsidR="00560C7D" w:rsidRPr="001F4494" w:rsidRDefault="00560C7D" w:rsidP="00560C7D">
      <w:pPr>
        <w:rPr>
          <w:rFonts w:asciiTheme="majorHAnsi" w:hAnsiTheme="majorHAnsi" w:cstheme="majorHAnsi"/>
          <w:sz w:val="20"/>
          <w:szCs w:val="20"/>
        </w:rPr>
      </w:pPr>
    </w:p>
    <w:p w14:paraId="170E74C2" w14:textId="20AE4B41" w:rsidR="00560C7D" w:rsidRPr="001F4494" w:rsidRDefault="00560C7D">
      <w:pPr>
        <w:rPr>
          <w:rFonts w:asciiTheme="majorHAnsi" w:hAnsiTheme="majorHAnsi" w:cstheme="majorHAnsi"/>
          <w:sz w:val="20"/>
          <w:szCs w:val="20"/>
        </w:rPr>
      </w:pPr>
    </w:p>
    <w:p w14:paraId="7368695B" w14:textId="5389700D" w:rsidR="00560C7D" w:rsidRPr="001F4494" w:rsidRDefault="00560C7D" w:rsidP="00560C7D">
      <w:pPr>
        <w:spacing w:after="160" w:line="259" w:lineRule="auto"/>
        <w:rPr>
          <w:rFonts w:asciiTheme="majorHAnsi" w:eastAsia="Calibri" w:hAnsiTheme="majorHAnsi" w:cstheme="majorHAnsi"/>
          <w:b/>
          <w:sz w:val="20"/>
          <w:szCs w:val="20"/>
        </w:rPr>
      </w:pPr>
      <w:r w:rsidRPr="001F4494">
        <w:rPr>
          <w:rFonts w:asciiTheme="majorHAnsi" w:eastAsia="Calibri" w:hAnsiTheme="majorHAnsi" w:cstheme="majorHAnsi"/>
          <w:b/>
          <w:i/>
          <w:iCs/>
          <w:sz w:val="20"/>
          <w:szCs w:val="20"/>
        </w:rPr>
        <w:t>Supplemental Figure 2</w:t>
      </w:r>
      <w:r w:rsidRPr="001F4494">
        <w:rPr>
          <w:rFonts w:asciiTheme="majorHAnsi" w:eastAsia="Calibri" w:hAnsiTheme="majorHAnsi" w:cstheme="majorHAnsi"/>
          <w:b/>
          <w:sz w:val="20"/>
          <w:szCs w:val="20"/>
        </w:rPr>
        <w:t>. PEWS Scoring Tool</w:t>
      </w:r>
    </w:p>
    <w:p w14:paraId="7FC50044" w14:textId="70A6DEA4" w:rsidR="001F4494" w:rsidRPr="001F4494" w:rsidRDefault="00560C7D" w:rsidP="00560C7D">
      <w:pPr>
        <w:spacing w:after="160" w:line="259" w:lineRule="auto"/>
        <w:rPr>
          <w:rFonts w:asciiTheme="majorHAnsi" w:eastAsia="Calibri" w:hAnsiTheme="majorHAnsi" w:cstheme="majorHAnsi"/>
          <w:b/>
          <w:sz w:val="20"/>
          <w:szCs w:val="20"/>
        </w:rPr>
        <w:sectPr w:rsidR="001F4494" w:rsidRPr="001F4494" w:rsidSect="00560C7D">
          <w:pgSz w:w="15840" w:h="12240" w:orient="landscape"/>
          <w:pgMar w:top="1440" w:right="1440" w:bottom="1440" w:left="1440" w:header="720" w:footer="720" w:gutter="0"/>
          <w:cols w:space="720"/>
          <w:docGrid w:linePitch="360"/>
        </w:sectPr>
      </w:pPr>
      <w:r w:rsidRPr="001F4494">
        <w:rPr>
          <w:rFonts w:asciiTheme="majorHAnsi" w:eastAsia="Calibri" w:hAnsiTheme="majorHAnsi" w:cstheme="majorHAnsi"/>
          <w:b/>
          <w:noProof/>
          <w:sz w:val="20"/>
          <w:szCs w:val="20"/>
        </w:rPr>
        <w:drawing>
          <wp:inline distT="0" distB="0" distL="0" distR="0" wp14:anchorId="7A437130" wp14:editId="460F3001">
            <wp:extent cx="8225790" cy="4584201"/>
            <wp:effectExtent l="0" t="0" r="3810" b="63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C22A9.tmp"/>
                    <pic:cNvPicPr/>
                  </pic:nvPicPr>
                  <pic:blipFill rotWithShape="1">
                    <a:blip r:embed="rId9">
                      <a:extLst>
                        <a:ext uri="{28A0092B-C50C-407E-A947-70E740481C1C}">
                          <a14:useLocalDpi xmlns:a14="http://schemas.microsoft.com/office/drawing/2010/main" val="0"/>
                        </a:ext>
                      </a:extLst>
                    </a:blip>
                    <a:srcRect t="5979"/>
                    <a:stretch/>
                  </pic:blipFill>
                  <pic:spPr bwMode="auto">
                    <a:xfrm>
                      <a:off x="0" y="0"/>
                      <a:ext cx="8234333" cy="4588962"/>
                    </a:xfrm>
                    <a:prstGeom prst="rect">
                      <a:avLst/>
                    </a:prstGeom>
                    <a:ln>
                      <a:noFill/>
                    </a:ln>
                    <a:extLst>
                      <a:ext uri="{53640926-AAD7-44D8-BBD7-CCE9431645EC}">
                        <a14:shadowObscured xmlns:a14="http://schemas.microsoft.com/office/drawing/2010/main"/>
                      </a:ext>
                    </a:extLst>
                  </pic:spPr>
                </pic:pic>
              </a:graphicData>
            </a:graphic>
          </wp:inline>
        </w:drawing>
      </w:r>
    </w:p>
    <w:p w14:paraId="6D0BD6FC" w14:textId="66887CCB" w:rsidR="005D5846" w:rsidRPr="005D5846" w:rsidRDefault="001F4494" w:rsidP="00202F60">
      <w:pPr>
        <w:spacing w:after="160" w:line="259" w:lineRule="auto"/>
        <w:rPr>
          <w:rFonts w:asciiTheme="majorHAnsi" w:eastAsia="Calibri" w:hAnsiTheme="majorHAnsi" w:cstheme="majorHAnsi"/>
          <w:b/>
          <w:noProof/>
          <w:sz w:val="20"/>
          <w:szCs w:val="20"/>
        </w:rPr>
        <w:sectPr w:rsidR="005D5846" w:rsidRPr="005D5846" w:rsidSect="001F4494">
          <w:pgSz w:w="12240" w:h="15840"/>
          <w:pgMar w:top="1440" w:right="1440" w:bottom="1440" w:left="1440" w:header="720" w:footer="720" w:gutter="0"/>
          <w:cols w:space="720"/>
          <w:docGrid w:linePitch="360"/>
        </w:sectPr>
      </w:pPr>
      <w:r w:rsidRPr="001F4494">
        <w:rPr>
          <w:rFonts w:asciiTheme="majorHAnsi" w:eastAsia="Calibri" w:hAnsiTheme="majorHAnsi" w:cstheme="majorHAnsi"/>
          <w:b/>
          <w:i/>
          <w:iCs/>
          <w:sz w:val="20"/>
          <w:szCs w:val="20"/>
        </w:rPr>
        <w:lastRenderedPageBreak/>
        <w:t>Supplemental Figure 3</w:t>
      </w:r>
      <w:r w:rsidRPr="001F4494">
        <w:rPr>
          <w:rFonts w:asciiTheme="majorHAnsi" w:eastAsia="Calibri" w:hAnsiTheme="majorHAnsi" w:cstheme="majorHAnsi"/>
          <w:b/>
          <w:sz w:val="20"/>
          <w:szCs w:val="20"/>
        </w:rPr>
        <w:t>. PEWS Sample Algorithm</w:t>
      </w:r>
      <w:r w:rsidRPr="001F4494">
        <w:rPr>
          <w:rFonts w:asciiTheme="majorHAnsi" w:eastAsia="Calibri" w:hAnsiTheme="majorHAnsi" w:cstheme="majorHAnsi"/>
          <w:b/>
          <w:noProof/>
          <w:sz w:val="20"/>
          <w:szCs w:val="20"/>
        </w:rPr>
        <w:drawing>
          <wp:inline distT="0" distB="0" distL="0" distR="0" wp14:anchorId="56A616E3" wp14:editId="3CC8E093">
            <wp:extent cx="5943600" cy="63246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9C4958.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324600"/>
                    </a:xfrm>
                    <a:prstGeom prst="rect">
                      <a:avLst/>
                    </a:prstGeom>
                  </pic:spPr>
                </pic:pic>
              </a:graphicData>
            </a:graphic>
          </wp:inline>
        </w:drawing>
      </w:r>
    </w:p>
    <w:p w14:paraId="46658200" w14:textId="77777777" w:rsidR="001F4494" w:rsidRPr="001F4494" w:rsidRDefault="001F4494" w:rsidP="00202F60">
      <w:pPr>
        <w:rPr>
          <w:rFonts w:asciiTheme="majorHAnsi" w:hAnsiTheme="majorHAnsi" w:cstheme="majorHAnsi"/>
          <w:sz w:val="20"/>
          <w:szCs w:val="20"/>
        </w:rPr>
      </w:pPr>
    </w:p>
    <w:sectPr w:rsidR="001F4494" w:rsidRPr="001F4494" w:rsidSect="001F4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5449" w14:textId="77777777" w:rsidR="005976D3" w:rsidRDefault="005976D3" w:rsidP="001F4494">
      <w:r>
        <w:separator/>
      </w:r>
    </w:p>
  </w:endnote>
  <w:endnote w:type="continuationSeparator" w:id="0">
    <w:p w14:paraId="136191B0" w14:textId="77777777" w:rsidR="005976D3" w:rsidRDefault="005976D3" w:rsidP="001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235500"/>
      <w:docPartObj>
        <w:docPartGallery w:val="Page Numbers (Bottom of Page)"/>
        <w:docPartUnique/>
      </w:docPartObj>
    </w:sdtPr>
    <w:sdtEndPr>
      <w:rPr>
        <w:rStyle w:val="PageNumber"/>
      </w:rPr>
    </w:sdtEndPr>
    <w:sdtContent>
      <w:p w14:paraId="34EF12D0" w14:textId="7FDD1F56" w:rsidR="005D5846" w:rsidRDefault="005D5846" w:rsidP="003D1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1DCC9" w14:textId="77777777" w:rsidR="005D5846" w:rsidRDefault="005D5846" w:rsidP="005D5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360210"/>
      <w:docPartObj>
        <w:docPartGallery w:val="Page Numbers (Bottom of Page)"/>
        <w:docPartUnique/>
      </w:docPartObj>
    </w:sdtPr>
    <w:sdtEndPr>
      <w:rPr>
        <w:rStyle w:val="PageNumber"/>
      </w:rPr>
    </w:sdtEndPr>
    <w:sdtContent>
      <w:p w14:paraId="1176AAB1" w14:textId="2759D25A" w:rsidR="005D5846" w:rsidRDefault="005D5846" w:rsidP="003D1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F3E01C" w14:textId="77777777" w:rsidR="005D5846" w:rsidRDefault="005D5846" w:rsidP="005D58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E9896" w14:textId="77777777" w:rsidR="005976D3" w:rsidRDefault="005976D3" w:rsidP="001F4494">
      <w:r>
        <w:separator/>
      </w:r>
    </w:p>
  </w:footnote>
  <w:footnote w:type="continuationSeparator" w:id="0">
    <w:p w14:paraId="1C9C72D5" w14:textId="77777777" w:rsidR="005976D3" w:rsidRDefault="005976D3" w:rsidP="001F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70E37"/>
    <w:multiLevelType w:val="hybridMultilevel"/>
    <w:tmpl w:val="ADF418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B8"/>
    <w:rsid w:val="001F4494"/>
    <w:rsid w:val="00202F60"/>
    <w:rsid w:val="00230D8F"/>
    <w:rsid w:val="00271EE9"/>
    <w:rsid w:val="003324B8"/>
    <w:rsid w:val="00437E32"/>
    <w:rsid w:val="005110B4"/>
    <w:rsid w:val="00560C7D"/>
    <w:rsid w:val="005976D3"/>
    <w:rsid w:val="005D5846"/>
    <w:rsid w:val="00722392"/>
    <w:rsid w:val="0094149A"/>
    <w:rsid w:val="00980DFF"/>
    <w:rsid w:val="00987979"/>
    <w:rsid w:val="00A57FF2"/>
    <w:rsid w:val="00C7119B"/>
    <w:rsid w:val="00D726B7"/>
    <w:rsid w:val="00DB2470"/>
    <w:rsid w:val="00E340EE"/>
    <w:rsid w:val="00E447EA"/>
    <w:rsid w:val="00E9400F"/>
    <w:rsid w:val="00EC2B80"/>
    <w:rsid w:val="00F9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42204"/>
  <w14:defaultImageDpi w14:val="300"/>
  <w15:docId w15:val="{5869D3A6-7883-0A4E-AAD9-AF0C3BE8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DFF"/>
    <w:pPr>
      <w:ind w:left="720"/>
      <w:contextualSpacing/>
    </w:pPr>
  </w:style>
  <w:style w:type="paragraph" w:styleId="Header">
    <w:name w:val="header"/>
    <w:basedOn w:val="Normal"/>
    <w:link w:val="HeaderChar"/>
    <w:uiPriority w:val="99"/>
    <w:unhideWhenUsed/>
    <w:rsid w:val="001F4494"/>
    <w:pPr>
      <w:tabs>
        <w:tab w:val="center" w:pos="4680"/>
        <w:tab w:val="right" w:pos="9360"/>
      </w:tabs>
    </w:pPr>
  </w:style>
  <w:style w:type="character" w:customStyle="1" w:styleId="HeaderChar">
    <w:name w:val="Header Char"/>
    <w:basedOn w:val="DefaultParagraphFont"/>
    <w:link w:val="Header"/>
    <w:uiPriority w:val="99"/>
    <w:rsid w:val="001F4494"/>
  </w:style>
  <w:style w:type="paragraph" w:styleId="Footer">
    <w:name w:val="footer"/>
    <w:basedOn w:val="Normal"/>
    <w:link w:val="FooterChar"/>
    <w:uiPriority w:val="99"/>
    <w:unhideWhenUsed/>
    <w:rsid w:val="001F4494"/>
    <w:pPr>
      <w:tabs>
        <w:tab w:val="center" w:pos="4680"/>
        <w:tab w:val="right" w:pos="9360"/>
      </w:tabs>
    </w:pPr>
  </w:style>
  <w:style w:type="character" w:customStyle="1" w:styleId="FooterChar">
    <w:name w:val="Footer Char"/>
    <w:basedOn w:val="DefaultParagraphFont"/>
    <w:link w:val="Footer"/>
    <w:uiPriority w:val="99"/>
    <w:rsid w:val="001F4494"/>
  </w:style>
  <w:style w:type="character" w:styleId="PageNumber">
    <w:name w:val="page number"/>
    <w:basedOn w:val="DefaultParagraphFont"/>
    <w:uiPriority w:val="99"/>
    <w:semiHidden/>
    <w:unhideWhenUsed/>
    <w:rsid w:val="005D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6107">
      <w:bodyDiv w:val="1"/>
      <w:marLeft w:val="0"/>
      <w:marRight w:val="0"/>
      <w:marTop w:val="0"/>
      <w:marBottom w:val="0"/>
      <w:divBdr>
        <w:top w:val="none" w:sz="0" w:space="0" w:color="auto"/>
        <w:left w:val="none" w:sz="0" w:space="0" w:color="auto"/>
        <w:bottom w:val="none" w:sz="0" w:space="0" w:color="auto"/>
        <w:right w:val="none" w:sz="0" w:space="0" w:color="auto"/>
      </w:divBdr>
    </w:div>
    <w:div w:id="1979676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Moreira</dc:creator>
  <cp:keywords/>
  <dc:description/>
  <cp:lastModifiedBy>Moreira, Daniel</cp:lastModifiedBy>
  <cp:revision>2</cp:revision>
  <dcterms:created xsi:type="dcterms:W3CDTF">2021-06-09T03:54:00Z</dcterms:created>
  <dcterms:modified xsi:type="dcterms:W3CDTF">2021-06-09T03:54:00Z</dcterms:modified>
</cp:coreProperties>
</file>