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CBD67" w14:textId="77777777" w:rsidR="00EA5BE6" w:rsidRDefault="006E7335">
      <w:pPr>
        <w:spacing w:before="240" w:after="32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Supplementary Material</w:t>
      </w:r>
    </w:p>
    <w:p w14:paraId="7EEB2222" w14:textId="77777777" w:rsidR="00EA5BE6" w:rsidRDefault="006E7335">
      <w:pPr>
        <w:pStyle w:val="1"/>
      </w:pPr>
      <w:r>
        <w:t>Supplementary Tables</w:t>
      </w:r>
    </w:p>
    <w:p w14:paraId="1D896D29" w14:textId="77777777" w:rsidR="00EA5BE6" w:rsidRDefault="006E7335">
      <w:pPr>
        <w:spacing w:before="0" w:after="0"/>
        <w:rPr>
          <w:szCs w:val="24"/>
        </w:rPr>
      </w:pPr>
      <w:r>
        <w:rPr>
          <w:b/>
          <w:szCs w:val="24"/>
        </w:rPr>
        <w:t>Table</w:t>
      </w:r>
      <w:r>
        <w:rPr>
          <w:rFonts w:hint="eastAsia"/>
          <w:b/>
          <w:szCs w:val="24"/>
        </w:rPr>
        <w:t xml:space="preserve"> S1</w:t>
      </w:r>
      <w:r>
        <w:rPr>
          <w:b/>
          <w:szCs w:val="24"/>
        </w:rPr>
        <w:t>.</w:t>
      </w:r>
      <w:r>
        <w:rPr>
          <w:szCs w:val="24"/>
        </w:rPr>
        <w:t xml:space="preserve"> Brain areas with significantly different ALFF values between groups</w:t>
      </w:r>
      <w:r>
        <w:rPr>
          <w:rFonts w:hint="eastAsia"/>
          <w:szCs w:val="24"/>
        </w:rPr>
        <w:t xml:space="preserve"> </w:t>
      </w:r>
      <w:r>
        <w:rPr>
          <w:szCs w:val="24"/>
        </w:rPr>
        <w:t>(without including covariates)</w:t>
      </w:r>
      <w:r>
        <w:rPr>
          <w:rFonts w:hint="eastAsia"/>
          <w:szCs w:val="24"/>
        </w:rPr>
        <w:t xml:space="preserve"> (voxel P &lt; 0.001, cluster P &lt; 0.05, cluster-level FWE corrected)</w:t>
      </w:r>
    </w:p>
    <w:p w14:paraId="3C2D8CA5" w14:textId="77777777" w:rsidR="00EA5BE6" w:rsidRDefault="00EA5BE6">
      <w:pPr>
        <w:spacing w:before="0" w:after="0"/>
        <w:rPr>
          <w:szCs w:val="24"/>
        </w:rPr>
      </w:pPr>
    </w:p>
    <w:tbl>
      <w:tblPr>
        <w:tblW w:w="9781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851"/>
        <w:gridCol w:w="661"/>
        <w:gridCol w:w="661"/>
        <w:gridCol w:w="662"/>
        <w:gridCol w:w="2268"/>
        <w:gridCol w:w="1134"/>
      </w:tblGrid>
      <w:tr w:rsidR="00EA5BE6" w14:paraId="2D64F795" w14:textId="77777777">
        <w:trPr>
          <w:trHeight w:val="178"/>
        </w:trPr>
        <w:tc>
          <w:tcPr>
            <w:tcW w:w="35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796C1C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Brain regions/</w:t>
            </w:r>
          </w:p>
          <w:p w14:paraId="5F3543AA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conditions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71B444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BA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A1D5092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MNI coordinates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A8CFE7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Cluster size </w:t>
            </w:r>
          </w:p>
          <w:p w14:paraId="143C82C0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(number of voxels)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70AB35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t-value</w:t>
            </w:r>
          </w:p>
        </w:tc>
      </w:tr>
      <w:tr w:rsidR="00EA5BE6" w14:paraId="56BF7E0D" w14:textId="77777777">
        <w:trPr>
          <w:trHeight w:val="144"/>
        </w:trPr>
        <w:tc>
          <w:tcPr>
            <w:tcW w:w="354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7AD531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5165E9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BF5C75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X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4AD2EB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Y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8A2FC1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Z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56C34D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8F1FB0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</w:tr>
      <w:tr w:rsidR="00EA5BE6" w14:paraId="262027E2" w14:textId="77777777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538DC5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A</w:t>
            </w:r>
            <w:r>
              <w:rPr>
                <w:rFonts w:hint="eastAsia"/>
                <w:b/>
                <w:szCs w:val="24"/>
              </w:rPr>
              <w:t>ctive TAOs</w:t>
            </w:r>
            <w:r>
              <w:rPr>
                <w:b/>
                <w:szCs w:val="24"/>
              </w:rPr>
              <w:t xml:space="preserve"> &lt; HC</w:t>
            </w:r>
            <w:r>
              <w:rPr>
                <w:rFonts w:hint="eastAsia"/>
                <w:b/>
                <w:szCs w:val="24"/>
              </w:rPr>
              <w:t>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727843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7C76F0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EB8B70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510EA4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ABAA4E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B14E92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</w:tr>
      <w:tr w:rsidR="00EA5BE6" w14:paraId="4EFB8702" w14:textId="77777777">
        <w:trPr>
          <w:trHeight w:val="27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AA6D1B5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bookmarkStart w:id="0" w:name="OLE_LINK16"/>
            <w:bookmarkStart w:id="1" w:name="OLE_LINK3"/>
            <w:r>
              <w:rPr>
                <w:b/>
                <w:szCs w:val="24"/>
              </w:rPr>
              <w:t xml:space="preserve">  Left middle occipital gyrus/</w:t>
            </w:r>
          </w:p>
          <w:p w14:paraId="2CC7E6F8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Left superior occipital gyrus/</w:t>
            </w:r>
          </w:p>
          <w:p w14:paraId="0BF4863F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Left cuneus</w:t>
            </w:r>
            <w:bookmarkEnd w:id="0"/>
            <w:bookmarkEnd w:id="1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ECEE3AC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18/19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22010D96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-24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1D72EDA4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-81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5D135E41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B13CDDC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1CD607D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-5.862</w:t>
            </w:r>
          </w:p>
        </w:tc>
      </w:tr>
      <w:tr w:rsidR="00EA5BE6" w14:paraId="565E3FC2" w14:textId="77777777">
        <w:trPr>
          <w:trHeight w:val="27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2772B46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A</w:t>
            </w:r>
            <w:r>
              <w:rPr>
                <w:rFonts w:hint="eastAsia"/>
                <w:b/>
                <w:szCs w:val="24"/>
              </w:rPr>
              <w:t>ctive TAOs</w:t>
            </w:r>
            <w:r>
              <w:rPr>
                <w:b/>
                <w:szCs w:val="24"/>
              </w:rPr>
              <w:t xml:space="preserve"> &gt; I</w:t>
            </w:r>
            <w:r>
              <w:rPr>
                <w:rFonts w:hint="eastAsia"/>
                <w:b/>
                <w:szCs w:val="24"/>
              </w:rPr>
              <w:t>nactive TAOs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0C3E436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0616C5E9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32B32A67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1E6E7215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E1B601B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B42A26E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</w:tr>
      <w:tr w:rsidR="00EA5BE6" w14:paraId="7EF88519" w14:textId="77777777">
        <w:trPr>
          <w:trHeight w:val="27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8C0E198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</w:t>
            </w:r>
            <w:r>
              <w:rPr>
                <w:rFonts w:hint="eastAsia"/>
                <w:b/>
                <w:szCs w:val="24"/>
              </w:rPr>
              <w:t>Bilateral</w:t>
            </w:r>
            <w:r>
              <w:rPr>
                <w:b/>
                <w:szCs w:val="24"/>
              </w:rPr>
              <w:t xml:space="preserve"> precuneus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9B888B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5BD20DF1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246DC167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-60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21A140A5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239C492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D36EB95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7.512</w:t>
            </w:r>
          </w:p>
        </w:tc>
      </w:tr>
      <w:tr w:rsidR="00EA5BE6" w14:paraId="09CB7C0F" w14:textId="77777777">
        <w:trPr>
          <w:trHeight w:val="27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1F170559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I</w:t>
            </w:r>
            <w:r>
              <w:rPr>
                <w:rFonts w:hint="eastAsia"/>
                <w:b/>
                <w:szCs w:val="24"/>
              </w:rPr>
              <w:t>nactive TAOs</w:t>
            </w:r>
            <w:r>
              <w:rPr>
                <w:b/>
                <w:szCs w:val="24"/>
              </w:rPr>
              <w:t xml:space="preserve"> &lt; HC</w:t>
            </w:r>
            <w:r>
              <w:rPr>
                <w:rFonts w:hint="eastAsia"/>
                <w:b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134E526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7547B705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5B454150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0AE775B4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C9B337C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91305A0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</w:tr>
      <w:tr w:rsidR="00EA5BE6" w14:paraId="16E773AA" w14:textId="77777777">
        <w:trPr>
          <w:trHeight w:val="27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E62F003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Left middle occipital gyrus/</w:t>
            </w:r>
          </w:p>
          <w:p w14:paraId="149E9582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Left superior occipital gyrus/</w:t>
            </w:r>
          </w:p>
          <w:p w14:paraId="22DA5DB7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Left cuneus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4A05E1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18/19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68D05EC1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  <w:r>
              <w:rPr>
                <w:rFonts w:hint="eastAsia"/>
                <w:szCs w:val="24"/>
              </w:rPr>
              <w:t>2</w:t>
            </w:r>
            <w:r>
              <w:rPr>
                <w:szCs w:val="24"/>
              </w:rPr>
              <w:t>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1CD00009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  <w:r>
              <w:rPr>
                <w:rFonts w:hint="eastAsia"/>
                <w:szCs w:val="24"/>
              </w:rPr>
              <w:t>8</w:t>
            </w:r>
            <w:r>
              <w:rPr>
                <w:szCs w:val="24"/>
              </w:rPr>
              <w:t>1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729E1EA6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1</w:t>
            </w:r>
            <w:r>
              <w:rPr>
                <w:szCs w:val="24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70ACE27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4936DC8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-4.810</w:t>
            </w:r>
          </w:p>
        </w:tc>
      </w:tr>
      <w:tr w:rsidR="00EA5BE6" w14:paraId="37FD5F42" w14:textId="77777777">
        <w:trPr>
          <w:trHeight w:val="275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4D0AB6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</w:t>
            </w:r>
            <w:r>
              <w:rPr>
                <w:rFonts w:hint="eastAsia"/>
                <w:b/>
                <w:szCs w:val="24"/>
              </w:rPr>
              <w:t>Bilateral</w:t>
            </w:r>
            <w:r>
              <w:rPr>
                <w:b/>
                <w:szCs w:val="24"/>
              </w:rPr>
              <w:t xml:space="preserve"> precuneus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A0CCAC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D8B330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5EDD9A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-63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683A62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94887B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44D071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-6.354</w:t>
            </w:r>
          </w:p>
        </w:tc>
      </w:tr>
    </w:tbl>
    <w:p w14:paraId="0E3C4983" w14:textId="77777777" w:rsidR="00EA5BE6" w:rsidRDefault="006E7335">
      <w:pPr>
        <w:spacing w:before="0" w:after="0"/>
        <w:jc w:val="both"/>
        <w:rPr>
          <w:szCs w:val="24"/>
        </w:rPr>
      </w:pPr>
      <w:r>
        <w:rPr>
          <w:szCs w:val="24"/>
        </w:rPr>
        <w:t>BA, Brodmann’s areas</w:t>
      </w:r>
      <w:r>
        <w:rPr>
          <w:rFonts w:hint="eastAsia"/>
          <w:szCs w:val="24"/>
        </w:rPr>
        <w:t xml:space="preserve">; MNI, </w:t>
      </w:r>
      <w:r>
        <w:rPr>
          <w:szCs w:val="24"/>
        </w:rPr>
        <w:t>Montreal</w:t>
      </w:r>
      <w:r>
        <w:rPr>
          <w:rFonts w:hint="eastAsia"/>
          <w:szCs w:val="24"/>
        </w:rPr>
        <w:t xml:space="preserve"> </w:t>
      </w:r>
      <w:r>
        <w:rPr>
          <w:szCs w:val="24"/>
        </w:rPr>
        <w:t>Neurologic Institute</w:t>
      </w:r>
      <w:r>
        <w:rPr>
          <w:rFonts w:hint="eastAsia"/>
          <w:szCs w:val="24"/>
        </w:rPr>
        <w:t xml:space="preserve">; </w:t>
      </w:r>
      <w:r>
        <w:rPr>
          <w:szCs w:val="24"/>
        </w:rPr>
        <w:t xml:space="preserve">TAO, thyroid-associated ophthalmopathy; HCs, healthy controls; ALFF, </w:t>
      </w:r>
      <w:r>
        <w:rPr>
          <w:szCs w:val="24"/>
        </w:rPr>
        <w:t>amplitude of low frequency fluctuation</w:t>
      </w:r>
      <w:r>
        <w:rPr>
          <w:rFonts w:hint="eastAsia"/>
          <w:szCs w:val="24"/>
        </w:rPr>
        <w:t xml:space="preserve">; </w:t>
      </w:r>
      <w:r>
        <w:rPr>
          <w:szCs w:val="24"/>
        </w:rPr>
        <w:t>FWE, familywise error</w:t>
      </w:r>
    </w:p>
    <w:p w14:paraId="39DCD499" w14:textId="77777777" w:rsidR="00EA5BE6" w:rsidRDefault="006E7335">
      <w:pPr>
        <w:spacing w:before="0" w:after="200"/>
        <w:rPr>
          <w:szCs w:val="24"/>
        </w:rPr>
      </w:pPr>
      <w:r>
        <w:rPr>
          <w:szCs w:val="24"/>
        </w:rPr>
        <w:br w:type="page"/>
      </w:r>
    </w:p>
    <w:p w14:paraId="67D4B949" w14:textId="77777777" w:rsidR="00EA5BE6" w:rsidRDefault="006E7335">
      <w:pPr>
        <w:spacing w:before="0" w:after="0"/>
        <w:rPr>
          <w:szCs w:val="24"/>
        </w:rPr>
      </w:pPr>
      <w:r>
        <w:rPr>
          <w:b/>
          <w:szCs w:val="24"/>
        </w:rPr>
        <w:lastRenderedPageBreak/>
        <w:t>Table</w:t>
      </w:r>
      <w:r>
        <w:rPr>
          <w:rFonts w:hint="eastAsia"/>
          <w:b/>
          <w:szCs w:val="24"/>
        </w:rPr>
        <w:t xml:space="preserve"> S</w:t>
      </w:r>
      <w:r>
        <w:rPr>
          <w:b/>
          <w:szCs w:val="24"/>
        </w:rPr>
        <w:t>2.</w:t>
      </w:r>
      <w:r>
        <w:rPr>
          <w:szCs w:val="24"/>
        </w:rPr>
        <w:t xml:space="preserve"> Brain areas surviving in all iterations of the “leave-one-out” validation </w:t>
      </w:r>
      <w:r>
        <w:rPr>
          <w:rFonts w:hint="eastAsia"/>
          <w:szCs w:val="24"/>
        </w:rPr>
        <w:t>(voxel P &lt; 0.001, cluster P &lt; 0.05, cluster-level FWE corrected)</w:t>
      </w:r>
    </w:p>
    <w:p w14:paraId="66D51F33" w14:textId="77777777" w:rsidR="00EA5BE6" w:rsidRDefault="00EA5BE6">
      <w:pPr>
        <w:spacing w:before="0" w:after="0"/>
        <w:rPr>
          <w:szCs w:val="24"/>
        </w:rPr>
      </w:pPr>
    </w:p>
    <w:tbl>
      <w:tblPr>
        <w:tblW w:w="978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977"/>
        <w:gridCol w:w="3261"/>
      </w:tblGrid>
      <w:tr w:rsidR="00EA5BE6" w14:paraId="1659D0E0" w14:textId="77777777">
        <w:trPr>
          <w:trHeight w:val="651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1AE722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Brain regions/</w:t>
            </w:r>
          </w:p>
          <w:p w14:paraId="3821C3A4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conditions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5B3E94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BA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7C58A2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Cluster size </w:t>
            </w:r>
          </w:p>
          <w:p w14:paraId="1A61006B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(number of voxels)</w:t>
            </w:r>
          </w:p>
        </w:tc>
      </w:tr>
      <w:tr w:rsidR="00EA5BE6" w14:paraId="1FAE05E9" w14:textId="77777777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AED715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A</w:t>
            </w:r>
            <w:r>
              <w:rPr>
                <w:rFonts w:hint="eastAsia"/>
                <w:b/>
                <w:szCs w:val="24"/>
              </w:rPr>
              <w:t>ctive TAOs</w:t>
            </w:r>
            <w:r>
              <w:rPr>
                <w:b/>
                <w:szCs w:val="24"/>
              </w:rPr>
              <w:t xml:space="preserve"> &lt; HC</w:t>
            </w:r>
            <w:r>
              <w:rPr>
                <w:rFonts w:hint="eastAsia"/>
                <w:b/>
                <w:szCs w:val="24"/>
              </w:rPr>
              <w:t>s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7E0505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936C49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</w:tr>
      <w:tr w:rsidR="00EA5BE6" w14:paraId="67983694" w14:textId="77777777">
        <w:trPr>
          <w:trHeight w:val="27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22589DE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Left middle occipital gyrus/</w:t>
            </w:r>
          </w:p>
          <w:p w14:paraId="2526FBC4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Left superior occipital gyrus/</w:t>
            </w:r>
          </w:p>
          <w:p w14:paraId="63955A41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Left cuneus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3B45776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18/19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688C40A0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</w:tr>
      <w:tr w:rsidR="00EA5BE6" w14:paraId="7C29A8D3" w14:textId="77777777">
        <w:trPr>
          <w:trHeight w:val="27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572C0A7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A</w:t>
            </w:r>
            <w:r>
              <w:rPr>
                <w:rFonts w:hint="eastAsia"/>
                <w:b/>
                <w:szCs w:val="24"/>
              </w:rPr>
              <w:t>ctive TAOs</w:t>
            </w:r>
            <w:r>
              <w:rPr>
                <w:b/>
                <w:szCs w:val="24"/>
              </w:rPr>
              <w:t xml:space="preserve"> &gt; I</w:t>
            </w:r>
            <w:r>
              <w:rPr>
                <w:rFonts w:hint="eastAsia"/>
                <w:b/>
                <w:szCs w:val="24"/>
              </w:rPr>
              <w:t>nactive TAOs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2E55AE4C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280C551B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</w:tr>
      <w:tr w:rsidR="00EA5BE6" w14:paraId="370D715D" w14:textId="77777777">
        <w:trPr>
          <w:trHeight w:val="27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653E9372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</w:t>
            </w:r>
            <w:r>
              <w:rPr>
                <w:rFonts w:hint="eastAsia"/>
                <w:b/>
                <w:szCs w:val="24"/>
              </w:rPr>
              <w:t>Bilateral</w:t>
            </w:r>
            <w:r>
              <w:rPr>
                <w:b/>
                <w:szCs w:val="24"/>
              </w:rPr>
              <w:t xml:space="preserve"> precuneus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2CAB72BA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485D1C24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</w:tr>
      <w:tr w:rsidR="00EA5BE6" w14:paraId="0D357F4A" w14:textId="77777777">
        <w:trPr>
          <w:trHeight w:val="27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19C2BFEC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I</w:t>
            </w:r>
            <w:r>
              <w:rPr>
                <w:rFonts w:hint="eastAsia"/>
                <w:b/>
                <w:szCs w:val="24"/>
              </w:rPr>
              <w:t>nactive TAOs</w:t>
            </w:r>
            <w:r>
              <w:rPr>
                <w:b/>
                <w:szCs w:val="24"/>
              </w:rPr>
              <w:t xml:space="preserve"> &lt; HC</w:t>
            </w:r>
            <w:r>
              <w:rPr>
                <w:rFonts w:hint="eastAsia"/>
                <w:b/>
                <w:szCs w:val="24"/>
              </w:rPr>
              <w:t>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5F4990FB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244BDBA1" w14:textId="77777777" w:rsidR="00EA5BE6" w:rsidRDefault="00EA5BE6">
            <w:pPr>
              <w:spacing w:before="0" w:after="0"/>
              <w:jc w:val="both"/>
              <w:rPr>
                <w:szCs w:val="24"/>
              </w:rPr>
            </w:pPr>
          </w:p>
        </w:tc>
      </w:tr>
      <w:tr w:rsidR="00EA5BE6" w14:paraId="2F997CD5" w14:textId="77777777">
        <w:trPr>
          <w:trHeight w:val="27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860FE84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Left middle occipital gyrus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1C10F67B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51CC8F12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EA5BE6" w14:paraId="3F5B3AFD" w14:textId="77777777">
        <w:trPr>
          <w:trHeight w:val="27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E56C24F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Left superior occipital gyrus/</w:t>
            </w:r>
          </w:p>
          <w:p w14:paraId="51691CC0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Left cuneus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880D99A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1</w:t>
            </w:r>
            <w:r>
              <w:rPr>
                <w:szCs w:val="24"/>
              </w:rPr>
              <w:t>8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1228B959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7</w:t>
            </w:r>
          </w:p>
        </w:tc>
      </w:tr>
      <w:tr w:rsidR="00EA5BE6" w14:paraId="676CF6E0" w14:textId="77777777">
        <w:trPr>
          <w:trHeight w:val="275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F2C378" w14:textId="77777777" w:rsidR="00EA5BE6" w:rsidRDefault="006E7335">
            <w:pPr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Right precuneus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4197FA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70334E" w14:textId="77777777" w:rsidR="00EA5BE6" w:rsidRDefault="006E7335">
            <w:pPr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</w:tr>
    </w:tbl>
    <w:p w14:paraId="5A47CA69" w14:textId="77777777" w:rsidR="00EA5BE6" w:rsidRDefault="006E7335">
      <w:pPr>
        <w:spacing w:before="0" w:after="0"/>
        <w:jc w:val="both"/>
        <w:rPr>
          <w:szCs w:val="24"/>
        </w:rPr>
      </w:pPr>
      <w:r>
        <w:rPr>
          <w:szCs w:val="24"/>
        </w:rPr>
        <w:t>BA, Brodmann’s areas</w:t>
      </w:r>
      <w:r>
        <w:rPr>
          <w:rFonts w:hint="eastAsia"/>
          <w:szCs w:val="24"/>
        </w:rPr>
        <w:t xml:space="preserve">; </w:t>
      </w:r>
      <w:r>
        <w:rPr>
          <w:szCs w:val="24"/>
        </w:rPr>
        <w:t>TAO, thyroid-associated ophthalmopathy; HCs, healthy controls;</w:t>
      </w:r>
      <w:r>
        <w:rPr>
          <w:rFonts w:hint="eastAsia"/>
          <w:szCs w:val="24"/>
        </w:rPr>
        <w:t xml:space="preserve"> </w:t>
      </w:r>
      <w:r>
        <w:rPr>
          <w:szCs w:val="24"/>
        </w:rPr>
        <w:t>FWE, familywise error</w:t>
      </w:r>
    </w:p>
    <w:p w14:paraId="0F2D1296" w14:textId="77777777" w:rsidR="00EA5BE6" w:rsidRDefault="006E7335">
      <w:pPr>
        <w:spacing w:before="0" w:after="200"/>
        <w:rPr>
          <w:szCs w:val="24"/>
        </w:rPr>
      </w:pPr>
      <w:r>
        <w:rPr>
          <w:szCs w:val="24"/>
        </w:rPr>
        <w:br w:type="page"/>
      </w:r>
    </w:p>
    <w:p w14:paraId="4F2EC24F" w14:textId="77777777" w:rsidR="00EA5BE6" w:rsidRDefault="006E7335">
      <w:pPr>
        <w:pStyle w:val="1"/>
      </w:pPr>
      <w:r>
        <w:lastRenderedPageBreak/>
        <w:t>Supplementary Figures</w:t>
      </w:r>
    </w:p>
    <w:p w14:paraId="4FE124EB" w14:textId="77777777" w:rsidR="00EA5BE6" w:rsidRDefault="006E7335">
      <w:pPr>
        <w:spacing w:before="0" w:after="0"/>
      </w:pPr>
      <w:r>
        <w:rPr>
          <w:noProof/>
        </w:rPr>
        <w:drawing>
          <wp:inline distT="0" distB="0" distL="0" distR="0" wp14:anchorId="44F1977E" wp14:editId="034DA275">
            <wp:extent cx="6208395" cy="508825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2B82" w14:textId="77777777" w:rsidR="00EA5BE6" w:rsidRDefault="00EA5BE6">
      <w:pPr>
        <w:spacing w:before="0" w:after="0"/>
      </w:pPr>
    </w:p>
    <w:p w14:paraId="5F316116" w14:textId="3C695020" w:rsidR="00EA5BE6" w:rsidRDefault="006E7335" w:rsidP="00DC03BE">
      <w:pPr>
        <w:spacing w:before="0" w:after="0"/>
        <w:jc w:val="both"/>
        <w:rPr>
          <w:szCs w:val="24"/>
        </w:rPr>
      </w:pPr>
      <w:r>
        <w:rPr>
          <w:b/>
          <w:szCs w:val="24"/>
        </w:rPr>
        <w:t xml:space="preserve">Figure </w:t>
      </w:r>
      <w:r>
        <w:rPr>
          <w:rFonts w:hint="eastAsia"/>
          <w:b/>
          <w:szCs w:val="24"/>
        </w:rPr>
        <w:t>S1.</w:t>
      </w:r>
      <w:r>
        <w:rPr>
          <w:rFonts w:hint="eastAsia"/>
          <w:szCs w:val="24"/>
        </w:rPr>
        <w:t xml:space="preserve"> </w:t>
      </w:r>
      <w:r>
        <w:rPr>
          <w:szCs w:val="24"/>
        </w:rPr>
        <w:t>Brain regions with</w:t>
      </w:r>
      <w:r>
        <w:t xml:space="preserve"> </w:t>
      </w:r>
      <w:r>
        <w:rPr>
          <w:szCs w:val="24"/>
        </w:rPr>
        <w:t>significant ALFF difference across active TAO group, inactive TAO group and HCs based on One‑way ANOVA (A) and post-hoc two‑sample t‑tests (B, C and D) (without including covariates). (A) The differences among the three groups</w:t>
      </w:r>
      <w:r>
        <w:rPr>
          <w:szCs w:val="24"/>
        </w:rPr>
        <w:t xml:space="preserve"> primarily existed in the left middle occipital gyrus, superior occipital gyrus, cuneus and bilateral precuneus (</w:t>
      </w:r>
      <w:r>
        <w:rPr>
          <w:rFonts w:hint="eastAsia"/>
          <w:szCs w:val="24"/>
        </w:rPr>
        <w:t>voxel P &lt; 0.001, cluster P &lt; 0.05, cluster-level FWE corrected, cluster size</w:t>
      </w:r>
      <w:r w:rsidRPr="00C75B8C">
        <w:rPr>
          <w:rFonts w:cs="Times New Roman"/>
          <w:szCs w:val="24"/>
        </w:rPr>
        <w:t xml:space="preserve"> </w:t>
      </w:r>
      <w:r w:rsidR="00C75B8C" w:rsidRPr="00C75B8C">
        <w:rPr>
          <w:rFonts w:cs="Times New Roman"/>
          <w:szCs w:val="24"/>
          <w:lang w:eastAsia="zh-CN"/>
        </w:rPr>
        <w:t>≥</w:t>
      </w:r>
      <w:r w:rsidRPr="00C75B8C">
        <w:rPr>
          <w:rFonts w:cs="Times New Roman"/>
          <w:szCs w:val="24"/>
        </w:rPr>
        <w:t xml:space="preserve"> </w:t>
      </w:r>
      <w:r>
        <w:rPr>
          <w:rFonts w:hint="eastAsia"/>
          <w:szCs w:val="24"/>
          <w:lang w:eastAsia="zh-CN"/>
        </w:rPr>
        <w:t>73</w:t>
      </w:r>
      <w:r>
        <w:rPr>
          <w:rFonts w:hint="eastAsia"/>
          <w:szCs w:val="24"/>
        </w:rPr>
        <w:t xml:space="preserve"> voxels</w:t>
      </w:r>
      <w:r>
        <w:rPr>
          <w:szCs w:val="24"/>
        </w:rPr>
        <w:t xml:space="preserve">). (B) Compared with HCs, active TAO group showed </w:t>
      </w:r>
      <w:r>
        <w:rPr>
          <w:szCs w:val="24"/>
        </w:rPr>
        <w:t>significantly decreased ALFF values in the left middle occipital gyrus, superior occipital gyrus and cuneus (</w:t>
      </w:r>
      <w:r>
        <w:rPr>
          <w:rFonts w:hint="eastAsia"/>
          <w:szCs w:val="24"/>
        </w:rPr>
        <w:t xml:space="preserve">voxel P &lt; 0.001, cluster P &lt; 0.05, cluster-level FWE corrected, cluster size </w:t>
      </w:r>
      <w:r w:rsidR="00C75B8C" w:rsidRPr="00C75B8C">
        <w:rPr>
          <w:rFonts w:cs="Times New Roman"/>
          <w:szCs w:val="24"/>
          <w:lang w:eastAsia="zh-CN"/>
        </w:rPr>
        <w:t>≥</w:t>
      </w:r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  <w:lang w:eastAsia="zh-CN"/>
        </w:rPr>
        <w:t>68</w:t>
      </w:r>
      <w:r>
        <w:rPr>
          <w:rFonts w:hint="eastAsia"/>
          <w:szCs w:val="24"/>
        </w:rPr>
        <w:t xml:space="preserve"> voxels</w:t>
      </w:r>
      <w:r>
        <w:rPr>
          <w:szCs w:val="24"/>
        </w:rPr>
        <w:t>). (C) Compared with inactive TAO group, active TAO group s</w:t>
      </w:r>
      <w:r>
        <w:rPr>
          <w:szCs w:val="24"/>
        </w:rPr>
        <w:t>howed significantly increased ALFF values in the bilateral precuneus (</w:t>
      </w:r>
      <w:r>
        <w:rPr>
          <w:rFonts w:hint="eastAsia"/>
          <w:szCs w:val="24"/>
        </w:rPr>
        <w:t xml:space="preserve">voxel P &lt; 0.001, cluster P &lt; 0.05, cluster-level FWE corrected, cluster size </w:t>
      </w:r>
      <w:r w:rsidR="00C75B8C" w:rsidRPr="00C75B8C">
        <w:rPr>
          <w:rFonts w:cs="Times New Roman"/>
          <w:szCs w:val="24"/>
          <w:lang w:eastAsia="zh-CN"/>
        </w:rPr>
        <w:t>≥</w:t>
      </w:r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  <w:lang w:eastAsia="zh-CN"/>
        </w:rPr>
        <w:t>87</w:t>
      </w:r>
      <w:r>
        <w:rPr>
          <w:rFonts w:hint="eastAsia"/>
          <w:szCs w:val="24"/>
        </w:rPr>
        <w:t xml:space="preserve"> voxels</w:t>
      </w:r>
      <w:r>
        <w:rPr>
          <w:szCs w:val="24"/>
        </w:rPr>
        <w:t>). (D) Compared with HCs, inactive TAO group showed significantly decreased ALFF values in the lef</w:t>
      </w:r>
      <w:r>
        <w:rPr>
          <w:szCs w:val="24"/>
        </w:rPr>
        <w:t>t middle occipital gyrus, superior occipital gyrus, cuneus and bilateral precuneus (</w:t>
      </w:r>
      <w:r>
        <w:rPr>
          <w:rFonts w:hint="eastAsia"/>
          <w:szCs w:val="24"/>
        </w:rPr>
        <w:t xml:space="preserve">voxel P &lt; 0.001, cluster P &lt; 0.05, cluster-level FWE corrected, cluster size </w:t>
      </w:r>
      <w:r w:rsidR="00C75B8C" w:rsidRPr="00C75B8C">
        <w:rPr>
          <w:rFonts w:cs="Times New Roman"/>
          <w:szCs w:val="24"/>
          <w:lang w:eastAsia="zh-CN"/>
        </w:rPr>
        <w:t>≥</w:t>
      </w:r>
      <w:r>
        <w:rPr>
          <w:rFonts w:hint="eastAsia"/>
          <w:szCs w:val="24"/>
        </w:rPr>
        <w:t xml:space="preserve"> 34 voxels</w:t>
      </w:r>
      <w:r>
        <w:rPr>
          <w:szCs w:val="24"/>
        </w:rPr>
        <w:t>). The color bar indicates the F/T value among/between groups, and the warm and cold</w:t>
      </w:r>
      <w:r>
        <w:rPr>
          <w:szCs w:val="24"/>
        </w:rPr>
        <w:t xml:space="preserve"> colors denote significantly increased and decreased values. ALFF, amplitude of low frequency fluctuation</w:t>
      </w:r>
      <w:r>
        <w:rPr>
          <w:rFonts w:hint="eastAsia"/>
          <w:szCs w:val="24"/>
        </w:rPr>
        <w:t>;</w:t>
      </w:r>
      <w:r>
        <w:rPr>
          <w:szCs w:val="24"/>
        </w:rPr>
        <w:t xml:space="preserve"> TAO, thyroid-associated ophthalmopathy; HCs, healthy controls; ANOVA, analysis of variance; FWE, familywise error.</w:t>
      </w:r>
      <w:r>
        <w:rPr>
          <w:szCs w:val="24"/>
        </w:rPr>
        <w:br w:type="page"/>
      </w:r>
    </w:p>
    <w:p w14:paraId="046676B1" w14:textId="77777777" w:rsidR="00EA5BE6" w:rsidRDefault="006E7335">
      <w:pPr>
        <w:spacing w:before="0" w:after="0"/>
      </w:pPr>
      <w:r>
        <w:rPr>
          <w:noProof/>
        </w:rPr>
        <w:lastRenderedPageBreak/>
        <w:drawing>
          <wp:inline distT="0" distB="0" distL="0" distR="0" wp14:anchorId="545E0246" wp14:editId="358A11DF">
            <wp:extent cx="6208395" cy="4441825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414C7" w14:textId="77777777" w:rsidR="00EA5BE6" w:rsidRDefault="00EA5BE6">
      <w:pPr>
        <w:spacing w:before="0" w:after="0"/>
      </w:pPr>
    </w:p>
    <w:p w14:paraId="6DFE0423" w14:textId="77777777" w:rsidR="00EA5BE6" w:rsidRDefault="006E7335">
      <w:pPr>
        <w:spacing w:before="0" w:after="0"/>
        <w:jc w:val="both"/>
        <w:rPr>
          <w:szCs w:val="24"/>
        </w:rPr>
      </w:pPr>
      <w:r>
        <w:rPr>
          <w:b/>
          <w:szCs w:val="24"/>
        </w:rPr>
        <w:t xml:space="preserve">Figure </w:t>
      </w:r>
      <w:r>
        <w:rPr>
          <w:rFonts w:hint="eastAsia"/>
          <w:b/>
          <w:szCs w:val="24"/>
        </w:rPr>
        <w:t>S</w:t>
      </w:r>
      <w:r>
        <w:rPr>
          <w:b/>
          <w:szCs w:val="24"/>
        </w:rPr>
        <w:t>2</w:t>
      </w:r>
      <w:r>
        <w:rPr>
          <w:rFonts w:hint="eastAsia"/>
          <w:b/>
          <w:szCs w:val="24"/>
        </w:rPr>
        <w:t>.</w:t>
      </w:r>
      <w:r>
        <w:rPr>
          <w:rFonts w:hint="eastAsia"/>
          <w:szCs w:val="24"/>
        </w:rPr>
        <w:t xml:space="preserve"> </w:t>
      </w:r>
      <w:r>
        <w:rPr>
          <w:szCs w:val="24"/>
        </w:rPr>
        <w:t>Brain regions surv</w:t>
      </w:r>
      <w:r>
        <w:rPr>
          <w:szCs w:val="24"/>
        </w:rPr>
        <w:t>iving in all iterations of the “leave-one-out” validation. (A) For one‑way ANCOVA, the regions surviving in all iterations were the left middle occipital gyrus, superior occipital gyrus, cuneus and bilateral precuneus (red color). (B) For post-hoc inter-gr</w:t>
      </w:r>
      <w:r>
        <w:rPr>
          <w:szCs w:val="24"/>
        </w:rPr>
        <w:t>oup comparisons</w:t>
      </w:r>
      <w:r>
        <w:t xml:space="preserve"> </w:t>
      </w:r>
      <w:r>
        <w:rPr>
          <w:szCs w:val="24"/>
        </w:rPr>
        <w:t>between active TAOs and HCs, the regions surviving in all iterations were the left middle occipital gyrus, superior occipital gyrus and cuneus (green color). (C) For post-hoc inter-group comparisons</w:t>
      </w:r>
      <w:r>
        <w:t xml:space="preserve"> </w:t>
      </w:r>
      <w:r>
        <w:rPr>
          <w:szCs w:val="24"/>
        </w:rPr>
        <w:t>between active and inactive TAOs, the reg</w:t>
      </w:r>
      <w:r>
        <w:rPr>
          <w:szCs w:val="24"/>
        </w:rPr>
        <w:t>ions surviving in all iterations were the bilateral precuneus (violet color). (D) For post-hoc inter-group comparisons</w:t>
      </w:r>
      <w:r>
        <w:t xml:space="preserve"> </w:t>
      </w:r>
      <w:r>
        <w:rPr>
          <w:szCs w:val="24"/>
        </w:rPr>
        <w:t xml:space="preserve">between </w:t>
      </w:r>
      <w:r>
        <w:rPr>
          <w:rFonts w:hint="eastAsia"/>
          <w:szCs w:val="24"/>
        </w:rPr>
        <w:t>inactive TAO</w:t>
      </w:r>
      <w:r>
        <w:rPr>
          <w:szCs w:val="24"/>
        </w:rPr>
        <w:t>s</w:t>
      </w:r>
      <w:r>
        <w:rPr>
          <w:rFonts w:hint="eastAsia"/>
          <w:szCs w:val="24"/>
        </w:rPr>
        <w:t xml:space="preserve"> and HCs</w:t>
      </w:r>
      <w:r>
        <w:rPr>
          <w:szCs w:val="24"/>
        </w:rPr>
        <w:t>, the regions surviving in all iterations were the left middle occipital gyrus, superior occipital gyrus, cu</w:t>
      </w:r>
      <w:r>
        <w:rPr>
          <w:szCs w:val="24"/>
        </w:rPr>
        <w:t>neus and right precuneus (blue color). ANCOVA, analysis of covariance; TAO, thyroid-associated ophthalmopathy; HCs, healthy controls; L, left; R, right.</w:t>
      </w:r>
    </w:p>
    <w:sectPr w:rsidR="00EA5BE6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BA67C" w14:textId="77777777" w:rsidR="006E7335" w:rsidRDefault="006E7335">
      <w:r>
        <w:separator/>
      </w:r>
    </w:p>
  </w:endnote>
  <w:endnote w:type="continuationSeparator" w:id="0">
    <w:p w14:paraId="6E0DB555" w14:textId="77777777" w:rsidR="006E7335" w:rsidRDefault="006E7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37FB5" w14:textId="77777777" w:rsidR="00EA5BE6" w:rsidRDefault="006E7335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680171" wp14:editId="7F0C1002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36AF7D2" w14:textId="77777777" w:rsidR="00EA5BE6" w:rsidRDefault="006E733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F28A4" w14:textId="77777777" w:rsidR="00EA5BE6" w:rsidRDefault="006E7335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CF1344" wp14:editId="7F22D8F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E60889F" w14:textId="77777777" w:rsidR="00EA5BE6" w:rsidRDefault="006E733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F4C92" w14:textId="77777777" w:rsidR="006E7335" w:rsidRDefault="006E7335">
      <w:pPr>
        <w:spacing w:before="0" w:after="0"/>
      </w:pPr>
      <w:r>
        <w:separator/>
      </w:r>
    </w:p>
  </w:footnote>
  <w:footnote w:type="continuationSeparator" w:id="0">
    <w:p w14:paraId="7F95460B" w14:textId="77777777" w:rsidR="006E7335" w:rsidRDefault="006E733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CF615" w14:textId="77777777" w:rsidR="00EA5BE6" w:rsidRDefault="006E7335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t xml:space="preserve"> </w:t>
    </w:r>
    <w:r>
      <w:rPr>
        <w:rFonts w:cs="Times New Roman"/>
      </w:rPr>
      <w:t xml:space="preserve">Altered ALFF in TAO </w:t>
    </w:r>
    <w:r>
      <w:rPr>
        <w:rFonts w:cs="Times New Roman"/>
      </w:rPr>
      <w:t>patients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2AD32" w14:textId="77777777" w:rsidR="00EA5BE6" w:rsidRDefault="006E7335">
    <w:r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6EA5D95" wp14:editId="18152607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A2A56"/>
    <w:rsid w:val="00105FD9"/>
    <w:rsid w:val="00117666"/>
    <w:rsid w:val="001232C3"/>
    <w:rsid w:val="0012618C"/>
    <w:rsid w:val="001549D3"/>
    <w:rsid w:val="00160065"/>
    <w:rsid w:val="00177D84"/>
    <w:rsid w:val="001951B8"/>
    <w:rsid w:val="001B6BDB"/>
    <w:rsid w:val="001E59C5"/>
    <w:rsid w:val="001F3AC6"/>
    <w:rsid w:val="002464CB"/>
    <w:rsid w:val="00267D18"/>
    <w:rsid w:val="00274347"/>
    <w:rsid w:val="002868E2"/>
    <w:rsid w:val="002869C3"/>
    <w:rsid w:val="002936E4"/>
    <w:rsid w:val="002B4A57"/>
    <w:rsid w:val="002C74CA"/>
    <w:rsid w:val="002E20CB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40D4A"/>
    <w:rsid w:val="00593EEA"/>
    <w:rsid w:val="005A5EEE"/>
    <w:rsid w:val="006375C7"/>
    <w:rsid w:val="00654E8F"/>
    <w:rsid w:val="00660D05"/>
    <w:rsid w:val="006820B1"/>
    <w:rsid w:val="006B7D14"/>
    <w:rsid w:val="006E7335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87788"/>
    <w:rsid w:val="00891E91"/>
    <w:rsid w:val="009151AA"/>
    <w:rsid w:val="0093429D"/>
    <w:rsid w:val="00942048"/>
    <w:rsid w:val="00943573"/>
    <w:rsid w:val="00964134"/>
    <w:rsid w:val="00970F7D"/>
    <w:rsid w:val="00994A3D"/>
    <w:rsid w:val="009C2B12"/>
    <w:rsid w:val="009D1721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75B8C"/>
    <w:rsid w:val="00CD066B"/>
    <w:rsid w:val="00CE4FEE"/>
    <w:rsid w:val="00D060CF"/>
    <w:rsid w:val="00DB4A33"/>
    <w:rsid w:val="00DB59C3"/>
    <w:rsid w:val="00DB7AD9"/>
    <w:rsid w:val="00DC03BE"/>
    <w:rsid w:val="00DC259A"/>
    <w:rsid w:val="00DC5C5E"/>
    <w:rsid w:val="00DE23E8"/>
    <w:rsid w:val="00E52377"/>
    <w:rsid w:val="00E537AD"/>
    <w:rsid w:val="00E64E17"/>
    <w:rsid w:val="00E866C9"/>
    <w:rsid w:val="00EA3D3C"/>
    <w:rsid w:val="00EA5BE6"/>
    <w:rsid w:val="00EC090A"/>
    <w:rsid w:val="00ED20B5"/>
    <w:rsid w:val="00F46900"/>
    <w:rsid w:val="00F61D89"/>
    <w:rsid w:val="00FA14EE"/>
    <w:rsid w:val="00FF422E"/>
    <w:rsid w:val="09F62857"/>
    <w:rsid w:val="57530502"/>
    <w:rsid w:val="5E01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A99A5A"/>
  <w15:docId w15:val="{8AE777A3-EB6D-4353-A2A8-8545C233F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before="120" w:after="240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0"/>
    <w:link w:val="10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a4">
    <w:name w:val="caption"/>
    <w:basedOn w:val="a0"/>
    <w:next w:val="a5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a5">
    <w:name w:val="No Spacing"/>
    <w:uiPriority w:val="99"/>
    <w:unhideWhenUsed/>
    <w:qFormat/>
    <w:rPr>
      <w:rFonts w:ascii="Times New Roman" w:hAnsi="Times New Roman"/>
      <w:sz w:val="24"/>
      <w:szCs w:val="22"/>
      <w:lang w:eastAsia="en-US"/>
    </w:rPr>
  </w:style>
  <w:style w:type="paragraph" w:styleId="a6">
    <w:name w:val="annotation text"/>
    <w:basedOn w:val="a0"/>
    <w:link w:val="a7"/>
    <w:uiPriority w:val="99"/>
    <w:semiHidden/>
    <w:unhideWhenUsed/>
    <w:rPr>
      <w:sz w:val="20"/>
      <w:szCs w:val="20"/>
    </w:rPr>
  </w:style>
  <w:style w:type="paragraph" w:styleId="a8">
    <w:name w:val="endnote text"/>
    <w:basedOn w:val="a0"/>
    <w:link w:val="a9"/>
    <w:uiPriority w:val="99"/>
    <w:semiHidden/>
    <w:unhideWhenUsed/>
    <w:pPr>
      <w:spacing w:after="0"/>
    </w:pPr>
    <w:rPr>
      <w:sz w:val="20"/>
      <w:szCs w:val="20"/>
    </w:rPr>
  </w:style>
  <w:style w:type="paragraph" w:styleId="aa">
    <w:name w:val="Balloon Text"/>
    <w:basedOn w:val="a0"/>
    <w:link w:val="ab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paragraph" w:styleId="ac">
    <w:name w:val="footer"/>
    <w:basedOn w:val="a0"/>
    <w:link w:val="ad"/>
    <w:uiPriority w:val="99"/>
    <w:unhideWhenUsed/>
    <w:pPr>
      <w:tabs>
        <w:tab w:val="center" w:pos="4844"/>
        <w:tab w:val="right" w:pos="9689"/>
      </w:tabs>
      <w:spacing w:after="0"/>
    </w:pPr>
  </w:style>
  <w:style w:type="paragraph" w:styleId="ae">
    <w:name w:val="header"/>
    <w:basedOn w:val="a0"/>
    <w:link w:val="af"/>
    <w:uiPriority w:val="99"/>
    <w:unhideWhenUsed/>
    <w:pPr>
      <w:tabs>
        <w:tab w:val="center" w:pos="4844"/>
        <w:tab w:val="right" w:pos="9689"/>
      </w:tabs>
    </w:pPr>
    <w:rPr>
      <w:b/>
    </w:rPr>
  </w:style>
  <w:style w:type="paragraph" w:styleId="af0">
    <w:name w:val="Subtitle"/>
    <w:basedOn w:val="a0"/>
    <w:next w:val="a0"/>
    <w:link w:val="af1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af2">
    <w:name w:val="footnote text"/>
    <w:basedOn w:val="a0"/>
    <w:link w:val="af3"/>
    <w:uiPriority w:val="99"/>
    <w:semiHidden/>
    <w:unhideWhenUsed/>
    <w:pPr>
      <w:spacing w:after="0"/>
    </w:pPr>
    <w:rPr>
      <w:sz w:val="20"/>
      <w:szCs w:val="20"/>
    </w:rPr>
  </w:style>
  <w:style w:type="paragraph" w:styleId="af4">
    <w:name w:val="Normal (Web)"/>
    <w:basedOn w:val="a0"/>
    <w:uiPriority w:val="99"/>
    <w:unhideWhenUsed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5">
    <w:name w:val="Title"/>
    <w:basedOn w:val="a0"/>
    <w:next w:val="a0"/>
    <w:link w:val="af6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af7">
    <w:name w:val="annotation subject"/>
    <w:basedOn w:val="a6"/>
    <w:next w:val="a6"/>
    <w:link w:val="af8"/>
    <w:uiPriority w:val="99"/>
    <w:semiHidden/>
    <w:unhideWhenUsed/>
    <w:rPr>
      <w:b/>
      <w:bCs/>
    </w:rPr>
  </w:style>
  <w:style w:type="table" w:styleId="af9">
    <w:name w:val="Table Grid"/>
    <w:basedOn w:val="a2"/>
    <w:uiPriority w:val="59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1"/>
    <w:uiPriority w:val="22"/>
    <w:qFormat/>
    <w:rPr>
      <w:rFonts w:ascii="Times New Roman" w:hAnsi="Times New Roman"/>
      <w:b/>
      <w:bCs/>
    </w:rPr>
  </w:style>
  <w:style w:type="character" w:styleId="afb">
    <w:name w:val="endnote reference"/>
    <w:basedOn w:val="a1"/>
    <w:uiPriority w:val="99"/>
    <w:semiHidden/>
    <w:unhideWhenUsed/>
    <w:rPr>
      <w:vertAlign w:val="superscript"/>
    </w:rPr>
  </w:style>
  <w:style w:type="character" w:styleId="afc">
    <w:name w:val="FollowedHyperlink"/>
    <w:basedOn w:val="a1"/>
    <w:uiPriority w:val="99"/>
    <w:semiHidden/>
    <w:unhideWhenUsed/>
    <w:rPr>
      <w:color w:val="800080" w:themeColor="followedHyperlink"/>
      <w:u w:val="single"/>
    </w:rPr>
  </w:style>
  <w:style w:type="character" w:styleId="afd">
    <w:name w:val="Emphasis"/>
    <w:basedOn w:val="a1"/>
    <w:uiPriority w:val="20"/>
    <w:qFormat/>
    <w:rPr>
      <w:rFonts w:ascii="Times New Roman" w:hAnsi="Times New Roman"/>
      <w:i/>
      <w:iCs/>
    </w:rPr>
  </w:style>
  <w:style w:type="character" w:styleId="afe">
    <w:name w:val="line number"/>
    <w:basedOn w:val="a1"/>
    <w:uiPriority w:val="99"/>
    <w:semiHidden/>
    <w:unhideWhenUsed/>
  </w:style>
  <w:style w:type="character" w:styleId="aff">
    <w:name w:val="Hyperlink"/>
    <w:basedOn w:val="a1"/>
    <w:uiPriority w:val="99"/>
    <w:unhideWhenUsed/>
    <w:rPr>
      <w:color w:val="0000FF"/>
      <w:u w:val="single"/>
    </w:rPr>
  </w:style>
  <w:style w:type="character" w:styleId="aff0">
    <w:name w:val="annotation reference"/>
    <w:basedOn w:val="a1"/>
    <w:uiPriority w:val="99"/>
    <w:semiHidden/>
    <w:unhideWhenUsed/>
    <w:rPr>
      <w:sz w:val="16"/>
      <w:szCs w:val="16"/>
    </w:rPr>
  </w:style>
  <w:style w:type="character" w:styleId="aff1">
    <w:name w:val="footnote reference"/>
    <w:basedOn w:val="a1"/>
    <w:uiPriority w:val="99"/>
    <w:semiHidden/>
    <w:unhideWhenUsed/>
    <w:rPr>
      <w:vertAlign w:val="superscript"/>
    </w:rPr>
  </w:style>
  <w:style w:type="character" w:customStyle="1" w:styleId="10">
    <w:name w:val="标题 1 字符"/>
    <w:basedOn w:val="a1"/>
    <w:link w:val="1"/>
    <w:uiPriority w:val="2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af1">
    <w:name w:val="副标题 字符"/>
    <w:basedOn w:val="a1"/>
    <w:link w:val="af0"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af0"/>
    <w:next w:val="a0"/>
    <w:uiPriority w:val="1"/>
    <w:qFormat/>
  </w:style>
  <w:style w:type="character" w:customStyle="1" w:styleId="ab">
    <w:name w:val="批注框文本 字符"/>
    <w:basedOn w:val="a1"/>
    <w:link w:val="aa"/>
    <w:uiPriority w:val="99"/>
    <w:semiHidden/>
    <w:rPr>
      <w:rFonts w:ascii="Tahoma" w:hAnsi="Tahoma" w:cs="Tahoma"/>
      <w:sz w:val="16"/>
      <w:szCs w:val="16"/>
    </w:rPr>
  </w:style>
  <w:style w:type="character" w:customStyle="1" w:styleId="11">
    <w:name w:val="书籍标题1"/>
    <w:basedOn w:val="a1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a7">
    <w:name w:val="批注文字 字符"/>
    <w:basedOn w:val="a1"/>
    <w:link w:val="a6"/>
    <w:uiPriority w:val="99"/>
    <w:semiHidden/>
    <w:rPr>
      <w:rFonts w:ascii="Times New Roman" w:hAnsi="Times New Roman"/>
      <w:sz w:val="20"/>
      <w:szCs w:val="20"/>
    </w:rPr>
  </w:style>
  <w:style w:type="character" w:customStyle="1" w:styleId="af8">
    <w:name w:val="批注主题 字符"/>
    <w:basedOn w:val="a7"/>
    <w:link w:val="af7"/>
    <w:uiPriority w:val="99"/>
    <w:semiHidden/>
    <w:rPr>
      <w:rFonts w:ascii="Times New Roman" w:hAnsi="Times New Roman"/>
      <w:b/>
      <w:bCs/>
      <w:sz w:val="20"/>
      <w:szCs w:val="20"/>
    </w:rPr>
  </w:style>
  <w:style w:type="character" w:customStyle="1" w:styleId="a9">
    <w:name w:val="尾注文本 字符"/>
    <w:basedOn w:val="a1"/>
    <w:link w:val="a8"/>
    <w:uiPriority w:val="99"/>
    <w:semiHidden/>
    <w:rPr>
      <w:rFonts w:ascii="Times New Roman" w:hAnsi="Times New Roman"/>
      <w:sz w:val="20"/>
      <w:szCs w:val="20"/>
    </w:rPr>
  </w:style>
  <w:style w:type="character" w:customStyle="1" w:styleId="ad">
    <w:name w:val="页脚 字符"/>
    <w:basedOn w:val="a1"/>
    <w:link w:val="ac"/>
    <w:uiPriority w:val="99"/>
    <w:rPr>
      <w:rFonts w:ascii="Times New Roman" w:hAnsi="Times New Roman"/>
      <w:sz w:val="24"/>
    </w:rPr>
  </w:style>
  <w:style w:type="character" w:customStyle="1" w:styleId="af3">
    <w:name w:val="脚注文本 字符"/>
    <w:basedOn w:val="a1"/>
    <w:link w:val="af2"/>
    <w:uiPriority w:val="99"/>
    <w:semiHidden/>
    <w:rPr>
      <w:rFonts w:ascii="Times New Roman" w:hAnsi="Times New Roman"/>
      <w:sz w:val="20"/>
      <w:szCs w:val="20"/>
    </w:rPr>
  </w:style>
  <w:style w:type="character" w:customStyle="1" w:styleId="af">
    <w:name w:val="页眉 字符"/>
    <w:basedOn w:val="a1"/>
    <w:link w:val="ae"/>
    <w:uiPriority w:val="99"/>
    <w:rPr>
      <w:rFonts w:ascii="Times New Roman" w:hAnsi="Times New Roman"/>
      <w:b/>
      <w:sz w:val="24"/>
    </w:rPr>
  </w:style>
  <w:style w:type="character" w:customStyle="1" w:styleId="12">
    <w:name w:val="明显强调1"/>
    <w:basedOn w:val="a1"/>
    <w:uiPriority w:val="21"/>
    <w:unhideWhenUsed/>
    <w:rPr>
      <w:rFonts w:ascii="Times New Roman" w:hAnsi="Times New Roman"/>
      <w:i/>
      <w:iCs/>
      <w:color w:val="auto"/>
    </w:rPr>
  </w:style>
  <w:style w:type="character" w:customStyle="1" w:styleId="13">
    <w:name w:val="明显参考1"/>
    <w:basedOn w:val="a1"/>
    <w:uiPriority w:val="32"/>
    <w:qFormat/>
    <w:rPr>
      <w:b/>
      <w:bCs/>
      <w:smallCaps/>
      <w:color w:val="auto"/>
      <w:spacing w:val="5"/>
    </w:rPr>
  </w:style>
  <w:style w:type="character" w:customStyle="1" w:styleId="30">
    <w:name w:val="标题 3 字符"/>
    <w:basedOn w:val="a1"/>
    <w:link w:val="3"/>
    <w:uiPriority w:val="2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2">
    <w:name w:val="Quote"/>
    <w:basedOn w:val="a0"/>
    <w:next w:val="a0"/>
    <w:link w:val="aff3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3">
    <w:name w:val="引用 字符"/>
    <w:basedOn w:val="a1"/>
    <w:link w:val="aff2"/>
    <w:uiPriority w:val="29"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14">
    <w:name w:val="不明显强调1"/>
    <w:basedOn w:val="a1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af6">
    <w:name w:val="标题 字符"/>
    <w:basedOn w:val="a1"/>
    <w:link w:val="af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5"/>
    <w:next w:val="af5"/>
    <w:qFormat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5</TotalTime>
  <Pages>4</Pages>
  <Words>596</Words>
  <Characters>3401</Characters>
  <Application>Microsoft Office Word</Application>
  <DocSecurity>0</DocSecurity>
  <Lines>28</Lines>
  <Paragraphs>7</Paragraphs>
  <ScaleCrop>false</ScaleCrop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Wen Chen</cp:lastModifiedBy>
  <cp:revision>20</cp:revision>
  <cp:lastPrinted>2013-10-03T12:51:00Z</cp:lastPrinted>
  <dcterms:created xsi:type="dcterms:W3CDTF">2018-11-23T08:58:00Z</dcterms:created>
  <dcterms:modified xsi:type="dcterms:W3CDTF">2021-04-12T16:16:00Z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DDD9CA4768BD411584876B450FE44BD6</vt:lpwstr>
  </property>
</Properties>
</file>