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D6" w:rsidRDefault="00F531EA"/>
    <w:p w:rsidR="00AB1CF1" w:rsidRDefault="00AB1CF1" w:rsidP="00AB1CF1">
      <w:pPr>
        <w:spacing w:line="480" w:lineRule="auto"/>
        <w:jc w:val="both"/>
        <w:rPr>
          <w:b/>
          <w:bCs/>
          <w:sz w:val="24"/>
          <w:szCs w:val="24"/>
        </w:rPr>
      </w:pPr>
      <w:r w:rsidRPr="00206F1C">
        <w:rPr>
          <w:b/>
          <w:bCs/>
          <w:sz w:val="24"/>
          <w:szCs w:val="24"/>
        </w:rPr>
        <w:t xml:space="preserve">Supplemental Information </w:t>
      </w:r>
    </w:p>
    <w:p w:rsidR="00F531EA" w:rsidRPr="00F531EA" w:rsidRDefault="00F531EA" w:rsidP="00F531EA">
      <w:pPr>
        <w:spacing w:line="480" w:lineRule="auto"/>
        <w:jc w:val="both"/>
        <w:rPr>
          <w:b/>
          <w:bCs/>
          <w:sz w:val="24"/>
          <w:szCs w:val="24"/>
        </w:rPr>
      </w:pPr>
      <w:r w:rsidRPr="00F531EA">
        <w:rPr>
          <w:b/>
          <w:bCs/>
          <w:sz w:val="24"/>
          <w:szCs w:val="24"/>
        </w:rPr>
        <w:t>Spectral Analysis of ATP-dependent mechanical vibrations in T cells</w:t>
      </w:r>
    </w:p>
    <w:p w:rsidR="00F531EA" w:rsidRPr="00F531EA" w:rsidRDefault="00F531EA" w:rsidP="00F531EA">
      <w:pPr>
        <w:spacing w:line="480" w:lineRule="auto"/>
        <w:jc w:val="both"/>
        <w:rPr>
          <w:sz w:val="24"/>
          <w:szCs w:val="24"/>
          <w:lang w:val="en-GB"/>
        </w:rPr>
      </w:pPr>
      <w:proofErr w:type="spellStart"/>
      <w:r w:rsidRPr="00F531EA">
        <w:rPr>
          <w:sz w:val="24"/>
          <w:szCs w:val="24"/>
          <w:lang w:val="en-GB"/>
        </w:rPr>
        <w:t>Ishay</w:t>
      </w:r>
      <w:proofErr w:type="spellEnd"/>
      <w:r w:rsidRPr="00F531EA">
        <w:rPr>
          <w:sz w:val="24"/>
          <w:szCs w:val="24"/>
          <w:lang w:val="en-GB"/>
        </w:rPr>
        <w:t xml:space="preserve"> Wohl</w:t>
      </w:r>
      <w:r w:rsidRPr="00F531EA">
        <w:rPr>
          <w:sz w:val="24"/>
          <w:szCs w:val="24"/>
          <w:vertAlign w:val="superscript"/>
          <w:lang w:val="en-GB"/>
        </w:rPr>
        <w:t>1</w:t>
      </w:r>
      <w:r w:rsidRPr="00F531EA">
        <w:rPr>
          <w:sz w:val="24"/>
          <w:szCs w:val="24"/>
          <w:lang w:val="en-GB"/>
        </w:rPr>
        <w:t xml:space="preserve">, </w:t>
      </w:r>
      <w:proofErr w:type="spellStart"/>
      <w:r w:rsidRPr="00F531EA">
        <w:rPr>
          <w:sz w:val="24"/>
          <w:szCs w:val="24"/>
          <w:lang w:val="en-GB"/>
        </w:rPr>
        <w:t>Eilon</w:t>
      </w:r>
      <w:proofErr w:type="spellEnd"/>
      <w:r w:rsidRPr="00F531EA">
        <w:rPr>
          <w:sz w:val="24"/>
          <w:szCs w:val="24"/>
          <w:lang w:val="en-GB"/>
        </w:rPr>
        <w:t xml:space="preserve"> Sherman</w:t>
      </w:r>
      <w:r w:rsidRPr="00F531EA">
        <w:rPr>
          <w:sz w:val="24"/>
          <w:szCs w:val="24"/>
          <w:vertAlign w:val="superscript"/>
          <w:lang w:val="en-GB"/>
        </w:rPr>
        <w:t>1</w:t>
      </w:r>
      <w:r w:rsidRPr="00F531EA">
        <w:rPr>
          <w:sz w:val="24"/>
          <w:szCs w:val="24"/>
          <w:lang w:val="en-GB"/>
        </w:rPr>
        <w:t>*</w:t>
      </w:r>
    </w:p>
    <w:p w:rsidR="00F531EA" w:rsidRPr="00F531EA" w:rsidRDefault="00F531EA" w:rsidP="00F531EA">
      <w:pPr>
        <w:spacing w:line="480" w:lineRule="auto"/>
        <w:jc w:val="both"/>
        <w:rPr>
          <w:i/>
          <w:sz w:val="24"/>
          <w:szCs w:val="24"/>
          <w:lang w:val="en-GB"/>
        </w:rPr>
      </w:pPr>
      <w:r w:rsidRPr="00F531EA">
        <w:rPr>
          <w:i/>
          <w:sz w:val="24"/>
          <w:szCs w:val="24"/>
          <w:vertAlign w:val="superscript"/>
          <w:lang w:val="en-GB"/>
        </w:rPr>
        <w:t>1</w:t>
      </w:r>
      <w:r w:rsidRPr="00F531EA">
        <w:rPr>
          <w:i/>
          <w:sz w:val="24"/>
          <w:szCs w:val="24"/>
          <w:lang w:val="en-GB"/>
        </w:rPr>
        <w:t xml:space="preserve">Racah Institute of Physics, </w:t>
      </w:r>
      <w:proofErr w:type="gramStart"/>
      <w:r w:rsidRPr="00F531EA">
        <w:rPr>
          <w:i/>
          <w:sz w:val="24"/>
          <w:szCs w:val="24"/>
          <w:lang w:val="en-GB"/>
        </w:rPr>
        <w:t>The</w:t>
      </w:r>
      <w:proofErr w:type="gramEnd"/>
      <w:r w:rsidRPr="00F531EA">
        <w:rPr>
          <w:i/>
          <w:sz w:val="24"/>
          <w:szCs w:val="24"/>
          <w:lang w:val="en-GB"/>
        </w:rPr>
        <w:t xml:space="preserve"> Hebrew University, Jerusalem, 9190401, Israel   </w:t>
      </w:r>
    </w:p>
    <w:p w:rsidR="00F531EA" w:rsidRPr="00F531EA" w:rsidRDefault="00F531EA" w:rsidP="00F531EA">
      <w:pPr>
        <w:spacing w:line="480" w:lineRule="auto"/>
        <w:jc w:val="both"/>
        <w:rPr>
          <w:sz w:val="24"/>
          <w:szCs w:val="24"/>
          <w:lang w:bidi="en-US"/>
        </w:rPr>
      </w:pPr>
      <w:r w:rsidRPr="00F531EA">
        <w:rPr>
          <w:sz w:val="24"/>
          <w:szCs w:val="24"/>
          <w:lang w:bidi="en-US"/>
        </w:rPr>
        <w:t>* - corresponding author</w:t>
      </w:r>
    </w:p>
    <w:p w:rsidR="00F531EA" w:rsidRDefault="00F531EA" w:rsidP="00AB1CF1">
      <w:pPr>
        <w:spacing w:line="480" w:lineRule="auto"/>
        <w:jc w:val="both"/>
        <w:rPr>
          <w:b/>
          <w:bCs/>
          <w:sz w:val="24"/>
          <w:szCs w:val="24"/>
        </w:rPr>
      </w:pPr>
    </w:p>
    <w:p w:rsidR="00F531EA" w:rsidRDefault="00F531EA" w:rsidP="00AB1CF1">
      <w:pPr>
        <w:spacing w:line="480" w:lineRule="auto"/>
        <w:jc w:val="both"/>
        <w:rPr>
          <w:b/>
          <w:bCs/>
          <w:sz w:val="24"/>
          <w:szCs w:val="24"/>
        </w:rPr>
      </w:pPr>
    </w:p>
    <w:p w:rsidR="00F531EA" w:rsidRDefault="00F531EA" w:rsidP="00AB1CF1">
      <w:pPr>
        <w:spacing w:line="480" w:lineRule="auto"/>
        <w:jc w:val="both"/>
        <w:rPr>
          <w:b/>
          <w:bCs/>
          <w:sz w:val="24"/>
          <w:szCs w:val="24"/>
        </w:rPr>
      </w:pPr>
    </w:p>
    <w:p w:rsidR="00F531EA" w:rsidRDefault="00F531EA" w:rsidP="00AB1CF1">
      <w:pPr>
        <w:spacing w:line="480" w:lineRule="auto"/>
        <w:jc w:val="both"/>
        <w:rPr>
          <w:b/>
          <w:bCs/>
          <w:sz w:val="24"/>
          <w:szCs w:val="24"/>
        </w:rPr>
      </w:pPr>
    </w:p>
    <w:p w:rsidR="00F531EA" w:rsidRDefault="00F531EA" w:rsidP="00AB1CF1">
      <w:pPr>
        <w:spacing w:line="480" w:lineRule="auto"/>
        <w:jc w:val="both"/>
        <w:rPr>
          <w:b/>
          <w:bCs/>
          <w:sz w:val="24"/>
          <w:szCs w:val="24"/>
        </w:rPr>
      </w:pPr>
    </w:p>
    <w:p w:rsidR="00F531EA" w:rsidRDefault="00F531EA" w:rsidP="00AB1CF1">
      <w:pPr>
        <w:spacing w:line="480" w:lineRule="auto"/>
        <w:jc w:val="both"/>
        <w:rPr>
          <w:b/>
          <w:bCs/>
          <w:sz w:val="24"/>
          <w:szCs w:val="24"/>
        </w:rPr>
      </w:pPr>
    </w:p>
    <w:p w:rsidR="00F531EA" w:rsidRDefault="00F531EA" w:rsidP="00AB1CF1">
      <w:pPr>
        <w:spacing w:line="480" w:lineRule="auto"/>
        <w:jc w:val="both"/>
        <w:rPr>
          <w:b/>
          <w:bCs/>
          <w:sz w:val="24"/>
          <w:szCs w:val="24"/>
        </w:rPr>
      </w:pPr>
    </w:p>
    <w:p w:rsidR="00F531EA" w:rsidRDefault="00F531EA">
      <w:pPr>
        <w:rPr>
          <w:b/>
          <w:bCs/>
          <w:sz w:val="24"/>
          <w:szCs w:val="24"/>
        </w:rPr>
      </w:pPr>
      <w:r>
        <w:rPr>
          <w:b/>
          <w:bCs/>
          <w:sz w:val="24"/>
          <w:szCs w:val="24"/>
        </w:rPr>
        <w:br w:type="page"/>
      </w:r>
    </w:p>
    <w:p w:rsidR="00AB1CF1" w:rsidRPr="001811F7" w:rsidRDefault="00AB1CF1" w:rsidP="00AB1CF1">
      <w:pPr>
        <w:spacing w:line="480" w:lineRule="auto"/>
        <w:jc w:val="both"/>
        <w:rPr>
          <w:rFonts w:eastAsiaTheme="minorEastAsia"/>
          <w:i/>
          <w:iCs/>
        </w:rPr>
      </w:pPr>
      <w:bookmarkStart w:id="0" w:name="_GoBack"/>
      <w:bookmarkEnd w:id="0"/>
      <w:r w:rsidRPr="001811F7">
        <w:rPr>
          <w:rFonts w:eastAsiaTheme="minorEastAsia"/>
          <w:i/>
          <w:iCs/>
        </w:rPr>
        <w:lastRenderedPageBreak/>
        <w:t xml:space="preserve">Possible correlations between DFT power fit parameters a and b and PDF (MSD) parameters  </w:t>
      </w:r>
      <m:oMath>
        <m:sSub>
          <m:sSubPr>
            <m:ctrlPr>
              <w:rPr>
                <w:rFonts w:ascii="Cambria Math" w:hAnsi="Cambria Math"/>
                <w:i/>
                <w:iCs/>
              </w:rPr>
            </m:ctrlPr>
          </m:sSubPr>
          <m:e>
            <m:r>
              <w:rPr>
                <w:rFonts w:ascii="Cambria Math" w:hAnsi="Cambria Math"/>
              </w:rPr>
              <m:t>K</m:t>
            </m:r>
          </m:e>
          <m:sub>
            <m:r>
              <w:rPr>
                <w:rFonts w:ascii="Cambria Math" w:hAnsi="Cambria Math"/>
              </w:rPr>
              <m:t>α</m:t>
            </m:r>
          </m:sub>
        </m:sSub>
      </m:oMath>
      <w:r w:rsidRPr="001811F7">
        <w:rPr>
          <w:rFonts w:eastAsiaTheme="minorEastAsia"/>
          <w:i/>
          <w:iCs/>
        </w:rPr>
        <w:t xml:space="preserve"> and </w:t>
      </w:r>
      <m:oMath>
        <m:r>
          <w:rPr>
            <w:rFonts w:ascii="Cambria Math" w:eastAsiaTheme="minorEastAsia" w:hAnsi="Cambria Math"/>
          </w:rPr>
          <m:t>α</m:t>
        </m:r>
      </m:oMath>
      <w:r w:rsidRPr="001811F7">
        <w:rPr>
          <w:rFonts w:eastAsiaTheme="minorEastAsia"/>
          <w:i/>
          <w:iCs/>
        </w:rPr>
        <w:t xml:space="preserve"> and </w:t>
      </w:r>
      <w:proofErr w:type="spellStart"/>
      <w:r w:rsidRPr="001811F7">
        <w:rPr>
          <w:rFonts w:eastAsiaTheme="minorEastAsia"/>
          <w:i/>
          <w:iCs/>
        </w:rPr>
        <w:t>ergodicity</w:t>
      </w:r>
      <w:proofErr w:type="spellEnd"/>
      <w:r w:rsidRPr="001811F7">
        <w:rPr>
          <w:rFonts w:eastAsiaTheme="minorEastAsia"/>
          <w:i/>
          <w:iCs/>
        </w:rPr>
        <w:t>.</w:t>
      </w:r>
    </w:p>
    <w:p w:rsidR="00AB1CF1" w:rsidRPr="001811F7" w:rsidRDefault="00AB1CF1" w:rsidP="00AB1CF1">
      <w:pPr>
        <w:spacing w:line="480" w:lineRule="auto"/>
        <w:jc w:val="both"/>
        <w:rPr>
          <w:rFonts w:eastAsiaTheme="minorEastAsia"/>
        </w:rPr>
      </w:pPr>
      <w:r w:rsidRPr="001811F7">
        <w:rPr>
          <w:rFonts w:eastAsiaTheme="minorEastAsia"/>
        </w:rPr>
        <w:t xml:space="preserve">Due to the possible relation between the DFT of a particle’s position change and the PDF of translocations, we analyzed the specific possible correlations between DFT powers fit parameters </w:t>
      </w:r>
      <w:r w:rsidRPr="001811F7">
        <w:rPr>
          <w:rFonts w:eastAsiaTheme="minorEastAsia"/>
          <w:i/>
          <w:iCs/>
        </w:rPr>
        <w:t>a</w:t>
      </w:r>
      <w:r w:rsidRPr="001811F7">
        <w:rPr>
          <w:rFonts w:eastAsiaTheme="minorEastAsia"/>
        </w:rPr>
        <w:t xml:space="preserve"> and </w:t>
      </w:r>
      <w:r w:rsidRPr="001811F7">
        <w:rPr>
          <w:rFonts w:eastAsiaTheme="minorEastAsia"/>
          <w:i/>
          <w:iCs/>
        </w:rPr>
        <w:t>b</w:t>
      </w:r>
      <w:r w:rsidRPr="001811F7">
        <w:rPr>
          <w:rFonts w:eastAsiaTheme="minorEastAsia"/>
        </w:rPr>
        <w:t xml:space="preserve"> in Eq. 1</w:t>
      </w:r>
      <w:r w:rsidRPr="001811F7">
        <w:t xml:space="preserve"> </w:t>
      </w:r>
      <w:r w:rsidRPr="001811F7">
        <w:rPr>
          <w:rFonts w:eastAsiaTheme="minorEastAsia"/>
        </w:rPr>
        <w:t xml:space="preserve">and the diffusion parameters </w:t>
      </w:r>
      <m:oMath>
        <m:sSub>
          <m:sSubPr>
            <m:ctrlPr>
              <w:rPr>
                <w:rFonts w:ascii="Cambria Math" w:hAnsi="Cambria Math"/>
                <w:i/>
              </w:rPr>
            </m:ctrlPr>
          </m:sSubPr>
          <m:e>
            <m:r>
              <w:rPr>
                <w:rFonts w:ascii="Cambria Math" w:hAnsi="Cambria Math"/>
              </w:rPr>
              <m:t>K</m:t>
            </m:r>
          </m:e>
          <m:sub>
            <m:r>
              <w:rPr>
                <w:rFonts w:ascii="Cambria Math" w:hAnsi="Cambria Math"/>
              </w:rPr>
              <m:t>α</m:t>
            </m:r>
          </m:sub>
        </m:sSub>
      </m:oMath>
      <w:r w:rsidRPr="001811F7">
        <w:rPr>
          <w:rFonts w:eastAsiaTheme="minorEastAsia"/>
        </w:rPr>
        <w:t xml:space="preserve"> </w:t>
      </w:r>
      <w:proofErr w:type="gramStart"/>
      <w:r w:rsidRPr="001811F7">
        <w:rPr>
          <w:rFonts w:eastAsiaTheme="minorEastAsia"/>
        </w:rPr>
        <w:t xml:space="preserve">and </w:t>
      </w:r>
      <w:proofErr w:type="gramEnd"/>
      <m:oMath>
        <m:r>
          <w:rPr>
            <w:rFonts w:ascii="Cambria Math" w:eastAsiaTheme="minorEastAsia" w:hAnsi="Cambria Math"/>
          </w:rPr>
          <m:t>α</m:t>
        </m:r>
      </m:oMath>
      <w:r w:rsidRPr="001811F7">
        <w:rPr>
          <w:rFonts w:eastAsiaTheme="minorEastAsia"/>
        </w:rPr>
        <w:t xml:space="preserve">. Considering a diffusion process: an increase in  </w:t>
      </w:r>
      <m:oMath>
        <m:sSub>
          <m:sSubPr>
            <m:ctrlPr>
              <w:rPr>
                <w:rFonts w:ascii="Cambria Math" w:hAnsi="Cambria Math"/>
                <w:i/>
              </w:rPr>
            </m:ctrlPr>
          </m:sSubPr>
          <m:e>
            <m:r>
              <w:rPr>
                <w:rFonts w:ascii="Cambria Math" w:hAnsi="Cambria Math"/>
              </w:rPr>
              <m:t>K</m:t>
            </m:r>
          </m:e>
          <m:sub>
            <m:r>
              <w:rPr>
                <w:rFonts w:ascii="Cambria Math" w:hAnsi="Cambria Math"/>
              </w:rPr>
              <m:t>α</m:t>
            </m:r>
          </m:sub>
        </m:sSub>
      </m:oMath>
      <w:r w:rsidRPr="001811F7">
        <w:rPr>
          <w:rFonts w:eastAsiaTheme="minorEastAsia"/>
        </w:rPr>
        <w:t xml:space="preserve"> relates to an increase in the width of the PDF of translocations. This increase implies bigger translocations for most probabilities. Such a case implies elevated DFT amplitude results for most frequencies. This will produce higher values of the </w:t>
      </w:r>
      <w:r w:rsidRPr="001811F7">
        <w:rPr>
          <w:rFonts w:eastAsiaTheme="minorEastAsia"/>
          <w:i/>
          <w:iCs/>
        </w:rPr>
        <w:t>a</w:t>
      </w:r>
      <w:r w:rsidRPr="001811F7">
        <w:rPr>
          <w:rFonts w:eastAsiaTheme="minorEastAsia"/>
        </w:rPr>
        <w:t xml:space="preserve"> parameter of the powers fit (in a general power </w:t>
      </w:r>
      <w:proofErr w:type="gramStart"/>
      <w:r w:rsidRPr="001811F7">
        <w:rPr>
          <w:rFonts w:eastAsiaTheme="minorEastAsia"/>
        </w:rPr>
        <w:t xml:space="preserve">function </w:t>
      </w:r>
      <w:proofErr w:type="gramEnd"/>
      <m:oMath>
        <m:r>
          <w:rPr>
            <w:rFonts w:ascii="Cambria Math" w:eastAsiaTheme="minorEastAsia" w:hAnsi="Cambria Math"/>
          </w:rPr>
          <m:t>y=a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b</m:t>
            </m:r>
          </m:sup>
        </m:sSup>
      </m:oMath>
      <w:r w:rsidRPr="001811F7">
        <w:rPr>
          <w:rFonts w:eastAsiaTheme="minorEastAsia"/>
        </w:rPr>
        <w:t xml:space="preserve">, increasing </w:t>
      </w:r>
      <w:r w:rsidRPr="001811F7">
        <w:rPr>
          <w:rFonts w:eastAsiaTheme="minorEastAsia"/>
          <w:i/>
          <w:iCs/>
        </w:rPr>
        <w:t>a</w:t>
      </w:r>
      <w:r w:rsidRPr="001811F7">
        <w:rPr>
          <w:rFonts w:eastAsiaTheme="minorEastAsia"/>
        </w:rPr>
        <w:t xml:space="preserve"> will increase all the function values). Therefore, it can be expected that </w:t>
      </w:r>
      <m:oMath>
        <m:sSub>
          <m:sSubPr>
            <m:ctrlPr>
              <w:rPr>
                <w:rFonts w:ascii="Cambria Math" w:hAnsi="Cambria Math"/>
                <w:i/>
              </w:rPr>
            </m:ctrlPr>
          </m:sSubPr>
          <m:e>
            <m:r>
              <w:rPr>
                <w:rFonts w:ascii="Cambria Math" w:hAnsi="Cambria Math"/>
              </w:rPr>
              <m:t>K</m:t>
            </m:r>
          </m:e>
          <m:sub>
            <m:r>
              <w:rPr>
                <w:rFonts w:ascii="Cambria Math" w:hAnsi="Cambria Math"/>
              </w:rPr>
              <m:t>α</m:t>
            </m:r>
          </m:sub>
        </m:sSub>
      </m:oMath>
      <w:r w:rsidRPr="001811F7">
        <w:rPr>
          <w:rFonts w:eastAsiaTheme="minorEastAsia"/>
        </w:rPr>
        <w:t xml:space="preserve"> will be positively correlated to </w:t>
      </w:r>
      <w:proofErr w:type="gramStart"/>
      <w:r w:rsidRPr="001811F7">
        <w:rPr>
          <w:rFonts w:eastAsiaTheme="minorEastAsia"/>
        </w:rPr>
        <w:t xml:space="preserve">the </w:t>
      </w:r>
      <w:r w:rsidRPr="001811F7">
        <w:rPr>
          <w:rFonts w:eastAsiaTheme="minorEastAsia"/>
          <w:i/>
          <w:iCs/>
        </w:rPr>
        <w:t>a</w:t>
      </w:r>
      <w:proofErr w:type="gramEnd"/>
      <w:r w:rsidRPr="001811F7">
        <w:rPr>
          <w:rFonts w:eastAsiaTheme="minorEastAsia"/>
        </w:rPr>
        <w:t xml:space="preserve"> parameter of the power fit, as can be seen in the simulation presented in figure 1 e. </w:t>
      </w:r>
    </w:p>
    <w:p w:rsidR="00AB1CF1" w:rsidRPr="001811F7" w:rsidRDefault="00AB1CF1" w:rsidP="00AB1CF1">
      <w:pPr>
        <w:spacing w:line="480" w:lineRule="auto"/>
        <w:jc w:val="both"/>
        <w:rPr>
          <w:rFonts w:eastAsiaTheme="minorEastAsia"/>
        </w:rPr>
      </w:pPr>
      <w:r w:rsidRPr="001811F7">
        <w:rPr>
          <w:rFonts w:eastAsiaTheme="minorEastAsia"/>
        </w:rPr>
        <w:t xml:space="preserve">In </w:t>
      </w:r>
      <w:proofErr w:type="spellStart"/>
      <w:r w:rsidRPr="001811F7">
        <w:rPr>
          <w:rFonts w:eastAsiaTheme="minorEastAsia"/>
        </w:rPr>
        <w:t>ergodic</w:t>
      </w:r>
      <w:proofErr w:type="spellEnd"/>
      <w:r w:rsidRPr="001811F7">
        <w:rPr>
          <w:rFonts w:eastAsiaTheme="minorEastAsia"/>
        </w:rPr>
        <w:t xml:space="preserve"> sub-diffusion </w:t>
      </w:r>
      <w:proofErr w:type="gramStart"/>
      <w:r w:rsidRPr="001811F7">
        <w:rPr>
          <w:rFonts w:eastAsiaTheme="minorEastAsia"/>
        </w:rPr>
        <w:t xml:space="preserve">processes, </w:t>
      </w:r>
      <m:oMath>
        <m:r>
          <w:rPr>
            <w:rFonts w:ascii="Cambria Math" w:eastAsiaTheme="minorEastAsia" w:hAnsi="Cambria Math"/>
          </w:rPr>
          <m:t>α&lt;1</m:t>
        </m:r>
      </m:oMath>
      <w:proofErr w:type="gramEnd"/>
      <w:r w:rsidRPr="001811F7">
        <w:rPr>
          <w:rFonts w:eastAsiaTheme="minorEastAsia"/>
        </w:rPr>
        <w:t xml:space="preserve"> and the shape of the PDF of translocations may not be Gaussian. In such cases, the </w:t>
      </w:r>
      <w:proofErr w:type="gramStart"/>
      <w:r w:rsidRPr="001811F7">
        <w:rPr>
          <w:rFonts w:eastAsiaTheme="minorEastAsia"/>
        </w:rPr>
        <w:t>magnitude</w:t>
      </w:r>
      <w:proofErr w:type="gramEnd"/>
      <w:r w:rsidRPr="001811F7">
        <w:rPr>
          <w:rFonts w:eastAsiaTheme="minorEastAsia"/>
        </w:rPr>
        <w:t xml:space="preserve"> of translocations that correspond to the lower probabilities are relatively small in comparison to the magnitude of translocations for the same probabilities in a Gaussian PDF that characterizes Brownian diffusion. The DFT amplitudes that are related to this sub-diffusion PDF are characterized by relatively low amplitudes at low frequencies. The lower DFT amplitudes in the low frequencies range produces lower </w:t>
      </w:r>
      <w:r w:rsidRPr="001811F7">
        <w:rPr>
          <w:rFonts w:eastAsiaTheme="minorEastAsia"/>
          <w:i/>
          <w:iCs/>
        </w:rPr>
        <w:t>b</w:t>
      </w:r>
      <w:r w:rsidRPr="001811F7">
        <w:rPr>
          <w:rFonts w:eastAsiaTheme="minorEastAsia"/>
        </w:rPr>
        <w:t xml:space="preserve"> values of the matching power fit. Note that in a general power </w:t>
      </w:r>
      <w:proofErr w:type="gramStart"/>
      <w:r w:rsidRPr="001811F7">
        <w:rPr>
          <w:rFonts w:eastAsiaTheme="minorEastAsia"/>
        </w:rPr>
        <w:t xml:space="preserve">function </w:t>
      </w:r>
      <w:proofErr w:type="gramEnd"/>
      <m:oMath>
        <m:r>
          <w:rPr>
            <w:rFonts w:ascii="Cambria Math" w:eastAsiaTheme="minorEastAsia" w:hAnsi="Cambria Math"/>
          </w:rPr>
          <m:t>y=a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b</m:t>
            </m:r>
          </m:sup>
        </m:sSup>
      </m:oMath>
      <w:r w:rsidRPr="001811F7">
        <w:rPr>
          <w:rFonts w:eastAsiaTheme="minorEastAsia"/>
        </w:rPr>
        <w:t xml:space="preserve">, decreasing the value of the </w:t>
      </w:r>
      <w:r w:rsidRPr="001811F7">
        <w:rPr>
          <w:rFonts w:eastAsiaTheme="minorEastAsia"/>
          <w:i/>
          <w:iCs/>
        </w:rPr>
        <w:t>b</w:t>
      </w:r>
      <w:r w:rsidRPr="001811F7">
        <w:rPr>
          <w:rFonts w:eastAsiaTheme="minorEastAsia"/>
        </w:rPr>
        <w:t xml:space="preserve"> parameter changes the shape of the function, where its elevated proximal (close to zero) part becomes less steeper and wider. For such </w:t>
      </w:r>
      <w:proofErr w:type="spellStart"/>
      <w:r w:rsidRPr="001811F7">
        <w:rPr>
          <w:rFonts w:eastAsiaTheme="minorEastAsia"/>
        </w:rPr>
        <w:t>ergodic</w:t>
      </w:r>
      <w:proofErr w:type="spellEnd"/>
      <w:r w:rsidRPr="001811F7">
        <w:rPr>
          <w:rFonts w:eastAsiaTheme="minorEastAsia"/>
        </w:rPr>
        <w:t xml:space="preserve"> sub-diffusion processes, the values of </w:t>
      </w:r>
      <w:r w:rsidRPr="001811F7">
        <w:rPr>
          <w:rFonts w:eastAsiaTheme="minorEastAsia"/>
          <w:i/>
          <w:iCs/>
        </w:rPr>
        <w:t>b</w:t>
      </w:r>
      <w:r w:rsidRPr="001811F7">
        <w:rPr>
          <w:rFonts w:eastAsiaTheme="minorEastAsia"/>
        </w:rPr>
        <w:t xml:space="preserve"> are positively correlated to the </w:t>
      </w:r>
      <m:oMath>
        <m:r>
          <w:rPr>
            <w:rFonts w:ascii="Cambria Math" w:eastAsiaTheme="minorEastAsia" w:hAnsi="Cambria Math"/>
          </w:rPr>
          <m:t>α</m:t>
        </m:r>
      </m:oMath>
      <w:r w:rsidRPr="001811F7">
        <w:rPr>
          <w:rFonts w:eastAsiaTheme="minorEastAsia"/>
        </w:rPr>
        <w:t xml:space="preserve">  values. Following the same principles, the positive correlation of </w:t>
      </w:r>
      <w:r w:rsidRPr="001811F7">
        <w:rPr>
          <w:rFonts w:eastAsiaTheme="minorEastAsia"/>
          <w:i/>
          <w:iCs/>
        </w:rPr>
        <w:t>b</w:t>
      </w:r>
      <w:r w:rsidRPr="001811F7">
        <w:rPr>
          <w:rFonts w:eastAsiaTheme="minorEastAsia"/>
        </w:rPr>
        <w:t xml:space="preserve"> and  </w:t>
      </w:r>
      <m:oMath>
        <m:r>
          <w:rPr>
            <w:rFonts w:ascii="Cambria Math" w:eastAsiaTheme="minorEastAsia" w:hAnsi="Cambria Math"/>
          </w:rPr>
          <m:t>α</m:t>
        </m:r>
      </m:oMath>
      <w:r w:rsidRPr="001811F7">
        <w:rPr>
          <w:rFonts w:eastAsiaTheme="minorEastAsia"/>
        </w:rPr>
        <w:t xml:space="preserve">  values can be anticipated for the alternative condition of super-diffusion.</w:t>
      </w:r>
    </w:p>
    <w:p w:rsidR="00AB1CF1" w:rsidRPr="001811F7" w:rsidRDefault="00AB1CF1" w:rsidP="00AB1CF1">
      <w:pPr>
        <w:spacing w:line="480" w:lineRule="auto"/>
        <w:jc w:val="both"/>
        <w:rPr>
          <w:rFonts w:eastAsiaTheme="minorEastAsia"/>
        </w:rPr>
      </w:pPr>
      <w:r w:rsidRPr="001811F7">
        <w:rPr>
          <w:rFonts w:eastAsiaTheme="minorEastAsia"/>
        </w:rPr>
        <w:lastRenderedPageBreak/>
        <w:t>In non-</w:t>
      </w:r>
      <w:proofErr w:type="spellStart"/>
      <w:r w:rsidRPr="001811F7">
        <w:rPr>
          <w:rFonts w:eastAsiaTheme="minorEastAsia"/>
        </w:rPr>
        <w:t>ergodic</w:t>
      </w:r>
      <w:proofErr w:type="spellEnd"/>
      <w:r w:rsidRPr="001811F7">
        <w:rPr>
          <w:rFonts w:eastAsiaTheme="minorEastAsia"/>
        </w:rPr>
        <w:t xml:space="preserve"> anomalous diffusion processes, the </w:t>
      </w:r>
      <m:oMath>
        <m:r>
          <w:rPr>
            <w:rFonts w:ascii="Cambria Math" w:eastAsiaTheme="minorEastAsia" w:hAnsi="Cambria Math"/>
          </w:rPr>
          <m:t>α</m:t>
        </m:r>
      </m:oMath>
      <w:r w:rsidRPr="001811F7">
        <w:rPr>
          <w:rFonts w:eastAsiaTheme="minorEastAsia"/>
        </w:rPr>
        <w:t xml:space="preserve"> values may be relatively high and the shape of the PDF of translocation is non-Gaussian and may be non-symmetric. In such cases, the average magnitude of translocations corresponding to the lower probabilities (from both sides of the PDF graph) depends not only on the shape of the PDF of translocations but also on its symmetry. In this situation, the average magnitude of translocations corresponding to the lower probabilities of the PDF are no longer correlated primarily to the shape of the PDF of translocation </w:t>
      </w:r>
      <w:proofErr w:type="gramStart"/>
      <w:r w:rsidRPr="001811F7">
        <w:rPr>
          <w:rFonts w:eastAsiaTheme="minorEastAsia"/>
        </w:rPr>
        <w:t xml:space="preserve">and </w:t>
      </w:r>
      <w:proofErr w:type="gramEnd"/>
      <m:oMath>
        <m:r>
          <w:rPr>
            <w:rFonts w:ascii="Cambria Math" w:eastAsiaTheme="minorEastAsia" w:hAnsi="Cambria Math"/>
          </w:rPr>
          <m:t>α</m:t>
        </m:r>
      </m:oMath>
      <w:r w:rsidRPr="001811F7">
        <w:rPr>
          <w:rFonts w:eastAsiaTheme="minorEastAsia"/>
        </w:rPr>
        <w:t xml:space="preserve">, but also depend on the non-ergodic process and the extent of asymmetry of the PDF. Accordingly, the correlation between </w:t>
      </w:r>
      <m:oMath>
        <m:r>
          <w:rPr>
            <w:rFonts w:ascii="Cambria Math" w:eastAsiaTheme="minorEastAsia" w:hAnsi="Cambria Math"/>
          </w:rPr>
          <m:t>α</m:t>
        </m:r>
      </m:oMath>
      <w:r w:rsidRPr="001811F7">
        <w:rPr>
          <w:rFonts w:eastAsiaTheme="minorEastAsia"/>
        </w:rPr>
        <w:t xml:space="preserve">   and </w:t>
      </w:r>
      <w:r w:rsidRPr="001811F7">
        <w:rPr>
          <w:rFonts w:eastAsiaTheme="minorEastAsia"/>
          <w:i/>
          <w:iCs/>
        </w:rPr>
        <w:t>b</w:t>
      </w:r>
      <w:r w:rsidRPr="001811F7">
        <w:rPr>
          <w:rFonts w:eastAsiaTheme="minorEastAsia"/>
        </w:rPr>
        <w:t xml:space="preserve"> of the matched power fit may break due to a non-</w:t>
      </w:r>
      <w:proofErr w:type="spellStart"/>
      <w:r w:rsidRPr="001811F7">
        <w:rPr>
          <w:rFonts w:eastAsiaTheme="minorEastAsia"/>
        </w:rPr>
        <w:t>ergodic</w:t>
      </w:r>
      <w:proofErr w:type="spellEnd"/>
      <w:r w:rsidRPr="001811F7">
        <w:rPr>
          <w:rFonts w:eastAsiaTheme="minorEastAsia"/>
        </w:rPr>
        <w:t xml:space="preserve"> asymmetric process, esp. as a result of intracellular mechanical work. </w:t>
      </w:r>
    </w:p>
    <w:p w:rsidR="00AB1CF1" w:rsidRDefault="00AB1CF1" w:rsidP="00AB1CF1">
      <w:pPr>
        <w:pStyle w:val="meth1"/>
        <w:spacing w:line="480" w:lineRule="auto"/>
        <w:ind w:firstLine="0"/>
        <w:jc w:val="both"/>
        <w:rPr>
          <w:rFonts w:asciiTheme="minorHAnsi" w:eastAsiaTheme="minorHAnsi" w:hAnsiTheme="minorHAnsi" w:cstheme="minorBidi"/>
          <w:sz w:val="22"/>
          <w:szCs w:val="22"/>
          <w:lang w:val="en-US" w:bidi="he-IL"/>
        </w:rPr>
      </w:pPr>
      <w:proofErr w:type="gramStart"/>
      <w:r w:rsidRPr="00F91E2F">
        <w:rPr>
          <w:rFonts w:asciiTheme="minorHAnsi" w:eastAsiaTheme="minorHAnsi" w:hAnsiTheme="minorHAnsi" w:cstheme="minorBidi"/>
          <w:bCs/>
          <w:i/>
          <w:iCs/>
          <w:color w:val="000000" w:themeColor="text1"/>
          <w:sz w:val="22"/>
          <w:szCs w:val="22"/>
          <w:lang w:val="en-US" w:bidi="en-US"/>
        </w:rPr>
        <w:t>Imaging cell dynamics using DIC.</w:t>
      </w:r>
      <w:proofErr w:type="gramEnd"/>
      <w:r>
        <w:rPr>
          <w:rFonts w:asciiTheme="minorHAnsi" w:eastAsiaTheme="minorHAnsi" w:hAnsiTheme="minorHAnsi" w:cstheme="minorBidi"/>
          <w:bCs/>
          <w:i/>
          <w:iCs/>
          <w:color w:val="000000" w:themeColor="text1"/>
          <w:sz w:val="22"/>
          <w:szCs w:val="22"/>
          <w:lang w:val="en-US" w:bidi="en-US"/>
        </w:rPr>
        <w:t xml:space="preserve"> </w:t>
      </w:r>
      <w:r w:rsidRPr="005D2509">
        <w:rPr>
          <w:rFonts w:asciiTheme="minorHAnsi" w:eastAsiaTheme="minorHAnsi" w:hAnsiTheme="minorHAnsi" w:cstheme="minorBidi"/>
          <w:sz w:val="22"/>
          <w:szCs w:val="22"/>
          <w:lang w:val="en-US" w:bidi="he-IL"/>
        </w:rPr>
        <w:t xml:space="preserve"> </w:t>
      </w:r>
      <w:r>
        <w:rPr>
          <w:rFonts w:asciiTheme="minorHAnsi" w:eastAsiaTheme="minorHAnsi" w:hAnsiTheme="minorHAnsi" w:cstheme="minorBidi"/>
          <w:sz w:val="22"/>
          <w:szCs w:val="22"/>
          <w:lang w:val="en-US" w:bidi="he-IL"/>
        </w:rPr>
        <w:t>See figure S1</w:t>
      </w:r>
      <w:r w:rsidRPr="00206F1C">
        <w:rPr>
          <w:rFonts w:asciiTheme="minorHAnsi" w:eastAsiaTheme="minorHAnsi" w:hAnsiTheme="minorHAnsi" w:cstheme="minorBidi"/>
          <w:sz w:val="22"/>
          <w:szCs w:val="22"/>
          <w:lang w:val="en-US" w:bidi="he-IL"/>
        </w:rPr>
        <w:t>.</w:t>
      </w:r>
    </w:p>
    <w:p w:rsidR="00AB1CF1" w:rsidRPr="002A287B" w:rsidRDefault="00AB1CF1" w:rsidP="00AB1CF1">
      <w:pPr>
        <w:pStyle w:val="meth1"/>
        <w:spacing w:line="480" w:lineRule="auto"/>
        <w:ind w:firstLine="0"/>
        <w:jc w:val="both"/>
        <w:rPr>
          <w:rFonts w:asciiTheme="minorHAnsi" w:eastAsiaTheme="minorHAnsi" w:hAnsiTheme="minorHAnsi" w:cstheme="minorBidi"/>
          <w:sz w:val="22"/>
          <w:szCs w:val="22"/>
          <w:lang w:val="en-US" w:bidi="he-IL"/>
        </w:rPr>
      </w:pPr>
      <w:r w:rsidRPr="002A287B">
        <w:rPr>
          <w:rFonts w:asciiTheme="minorHAnsi" w:eastAsiaTheme="minorHAnsi" w:hAnsiTheme="minorHAnsi" w:cstheme="minorBidi"/>
          <w:bCs/>
          <w:i/>
          <w:iCs/>
          <w:sz w:val="22"/>
          <w:szCs w:val="22"/>
          <w:lang w:val="en-US" w:bidi="en-US"/>
        </w:rPr>
        <w:t xml:space="preserve">DIC microscopy results of intracellular motion in live cells before and after </w:t>
      </w:r>
      <w:proofErr w:type="spellStart"/>
      <w:r w:rsidRPr="002A287B">
        <w:rPr>
          <w:rFonts w:asciiTheme="minorHAnsi" w:eastAsiaTheme="minorHAnsi" w:hAnsiTheme="minorHAnsi" w:cstheme="minorBidi"/>
          <w:bCs/>
          <w:i/>
          <w:iCs/>
          <w:sz w:val="22"/>
          <w:szCs w:val="22"/>
          <w:lang w:val="en-US" w:bidi="en-US"/>
        </w:rPr>
        <w:t>blebbistatin</w:t>
      </w:r>
      <w:proofErr w:type="spellEnd"/>
      <w:r w:rsidRPr="002A287B">
        <w:rPr>
          <w:rFonts w:asciiTheme="minorHAnsi" w:eastAsiaTheme="minorHAnsi" w:hAnsiTheme="minorHAnsi" w:cstheme="minorBidi"/>
          <w:bCs/>
          <w:i/>
          <w:iCs/>
          <w:sz w:val="22"/>
          <w:szCs w:val="22"/>
          <w:lang w:val="en-US" w:bidi="en-US"/>
        </w:rPr>
        <w:t xml:space="preserve"> treatment.</w:t>
      </w:r>
      <w:r w:rsidRPr="002A287B">
        <w:rPr>
          <w:rFonts w:asciiTheme="minorHAnsi" w:eastAsiaTheme="minorHAnsi" w:hAnsiTheme="minorHAnsi" w:cstheme="minorBidi"/>
          <w:sz w:val="22"/>
          <w:szCs w:val="22"/>
          <w:lang w:val="en-US" w:bidi="he-IL"/>
        </w:rPr>
        <w:t xml:space="preserve"> See figure S2.</w:t>
      </w:r>
    </w:p>
    <w:p w:rsidR="00AB1CF1" w:rsidRDefault="00AB1CF1" w:rsidP="00AB1CF1">
      <w:pPr>
        <w:spacing w:line="480" w:lineRule="auto"/>
        <w:jc w:val="both"/>
        <w:rPr>
          <w:b/>
          <w:bCs/>
          <w:sz w:val="24"/>
          <w:szCs w:val="24"/>
        </w:rPr>
      </w:pPr>
    </w:p>
    <w:p w:rsidR="00AB1CF1" w:rsidRDefault="00AB1CF1" w:rsidP="00AB1CF1">
      <w:pPr>
        <w:spacing w:line="480" w:lineRule="auto"/>
        <w:jc w:val="both"/>
        <w:rPr>
          <w:b/>
          <w:bCs/>
          <w:sz w:val="24"/>
          <w:szCs w:val="24"/>
        </w:rPr>
      </w:pPr>
    </w:p>
    <w:p w:rsidR="00AB1CF1" w:rsidRDefault="00AB1CF1" w:rsidP="00AB1CF1">
      <w:pPr>
        <w:spacing w:line="480" w:lineRule="auto"/>
        <w:jc w:val="both"/>
        <w:rPr>
          <w:b/>
          <w:bCs/>
          <w:sz w:val="24"/>
          <w:szCs w:val="24"/>
        </w:rPr>
      </w:pPr>
    </w:p>
    <w:p w:rsidR="00AB1CF1" w:rsidRDefault="00AB1CF1" w:rsidP="00AB1CF1">
      <w:pPr>
        <w:spacing w:line="480" w:lineRule="auto"/>
        <w:jc w:val="both"/>
        <w:rPr>
          <w:b/>
          <w:bCs/>
          <w:sz w:val="24"/>
          <w:szCs w:val="24"/>
        </w:rPr>
      </w:pPr>
    </w:p>
    <w:p w:rsidR="00AB1CF1" w:rsidRDefault="00AB1CF1" w:rsidP="00AB1CF1">
      <w:pPr>
        <w:spacing w:line="480" w:lineRule="auto"/>
        <w:jc w:val="both"/>
        <w:rPr>
          <w:b/>
          <w:bCs/>
          <w:sz w:val="24"/>
          <w:szCs w:val="24"/>
        </w:rPr>
      </w:pPr>
    </w:p>
    <w:p w:rsidR="00AB1CF1" w:rsidRDefault="00AB1CF1" w:rsidP="00AB1CF1">
      <w:pPr>
        <w:spacing w:line="480" w:lineRule="auto"/>
        <w:jc w:val="both"/>
        <w:rPr>
          <w:b/>
          <w:bCs/>
          <w:sz w:val="24"/>
          <w:szCs w:val="24"/>
        </w:rPr>
      </w:pPr>
    </w:p>
    <w:p w:rsidR="00AB1CF1" w:rsidRPr="0060513C" w:rsidRDefault="00AB1CF1" w:rsidP="00AB1CF1">
      <w:pPr>
        <w:spacing w:line="480" w:lineRule="auto"/>
        <w:jc w:val="both"/>
        <w:rPr>
          <w:b/>
          <w:bCs/>
          <w:sz w:val="24"/>
          <w:szCs w:val="24"/>
        </w:rPr>
      </w:pPr>
      <w:r w:rsidRPr="0060513C">
        <w:rPr>
          <w:b/>
          <w:bCs/>
          <w:sz w:val="24"/>
          <w:szCs w:val="24"/>
        </w:rPr>
        <w:t>Supplemental Figures</w:t>
      </w:r>
    </w:p>
    <w:p w:rsidR="00AB1CF1" w:rsidRDefault="00AB1CF1" w:rsidP="00AB1CF1">
      <w:pPr>
        <w:spacing w:after="240" w:line="480" w:lineRule="auto"/>
        <w:contextualSpacing/>
        <w:jc w:val="center"/>
        <w:rPr>
          <w:b/>
          <w:bCs/>
          <w:lang w:bidi="en-US"/>
        </w:rPr>
      </w:pPr>
      <w:r>
        <w:rPr>
          <w:noProof/>
        </w:rPr>
        <w:lastRenderedPageBreak/>
        <w:drawing>
          <wp:inline distT="0" distB="0" distL="0" distR="0" wp14:anchorId="2D014228" wp14:editId="2453BED1">
            <wp:extent cx="3429635" cy="3835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16116"/>
                    <a:stretch/>
                  </pic:blipFill>
                  <pic:spPr bwMode="auto">
                    <a:xfrm>
                      <a:off x="0" y="0"/>
                      <a:ext cx="3429635" cy="3835730"/>
                    </a:xfrm>
                    <a:prstGeom prst="rect">
                      <a:avLst/>
                    </a:prstGeom>
                    <a:noFill/>
                    <a:ln>
                      <a:noFill/>
                    </a:ln>
                    <a:extLst>
                      <a:ext uri="{53640926-AAD7-44D8-BBD7-CCE9431645EC}">
                        <a14:shadowObscured xmlns:a14="http://schemas.microsoft.com/office/drawing/2010/main"/>
                      </a:ext>
                    </a:extLst>
                  </pic:spPr>
                </pic:pic>
              </a:graphicData>
            </a:graphic>
          </wp:inline>
        </w:drawing>
      </w:r>
    </w:p>
    <w:p w:rsidR="00AB1CF1" w:rsidRDefault="00AB1CF1" w:rsidP="00AB1CF1">
      <w:pPr>
        <w:spacing w:after="240" w:line="480" w:lineRule="auto"/>
        <w:contextualSpacing/>
        <w:jc w:val="both"/>
        <w:rPr>
          <w:lang w:bidi="en-US"/>
        </w:rPr>
      </w:pPr>
      <w:r w:rsidRPr="00331B4A">
        <w:rPr>
          <w:b/>
          <w:bCs/>
          <w:lang w:bidi="en-US"/>
        </w:rPr>
        <w:t xml:space="preserve">Figure </w:t>
      </w:r>
      <w:r>
        <w:rPr>
          <w:b/>
          <w:bCs/>
          <w:lang w:bidi="en-US"/>
        </w:rPr>
        <w:t>S</w:t>
      </w:r>
      <w:r w:rsidRPr="00331B4A">
        <w:rPr>
          <w:b/>
          <w:bCs/>
          <w:lang w:bidi="en-US"/>
        </w:rPr>
        <w:t>1</w:t>
      </w:r>
      <w:r w:rsidRPr="00331B4A">
        <w:rPr>
          <w:bCs/>
          <w:lang w:bidi="en-US"/>
        </w:rPr>
        <w:t xml:space="preserve">. </w:t>
      </w:r>
      <w:r w:rsidRPr="0060513C">
        <w:rPr>
          <w:b/>
          <w:lang w:bidi="en-US"/>
        </w:rPr>
        <w:t>Imaging cell dynamics</w:t>
      </w:r>
      <w:r>
        <w:rPr>
          <w:b/>
          <w:lang w:bidi="en-US"/>
        </w:rPr>
        <w:t xml:space="preserve"> using DIC</w:t>
      </w:r>
    </w:p>
    <w:p w:rsidR="00AB1CF1" w:rsidRDefault="00AB1CF1" w:rsidP="00AB1CF1">
      <w:pPr>
        <w:spacing w:after="240" w:line="480" w:lineRule="auto"/>
        <w:contextualSpacing/>
        <w:jc w:val="both"/>
        <w:rPr>
          <w:lang w:bidi="en-US"/>
        </w:rPr>
      </w:pPr>
      <w:r w:rsidRPr="00331B4A">
        <w:rPr>
          <w:lang w:bidi="en-US"/>
        </w:rPr>
        <w:t>(</w:t>
      </w:r>
      <w:r>
        <w:rPr>
          <w:lang w:bidi="en-US"/>
        </w:rPr>
        <w:t>a</w:t>
      </w:r>
      <w:r w:rsidRPr="00331B4A">
        <w:rPr>
          <w:lang w:bidi="en-US"/>
        </w:rPr>
        <w:t xml:space="preserve">) DIC image of </w:t>
      </w:r>
      <w:r w:rsidRPr="00331B4A">
        <w:rPr>
          <w:lang w:val="en-GB"/>
        </w:rPr>
        <w:t xml:space="preserve">a </w:t>
      </w:r>
      <w:r w:rsidRPr="00331B4A">
        <w:rPr>
          <w:lang w:bidi="en-US"/>
        </w:rPr>
        <w:t>representative</w:t>
      </w:r>
      <w:r w:rsidRPr="00331B4A">
        <w:rPr>
          <w:lang w:val="en-GB"/>
        </w:rPr>
        <w:t xml:space="preserve"> live </w:t>
      </w:r>
      <w:proofErr w:type="spellStart"/>
      <w:r w:rsidRPr="00331B4A">
        <w:rPr>
          <w:lang w:val="en-GB"/>
        </w:rPr>
        <w:t>Jurkat</w:t>
      </w:r>
      <w:proofErr w:type="spellEnd"/>
      <w:r w:rsidRPr="00331B4A">
        <w:rPr>
          <w:lang w:val="en-GB"/>
        </w:rPr>
        <w:t xml:space="preserve"> cell</w:t>
      </w:r>
      <w:r w:rsidRPr="00331B4A">
        <w:rPr>
          <w:lang w:bidi="en-US"/>
        </w:rPr>
        <w:t>. (</w:t>
      </w:r>
      <w:r>
        <w:rPr>
          <w:lang w:bidi="en-US"/>
        </w:rPr>
        <w:t>b</w:t>
      </w:r>
      <w:r w:rsidRPr="00331B4A">
        <w:rPr>
          <w:lang w:bidi="en-US"/>
        </w:rPr>
        <w:t>) Image (</w:t>
      </w:r>
      <w:r>
        <w:rPr>
          <w:lang w:bidi="en-US"/>
        </w:rPr>
        <w:t>a</w:t>
      </w:r>
      <w:r w:rsidRPr="00331B4A">
        <w:rPr>
          <w:lang w:bidi="en-US"/>
        </w:rPr>
        <w:t xml:space="preserve">) after </w:t>
      </w:r>
      <w:proofErr w:type="spellStart"/>
      <w:r w:rsidRPr="00331B4A">
        <w:rPr>
          <w:lang w:bidi="en-US"/>
        </w:rPr>
        <w:t>thre</w:t>
      </w:r>
      <w:r>
        <w:rPr>
          <w:lang w:bidi="en-US"/>
        </w:rPr>
        <w:t>sholding</w:t>
      </w:r>
      <w:proofErr w:type="spellEnd"/>
      <w:r>
        <w:rPr>
          <w:lang w:bidi="en-US"/>
        </w:rPr>
        <w:t xml:space="preserve"> for object tracking. (c</w:t>
      </w:r>
      <w:r w:rsidRPr="00331B4A">
        <w:rPr>
          <w:lang w:bidi="en-US"/>
        </w:rPr>
        <w:t>) An example of an individual tracked object.</w:t>
      </w:r>
      <w:r>
        <w:rPr>
          <w:lang w:bidi="en-US"/>
        </w:rPr>
        <w:t xml:space="preserve"> </w:t>
      </w:r>
      <w:r w:rsidRPr="00331B4A">
        <w:rPr>
          <w:lang w:bidi="en-US"/>
        </w:rPr>
        <w:t>(</w:t>
      </w:r>
      <w:r>
        <w:rPr>
          <w:lang w:bidi="en-US"/>
        </w:rPr>
        <w:t>d</w:t>
      </w:r>
      <w:r w:rsidRPr="00331B4A">
        <w:rPr>
          <w:lang w:bidi="en-US"/>
        </w:rPr>
        <w:t>) Trajectories of an intracellular particle in an untreated cell (</w:t>
      </w:r>
      <w:r>
        <w:rPr>
          <w:lang w:bidi="en-US"/>
        </w:rPr>
        <w:t xml:space="preserve">100 </w:t>
      </w:r>
      <w:r w:rsidRPr="00331B4A">
        <w:rPr>
          <w:lang w:bidi="en-US"/>
        </w:rPr>
        <w:t>steps). (</w:t>
      </w:r>
      <w:r>
        <w:rPr>
          <w:lang w:bidi="en-US"/>
        </w:rPr>
        <w:t>e</w:t>
      </w:r>
      <w:r w:rsidRPr="00331B4A">
        <w:rPr>
          <w:lang w:bidi="en-US"/>
        </w:rPr>
        <w:t>) Trajectories of an intracellular particle in an ATP-depleted cell (</w:t>
      </w:r>
      <w:r>
        <w:rPr>
          <w:lang w:bidi="en-US"/>
        </w:rPr>
        <w:t xml:space="preserve">100 </w:t>
      </w:r>
      <w:r w:rsidRPr="00331B4A">
        <w:rPr>
          <w:lang w:bidi="en-US"/>
        </w:rPr>
        <w:t>steps).</w:t>
      </w:r>
    </w:p>
    <w:p w:rsidR="00AB1CF1" w:rsidRDefault="00AB1CF1" w:rsidP="00AB1CF1">
      <w:pPr>
        <w:spacing w:after="240" w:line="480" w:lineRule="auto"/>
        <w:contextualSpacing/>
        <w:jc w:val="both"/>
      </w:pPr>
    </w:p>
    <w:p w:rsidR="00AB1CF1" w:rsidRDefault="00AB1CF1" w:rsidP="00AB1CF1">
      <w:pPr>
        <w:spacing w:after="240" w:line="480" w:lineRule="auto"/>
        <w:contextualSpacing/>
        <w:jc w:val="center"/>
      </w:pPr>
      <w:r>
        <w:rPr>
          <w:noProof/>
        </w:rPr>
        <w:lastRenderedPageBreak/>
        <w:drawing>
          <wp:inline distT="0" distB="0" distL="0" distR="0" wp14:anchorId="3BCC19F0" wp14:editId="200BE701">
            <wp:extent cx="5048250" cy="673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3.TIF"/>
                    <pic:cNvPicPr/>
                  </pic:nvPicPr>
                  <pic:blipFill>
                    <a:blip r:embed="rId6">
                      <a:extLst>
                        <a:ext uri="{28A0092B-C50C-407E-A947-70E740481C1C}">
                          <a14:useLocalDpi xmlns:a14="http://schemas.microsoft.com/office/drawing/2010/main" val="0"/>
                        </a:ext>
                      </a:extLst>
                    </a:blip>
                    <a:stretch>
                      <a:fillRect/>
                    </a:stretch>
                  </pic:blipFill>
                  <pic:spPr>
                    <a:xfrm>
                      <a:off x="0" y="0"/>
                      <a:ext cx="5048250" cy="6731000"/>
                    </a:xfrm>
                    <a:prstGeom prst="rect">
                      <a:avLst/>
                    </a:prstGeom>
                  </pic:spPr>
                </pic:pic>
              </a:graphicData>
            </a:graphic>
          </wp:inline>
        </w:drawing>
      </w:r>
    </w:p>
    <w:p w:rsidR="00AB1CF1" w:rsidRPr="002A287B" w:rsidRDefault="00AB1CF1" w:rsidP="00AB1CF1">
      <w:pPr>
        <w:spacing w:line="480" w:lineRule="auto"/>
        <w:jc w:val="both"/>
      </w:pPr>
      <w:r w:rsidRPr="002A287B">
        <w:rPr>
          <w:b/>
          <w:bCs/>
        </w:rPr>
        <w:t>Figure S2</w:t>
      </w:r>
      <w:r w:rsidRPr="002A287B">
        <w:t xml:space="preserve">. </w:t>
      </w:r>
      <w:r w:rsidRPr="002A287B">
        <w:rPr>
          <w:b/>
          <w:bCs/>
        </w:rPr>
        <w:t>DIC microscopy results of intracellular particles motion in live cells before and after 10</w:t>
      </w:r>
      <w:r w:rsidRPr="002A287B">
        <w:rPr>
          <w:rFonts w:cstheme="minorHAnsi"/>
          <w:b/>
          <w:bCs/>
        </w:rPr>
        <w:t>μ</w:t>
      </w:r>
      <w:r w:rsidRPr="002A287B">
        <w:rPr>
          <w:b/>
          <w:bCs/>
        </w:rPr>
        <w:t xml:space="preserve">M </w:t>
      </w:r>
      <w:proofErr w:type="spellStart"/>
      <w:r w:rsidRPr="002A287B">
        <w:rPr>
          <w:b/>
          <w:bCs/>
        </w:rPr>
        <w:t>blebbistatin</w:t>
      </w:r>
      <w:proofErr w:type="spellEnd"/>
      <w:r w:rsidRPr="002A287B">
        <w:rPr>
          <w:b/>
          <w:bCs/>
        </w:rPr>
        <w:t xml:space="preserve"> treatment analyzed by ASD and PSD</w:t>
      </w:r>
      <w:r w:rsidRPr="002A287B">
        <w:t xml:space="preserve"> </w:t>
      </w:r>
    </w:p>
    <w:p w:rsidR="00AB1CF1" w:rsidRPr="002A287B" w:rsidRDefault="00AB1CF1" w:rsidP="00AB1CF1">
      <w:pPr>
        <w:spacing w:line="480" w:lineRule="auto"/>
        <w:jc w:val="both"/>
        <w:rPr>
          <w:rFonts w:eastAsiaTheme="minorEastAsia"/>
        </w:rPr>
      </w:pPr>
      <w:r w:rsidRPr="002A287B">
        <w:t xml:space="preserve">(a) ASD analysis results in (n=30) cells before (blue line) and after (red line) </w:t>
      </w:r>
      <w:proofErr w:type="spellStart"/>
      <w:r w:rsidRPr="002A287B">
        <w:t>blebbistatin</w:t>
      </w:r>
      <w:proofErr w:type="spellEnd"/>
      <w:r w:rsidRPr="002A287B">
        <w:t xml:space="preserve"> treatment and the corresponding power fit parameters. (</w:t>
      </w:r>
      <w:proofErr w:type="gramStart"/>
      <w:r w:rsidRPr="002A287B">
        <w:t>b-e</w:t>
      </w:r>
      <w:proofErr w:type="gramEnd"/>
      <w:r w:rsidRPr="002A287B">
        <w:t xml:space="preserve">) Power fit parameters: </w:t>
      </w:r>
      <w:r w:rsidRPr="002A287B">
        <w:rPr>
          <w:i/>
          <w:iCs/>
        </w:rPr>
        <w:t>a</w:t>
      </w:r>
      <w:r w:rsidRPr="002A287B">
        <w:t xml:space="preserve">, </w:t>
      </w:r>
      <w:r w:rsidRPr="002A287B">
        <w:rPr>
          <w:i/>
          <w:iCs/>
        </w:rPr>
        <w:t>b</w:t>
      </w:r>
      <w:r w:rsidRPr="002A287B">
        <w:t xml:space="preserve">, </w:t>
      </w:r>
      <w:proofErr w:type="spellStart"/>
      <w:r w:rsidRPr="002A287B">
        <w:rPr>
          <w:i/>
          <w:iCs/>
        </w:rPr>
        <w:t>a</w:t>
      </w:r>
      <w:r w:rsidRPr="002A287B">
        <w:rPr>
          <w:rFonts w:cstheme="minorHAnsi"/>
          <w:i/>
          <w:iCs/>
        </w:rPr>
        <w:t>∙</w:t>
      </w:r>
      <w:r w:rsidRPr="002A287B">
        <w:rPr>
          <w:i/>
          <w:iCs/>
        </w:rPr>
        <w:t>b</w:t>
      </w:r>
      <w:proofErr w:type="spellEnd"/>
      <w:r w:rsidRPr="002A287B">
        <w:t xml:space="preserve"> and </w:t>
      </w:r>
      <w:r w:rsidRPr="002A287B">
        <w:rPr>
          <w:i/>
          <w:iCs/>
        </w:rPr>
        <w:lastRenderedPageBreak/>
        <w:t>SSE</w:t>
      </w:r>
      <w:r w:rsidRPr="002A287B">
        <w:t xml:space="preserve"> for the ASD analysis results in the cells (in (a)) before and after </w:t>
      </w:r>
      <w:proofErr w:type="spellStart"/>
      <w:r w:rsidRPr="002A287B">
        <w:t>blebbistatin</w:t>
      </w:r>
      <w:proofErr w:type="spellEnd"/>
      <w:r w:rsidRPr="002A287B">
        <w:t xml:space="preserve"> treatment. (f) Power fit parameter ‘</w:t>
      </w:r>
      <w:r w:rsidRPr="002A287B">
        <w:rPr>
          <w:i/>
          <w:iCs/>
        </w:rPr>
        <w:t>Sum of powers</w:t>
      </w:r>
      <w:r w:rsidRPr="002A287B">
        <w:t xml:space="preserve">’ for the PSD analysis results in the cells (in (a)) before and after </w:t>
      </w:r>
      <w:proofErr w:type="spellStart"/>
      <w:r w:rsidRPr="002A287B">
        <w:t>blebbistatin</w:t>
      </w:r>
      <w:proofErr w:type="spellEnd"/>
      <w:r w:rsidRPr="002A287B">
        <w:t xml:space="preserve"> treatment. Error bars in </w:t>
      </w:r>
      <w:proofErr w:type="gramStart"/>
      <w:r w:rsidRPr="002A287B">
        <w:t>panels</w:t>
      </w:r>
      <w:proofErr w:type="gramEnd"/>
      <w:r w:rsidRPr="002A287B">
        <w:t xml:space="preserve"> b-f are SEM.</w:t>
      </w:r>
    </w:p>
    <w:p w:rsidR="00AB1CF1" w:rsidRDefault="00AB1CF1"/>
    <w:p w:rsidR="00AB1CF1" w:rsidRDefault="00AB1CF1"/>
    <w:p w:rsidR="00AB1CF1" w:rsidRDefault="00AB1CF1"/>
    <w:p w:rsidR="00AB1CF1" w:rsidRDefault="00AB1CF1"/>
    <w:p w:rsidR="00AB1CF1" w:rsidRDefault="00AB1CF1"/>
    <w:sectPr w:rsidR="00AB1C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F1"/>
    <w:rsid w:val="009851DF"/>
    <w:rsid w:val="00AB1CF1"/>
    <w:rsid w:val="00F37015"/>
    <w:rsid w:val="00F531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1">
    <w:name w:val="meth1"/>
    <w:basedOn w:val="Normal"/>
    <w:rsid w:val="00AB1CF1"/>
    <w:pPr>
      <w:spacing w:after="240" w:line="480" w:lineRule="atLeast"/>
      <w:ind w:firstLine="567"/>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AB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1">
    <w:name w:val="meth1"/>
    <w:basedOn w:val="Normal"/>
    <w:rsid w:val="00AB1CF1"/>
    <w:pPr>
      <w:spacing w:after="240" w:line="480" w:lineRule="atLeast"/>
      <w:ind w:firstLine="567"/>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AB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ishaywohl@gmail.com</dc:creator>
  <cp:lastModifiedBy>ishaywohl@gmail.com</cp:lastModifiedBy>
  <cp:revision>2</cp:revision>
  <dcterms:created xsi:type="dcterms:W3CDTF">2021-05-09T16:06:00Z</dcterms:created>
  <dcterms:modified xsi:type="dcterms:W3CDTF">2021-05-12T06:31:00Z</dcterms:modified>
</cp:coreProperties>
</file>