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929BD" w14:textId="436D9F91" w:rsidR="00BB75CE" w:rsidRDefault="00654E8F" w:rsidP="00CC57B2">
      <w:pPr>
        <w:pStyle w:val="SupplementaryMaterial"/>
      </w:pPr>
      <w:r w:rsidRPr="001549D3">
        <w:t>Supplementary Material</w:t>
      </w:r>
    </w:p>
    <w:p w14:paraId="05F2D80E" w14:textId="082AA6E7" w:rsidR="00BB75CE" w:rsidRDefault="005C3FAA" w:rsidP="00BB75CE">
      <w:r w:rsidRPr="005C3FAA">
        <w:rPr>
          <w:noProof/>
        </w:rPr>
        <w:drawing>
          <wp:inline distT="0" distB="0" distL="0" distR="0" wp14:anchorId="6699B16A" wp14:editId="5BFF99D5">
            <wp:extent cx="3760086" cy="471424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B2C4006-A447-D24A-B419-3227473ED6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B2C4006-A447-D24A-B419-3227473ED6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3011" cy="484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3FAA" w:rsidDel="00A31883">
        <w:t xml:space="preserve"> </w:t>
      </w:r>
    </w:p>
    <w:p w14:paraId="6CB43492" w14:textId="6751AD2E" w:rsidR="00330941" w:rsidRDefault="00330941" w:rsidP="0019450C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Flow cytometry analysis of cell surface markers of Flt3L-derived DC cultures</w:t>
      </w:r>
      <w:r w:rsidR="00E82A96">
        <w:rPr>
          <w:rFonts w:cs="Times New Roman"/>
          <w:szCs w:val="24"/>
        </w:rPr>
        <w:t xml:space="preserve"> (unsorted)</w:t>
      </w:r>
      <w:r>
        <w:rPr>
          <w:rFonts w:cs="Times New Roman"/>
          <w:szCs w:val="24"/>
        </w:rPr>
        <w:t xml:space="preserve"> infected with PRRSV1.1 strain 3267. </w:t>
      </w:r>
    </w:p>
    <w:p w14:paraId="338405DA" w14:textId="67C84C4E" w:rsidR="00330941" w:rsidRDefault="0042165C" w:rsidP="0019450C">
      <w:pPr>
        <w:pStyle w:val="ListParagraph"/>
        <w:numPr>
          <w:ilvl w:val="0"/>
          <w:numId w:val="20"/>
        </w:numPr>
        <w:jc w:val="both"/>
      </w:pPr>
      <w:r>
        <w:t>Most of infected cells were CD14</w:t>
      </w:r>
      <w:r w:rsidRPr="0091110A">
        <w:rPr>
          <w:vertAlign w:val="superscript"/>
        </w:rPr>
        <w:t>–</w:t>
      </w:r>
      <w:r>
        <w:t xml:space="preserve">. </w:t>
      </w:r>
      <w:r w:rsidRPr="00330941">
        <w:t>Flt3L-derived DCs</w:t>
      </w:r>
      <w:r>
        <w:t xml:space="preserve"> (</w:t>
      </w:r>
      <w:r w:rsidRPr="00330941">
        <w:t>unsorted</w:t>
      </w:r>
      <w:r>
        <w:t xml:space="preserve">) </w:t>
      </w:r>
      <w:r w:rsidRPr="00330941">
        <w:t>after infection with PRRSV1.1 strain 3267</w:t>
      </w:r>
      <w:r>
        <w:t xml:space="preserve"> were labeled for </w:t>
      </w:r>
      <w:r w:rsidR="00330941">
        <w:t>PRRSV1 nucleocapsid</w:t>
      </w:r>
      <w:r w:rsidR="002C2EFF">
        <w:t xml:space="preserve"> (N)</w:t>
      </w:r>
      <w:r w:rsidR="00330941">
        <w:t xml:space="preserve"> (X-axis) </w:t>
      </w:r>
      <w:r>
        <w:t>and</w:t>
      </w:r>
      <w:r w:rsidR="00330941">
        <w:t xml:space="preserve"> CD14 </w:t>
      </w:r>
      <w:r w:rsidR="00E82A96">
        <w:t>(Y-axis)</w:t>
      </w:r>
      <w:r>
        <w:t xml:space="preserve"> (double labeling);</w:t>
      </w:r>
      <w:r w:rsidR="00E82A96">
        <w:t xml:space="preserve"> </w:t>
      </w:r>
    </w:p>
    <w:p w14:paraId="1E7C3833" w14:textId="02367505" w:rsidR="00194EE4" w:rsidRDefault="00330941" w:rsidP="0019450C">
      <w:pPr>
        <w:pStyle w:val="ListParagraph"/>
        <w:numPr>
          <w:ilvl w:val="0"/>
          <w:numId w:val="20"/>
        </w:numPr>
        <w:jc w:val="both"/>
      </w:pPr>
      <w:r w:rsidRPr="00330941">
        <w:t>CD14</w:t>
      </w:r>
      <w:r w:rsidRPr="00194EE4">
        <w:rPr>
          <w:vertAlign w:val="superscript"/>
        </w:rPr>
        <w:t>+</w:t>
      </w:r>
      <w:r w:rsidRPr="00330941">
        <w:t xml:space="preserve"> cells </w:t>
      </w:r>
      <w:r w:rsidR="00E82A96">
        <w:t xml:space="preserve">(X-axis) </w:t>
      </w:r>
      <w:r w:rsidR="0042165C">
        <w:t xml:space="preserve">decreased </w:t>
      </w:r>
      <w:r w:rsidRPr="00330941">
        <w:t>in Flt3L-derived DCs</w:t>
      </w:r>
      <w:r w:rsidR="00E82A96">
        <w:t xml:space="preserve"> (</w:t>
      </w:r>
      <w:r w:rsidR="00E82A96" w:rsidRPr="00330941">
        <w:t>unsorted</w:t>
      </w:r>
      <w:r w:rsidR="00E82A96">
        <w:t>)</w:t>
      </w:r>
      <w:r w:rsidRPr="00330941">
        <w:t xml:space="preserve"> </w:t>
      </w:r>
      <w:r w:rsidR="0042165C">
        <w:t>infected by</w:t>
      </w:r>
      <w:r w:rsidRPr="00330941">
        <w:t xml:space="preserve"> PRRSV1.1 strain 3267</w:t>
      </w:r>
      <w:r w:rsidR="0042165C">
        <w:t xml:space="preserve">. </w:t>
      </w:r>
      <w:r w:rsidR="002C442F">
        <w:t xml:space="preserve">A single labeling was performed. </w:t>
      </w:r>
      <w:r w:rsidR="0042165C">
        <w:t>The</w:t>
      </w:r>
      <w:r w:rsidRPr="00330941">
        <w:t xml:space="preserve"> proportion of </w:t>
      </w:r>
      <w:r w:rsidR="0042165C" w:rsidRPr="00330941">
        <w:t>CD14</w:t>
      </w:r>
      <w:r w:rsidR="0042165C" w:rsidRPr="00194EE4">
        <w:rPr>
          <w:vertAlign w:val="superscript"/>
        </w:rPr>
        <w:t>+</w:t>
      </w:r>
      <w:r w:rsidRPr="00330941">
        <w:t xml:space="preserve"> cells </w:t>
      </w:r>
      <w:r w:rsidR="0042165C">
        <w:t xml:space="preserve">were </w:t>
      </w:r>
      <w:r w:rsidRPr="00330941">
        <w:t>marked by a red circle. Left: expression of CD14  in the cultures before infection; Middle: expression of CD14 in the</w:t>
      </w:r>
      <w:r w:rsidR="00E82A96">
        <w:t xml:space="preserve"> mock-infected</w:t>
      </w:r>
      <w:r w:rsidRPr="0091110A">
        <w:t xml:space="preserve"> </w:t>
      </w:r>
      <w:r w:rsidRPr="00330941">
        <w:t>cultures after 48 h of incubation; Right: proportion of CD14</w:t>
      </w:r>
      <w:r w:rsidRPr="00194EE4">
        <w:rPr>
          <w:vertAlign w:val="superscript"/>
        </w:rPr>
        <w:t>+</w:t>
      </w:r>
      <w:r w:rsidRPr="00330941">
        <w:t xml:space="preserve"> cells in the infected cultures after 48 h of incubation</w:t>
      </w:r>
      <w:r w:rsidR="00E82A96">
        <w:t xml:space="preserve">. </w:t>
      </w:r>
      <w:r w:rsidR="003F2B5A">
        <w:t>Channel APC (</w:t>
      </w:r>
      <w:r w:rsidR="00E82A96">
        <w:t>Y-axis</w:t>
      </w:r>
      <w:r w:rsidR="003F2B5A">
        <w:t xml:space="preserve">, </w:t>
      </w:r>
      <w:r w:rsidR="00A31883">
        <w:t>not occupied</w:t>
      </w:r>
      <w:r w:rsidR="003F2B5A">
        <w:t>) was combined to well present the plot;</w:t>
      </w:r>
      <w:r w:rsidR="00E82A96">
        <w:t xml:space="preserve"> </w:t>
      </w:r>
    </w:p>
    <w:p w14:paraId="5AAE6CF8" w14:textId="18773001" w:rsidR="00BB75CE" w:rsidRPr="00BB75CE" w:rsidRDefault="0019450C" w:rsidP="00CC57B2">
      <w:pPr>
        <w:pStyle w:val="ListParagraph"/>
        <w:numPr>
          <w:ilvl w:val="0"/>
          <w:numId w:val="20"/>
        </w:numPr>
        <w:jc w:val="both"/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6C078" wp14:editId="66049D7A">
                <wp:simplePos x="0" y="0"/>
                <wp:positionH relativeFrom="column">
                  <wp:posOffset>2893766</wp:posOffset>
                </wp:positionH>
                <wp:positionV relativeFrom="paragraph">
                  <wp:posOffset>461010</wp:posOffset>
                </wp:positionV>
                <wp:extent cx="283535" cy="0"/>
                <wp:effectExtent l="0" t="63500" r="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5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9849E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27.85pt;margin-top:36.3pt;width:22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" strokecolor="black [3213]">
                <v:stroke endarrow="block"/>
              </v:shape>
            </w:pict>
          </mc:Fallback>
        </mc:AlternateContent>
      </w:r>
      <w:r w:rsidR="00194EE4" w:rsidRPr="00543867">
        <w:rPr>
          <w:lang w:val="en-GB"/>
        </w:rPr>
        <w:t>Phenotype of</w:t>
      </w:r>
      <w:r w:rsidR="00F139DF" w:rsidRPr="00543867">
        <w:rPr>
          <w:lang w:val="en-GB"/>
        </w:rPr>
        <w:t xml:space="preserve"> the</w:t>
      </w:r>
      <w:r w:rsidR="00194EE4" w:rsidRPr="00543867">
        <w:rPr>
          <w:lang w:val="en-GB"/>
        </w:rPr>
        <w:t xml:space="preserve"> infected </w:t>
      </w:r>
      <w:r w:rsidR="00194EE4" w:rsidRPr="00543867">
        <w:t>Flt3L-derived DC</w:t>
      </w:r>
      <w:r w:rsidR="00194EE4">
        <w:t>s</w:t>
      </w:r>
      <w:r w:rsidR="00543867">
        <w:t xml:space="preserve"> (</w:t>
      </w:r>
      <w:r w:rsidR="00E82A96" w:rsidRPr="00330941">
        <w:t>unsorted</w:t>
      </w:r>
      <w:r w:rsidR="00E82A96">
        <w:t xml:space="preserve">; </w:t>
      </w:r>
      <w:r w:rsidR="00543867">
        <w:t>MOI 0.1, 48 h)</w:t>
      </w:r>
      <w:r w:rsidR="00194EE4">
        <w:t>.</w:t>
      </w:r>
      <w:r w:rsidR="00F139DF" w:rsidRPr="00F139DF">
        <w:t xml:space="preserve"> </w:t>
      </w:r>
      <w:r w:rsidR="00F139DF">
        <w:t xml:space="preserve">Cells were stained for </w:t>
      </w:r>
      <w:r w:rsidR="00F139DF" w:rsidRPr="00C53A94">
        <w:t>PRRSV1, CD14</w:t>
      </w:r>
      <w:r w:rsidR="00F139DF">
        <w:t>,</w:t>
      </w:r>
      <w:r w:rsidR="00F139DF" w:rsidRPr="00C53A94">
        <w:t xml:space="preserve"> and a third molecule (MHC-II, DEC205, CD163, CD172a, CD11R1, or CD11R3).</w:t>
      </w:r>
      <w:r>
        <w:t xml:space="preserve"> Gating strategy: PRRSV1 N</w:t>
      </w:r>
      <w:r w:rsidRPr="0019450C">
        <w:rPr>
          <w:vertAlign w:val="superscript"/>
        </w:rPr>
        <w:t>+</w:t>
      </w:r>
      <w:r>
        <w:t xml:space="preserve">          </w:t>
      </w:r>
      <w:r w:rsidR="00E82A96">
        <w:t xml:space="preserve"> </w:t>
      </w:r>
      <w:r>
        <w:t>CD14</w:t>
      </w:r>
      <w:r w:rsidR="00E82A96">
        <w:t xml:space="preserve"> (X-axis)</w:t>
      </w:r>
      <w:r>
        <w:t xml:space="preserve"> versus</w:t>
      </w:r>
      <w:r w:rsidRPr="0019450C">
        <w:t xml:space="preserve"> </w:t>
      </w:r>
      <w:r w:rsidRPr="00C53A94">
        <w:t xml:space="preserve">MHC-II, DEC205, CD163, CD172a, CD11R1, </w:t>
      </w:r>
      <w:r w:rsidR="00E82A96">
        <w:t>and</w:t>
      </w:r>
      <w:r w:rsidR="00E82A96" w:rsidRPr="00C53A94">
        <w:t xml:space="preserve"> </w:t>
      </w:r>
      <w:r w:rsidRPr="00C53A94">
        <w:t>CD11R3</w:t>
      </w:r>
      <w:r>
        <w:t xml:space="preserve"> </w:t>
      </w:r>
      <w:r w:rsidR="00E82A96">
        <w:t>(Y-axis).</w:t>
      </w:r>
    </w:p>
    <w:p w14:paraId="5E470BB1" w14:textId="2F794FC2" w:rsidR="001F2172" w:rsidRDefault="001F2172" w:rsidP="00A034F9">
      <w:pPr>
        <w:keepNext/>
        <w:jc w:val="both"/>
        <w:rPr>
          <w:rFonts w:cs="Times New Roman"/>
          <w:b/>
          <w:szCs w:val="24"/>
        </w:rPr>
      </w:pPr>
      <w:r w:rsidRPr="001F2172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6C924569" wp14:editId="6953DEE6">
            <wp:extent cx="4838700" cy="3568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919AD" w14:textId="339DBAF6" w:rsidR="001F2172" w:rsidRDefault="00330941" w:rsidP="00CC57B2">
      <w:pPr>
        <w:jc w:val="both"/>
        <w:rPr>
          <w:szCs w:val="24"/>
        </w:rPr>
      </w:pPr>
      <w:r w:rsidRPr="00330941">
        <w:rPr>
          <w:b/>
          <w:bCs/>
          <w:lang w:val="en-GB"/>
        </w:rPr>
        <w:t>Supplementary Figure S2.</w:t>
      </w:r>
      <w:r w:rsidRPr="008F2423">
        <w:rPr>
          <w:lang w:val="en-GB"/>
        </w:rPr>
        <w:t xml:space="preserve"> Uptake of dextran-FITC (upper) and phagocytic capabilities (lower, Alexa Fluor 488-labeled </w:t>
      </w:r>
      <w:r w:rsidRPr="00194EE4">
        <w:rPr>
          <w:i/>
          <w:iCs/>
          <w:lang w:val="en-GB"/>
        </w:rPr>
        <w:t>S. aureus</w:t>
      </w:r>
      <w:r w:rsidRPr="008F2423">
        <w:rPr>
          <w:lang w:val="en-GB"/>
        </w:rPr>
        <w:t xml:space="preserve"> phagocytosis) of cDC2</w:t>
      </w:r>
      <w:r w:rsidR="00194EE4">
        <w:rPr>
          <w:lang w:val="en-GB"/>
        </w:rPr>
        <w:t xml:space="preserve"> (left)</w:t>
      </w:r>
      <w:r w:rsidRPr="008F2423">
        <w:rPr>
          <w:lang w:val="en-GB"/>
        </w:rPr>
        <w:t xml:space="preserve"> and CD14</w:t>
      </w:r>
      <w:r w:rsidRPr="00194EE4">
        <w:rPr>
          <w:vertAlign w:val="superscript"/>
          <w:lang w:val="en-GB"/>
        </w:rPr>
        <w:t>+</w:t>
      </w:r>
      <w:r w:rsidRPr="008F2423">
        <w:rPr>
          <w:lang w:val="en-GB"/>
        </w:rPr>
        <w:t xml:space="preserve"> DCs</w:t>
      </w:r>
      <w:r w:rsidR="00194EE4">
        <w:rPr>
          <w:lang w:val="en-GB"/>
        </w:rPr>
        <w:t xml:space="preserve"> (right)</w:t>
      </w:r>
      <w:r w:rsidRPr="008F2423">
        <w:rPr>
          <w:lang w:val="en-GB"/>
        </w:rPr>
        <w:t xml:space="preserve"> after exposure to PRRSV1.</w:t>
      </w:r>
      <w:r w:rsidR="00194EE4">
        <w:rPr>
          <w:lang w:val="en-GB"/>
        </w:rPr>
        <w:t xml:space="preserve"> For</w:t>
      </w:r>
      <w:r w:rsidR="00194EE4" w:rsidRPr="00194EE4">
        <w:rPr>
          <w:lang w:val="en-GB"/>
        </w:rPr>
        <w:t xml:space="preserve"> </w:t>
      </w:r>
      <w:r w:rsidR="00194EE4" w:rsidRPr="008F2423">
        <w:rPr>
          <w:lang w:val="en-GB"/>
        </w:rPr>
        <w:t>dextran-FITC (upper)</w:t>
      </w:r>
      <w:r w:rsidR="00194EE4">
        <w:rPr>
          <w:lang w:val="en-GB"/>
        </w:rPr>
        <w:t>, r</w:t>
      </w:r>
      <w:r w:rsidR="00194EE4" w:rsidRPr="00194EE4">
        <w:rPr>
          <w:lang w:val="en-GB"/>
        </w:rPr>
        <w:t xml:space="preserve">esults are depicted as </w:t>
      </w:r>
      <w:r w:rsidR="00194EE4" w:rsidRPr="00194EE4">
        <w:rPr>
          <w:rFonts w:ascii="Cambria Math" w:hAnsi="Cambria Math" w:cs="Cambria Math"/>
          <w:lang w:val="en-GB"/>
        </w:rPr>
        <w:t>△</w:t>
      </w:r>
      <w:r w:rsidR="00194EE4" w:rsidRPr="00194EE4">
        <w:rPr>
          <w:lang w:val="en-GB"/>
        </w:rPr>
        <w:t xml:space="preserve">median fluorescence intensity (ΔMFI) by subtracting MFI of cells incubated on ice from MFI of cells incubated at 37°C (data are the means of </w:t>
      </w:r>
      <w:r w:rsidR="00194EE4">
        <w:rPr>
          <w:lang w:val="en-GB"/>
        </w:rPr>
        <w:t>three</w:t>
      </w:r>
      <w:r w:rsidR="00194EE4" w:rsidRPr="00194EE4">
        <w:rPr>
          <w:lang w:val="en-GB"/>
        </w:rPr>
        <w:t xml:space="preserve"> pigs). </w:t>
      </w:r>
      <w:r w:rsidR="00194EE4" w:rsidRPr="008F2423">
        <w:rPr>
          <w:lang w:val="en-GB"/>
        </w:rPr>
        <w:t xml:space="preserve">For the phagocytosis of </w:t>
      </w:r>
      <w:r w:rsidR="00194EE4" w:rsidRPr="00194EE4">
        <w:rPr>
          <w:i/>
          <w:iCs/>
          <w:lang w:val="en-GB"/>
        </w:rPr>
        <w:t>S. aureus</w:t>
      </w:r>
      <w:r w:rsidR="00194EE4">
        <w:rPr>
          <w:lang w:val="en-GB"/>
        </w:rPr>
        <w:t>, r</w:t>
      </w:r>
      <w:r w:rsidR="00194EE4" w:rsidRPr="00194EE4">
        <w:rPr>
          <w:lang w:val="en-GB"/>
        </w:rPr>
        <w:t xml:space="preserve">esults are depicted as </w:t>
      </w:r>
      <w:r w:rsidR="00194EE4">
        <w:rPr>
          <w:lang w:val="en-GB"/>
        </w:rPr>
        <w:t xml:space="preserve">proportion of </w:t>
      </w:r>
      <w:r w:rsidR="00194EE4" w:rsidRPr="00194EE4">
        <w:rPr>
          <w:lang w:val="en-GB"/>
        </w:rPr>
        <w:t xml:space="preserve">cells positive </w:t>
      </w:r>
      <w:r w:rsidR="00194EE4">
        <w:rPr>
          <w:lang w:val="en-GB"/>
        </w:rPr>
        <w:t xml:space="preserve">of Alexa Fluor 488. </w:t>
      </w:r>
      <w:r w:rsidR="00194EE4" w:rsidRPr="008F2423">
        <w:rPr>
          <w:lang w:val="en-GB"/>
        </w:rPr>
        <w:t xml:space="preserve">In this case, two controls were included, cells incubated on ice and cells that were not exposed to the virus. </w:t>
      </w:r>
      <w:r w:rsidR="00194EE4">
        <w:rPr>
          <w:lang w:val="en-GB"/>
        </w:rPr>
        <w:t>n</w:t>
      </w:r>
      <w:r w:rsidR="00194EE4" w:rsidRPr="008F2423">
        <w:rPr>
          <w:lang w:val="en-GB"/>
        </w:rPr>
        <w:t>s</w:t>
      </w:r>
      <w:r w:rsidR="00194EE4">
        <w:rPr>
          <w:lang w:val="en-GB"/>
        </w:rPr>
        <w:t xml:space="preserve"> </w:t>
      </w:r>
      <w:r w:rsidR="00194EE4" w:rsidRPr="008F2423">
        <w:rPr>
          <w:lang w:val="en-GB"/>
        </w:rPr>
        <w:t>=</w:t>
      </w:r>
      <w:r w:rsidR="00194EE4">
        <w:rPr>
          <w:lang w:val="en-GB"/>
        </w:rPr>
        <w:t xml:space="preserve"> </w:t>
      </w:r>
      <w:r w:rsidR="00194EE4" w:rsidRPr="008F2423">
        <w:rPr>
          <w:lang w:val="en-GB"/>
        </w:rPr>
        <w:t>non-significant differences.</w:t>
      </w:r>
    </w:p>
    <w:p w14:paraId="6B546269" w14:textId="750D8434" w:rsidR="002E6261" w:rsidRPr="00CC57B2" w:rsidRDefault="00BB1AFD" w:rsidP="0072029D">
      <w:pPr>
        <w:jc w:val="both"/>
        <w:rPr>
          <w:b/>
          <w:bCs/>
          <w:lang w:val="en-GB"/>
        </w:rPr>
      </w:pPr>
      <w:r w:rsidRPr="00BB1AFD">
        <w:rPr>
          <w:b/>
          <w:bCs/>
          <w:noProof/>
        </w:rPr>
        <w:lastRenderedPageBreak/>
        <w:drawing>
          <wp:inline distT="0" distB="0" distL="0" distR="0" wp14:anchorId="216C1684" wp14:editId="67E6B2A6">
            <wp:extent cx="6208395" cy="3091180"/>
            <wp:effectExtent l="0" t="0" r="1905" b="0"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883469B-9066-FE4D-82E3-C11A0541E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883469B-9066-FE4D-82E3-C11A0541E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1E6" w:rsidRPr="00194EE4">
        <w:rPr>
          <w:b/>
          <w:bCs/>
          <w:lang w:val="en-GB"/>
        </w:rPr>
        <w:t>Supplementary Figure S</w:t>
      </w:r>
      <w:r>
        <w:rPr>
          <w:b/>
          <w:bCs/>
          <w:lang w:val="en-GB"/>
        </w:rPr>
        <w:t>3</w:t>
      </w:r>
      <w:r w:rsidR="005771E6" w:rsidRPr="00194EE4">
        <w:rPr>
          <w:b/>
          <w:bCs/>
          <w:lang w:val="en-GB"/>
        </w:rPr>
        <w:t>.</w:t>
      </w:r>
      <w:r w:rsidR="005771E6" w:rsidRPr="001C1F55">
        <w:rPr>
          <w:lang w:val="en-GB"/>
        </w:rPr>
        <w:t xml:space="preserve"> </w:t>
      </w:r>
      <w:r w:rsidRPr="00BB1AFD">
        <w:t xml:space="preserve">Gating strategy of allogeneic T cell proliferation assay. PBMCs from specific-pathogen free (SPF) pigs were stained with </w:t>
      </w:r>
      <w:proofErr w:type="spellStart"/>
      <w:r w:rsidRPr="00BB1AFD">
        <w:t>CellTrace</w:t>
      </w:r>
      <w:proofErr w:type="spellEnd"/>
      <w:r w:rsidRPr="00BB1AFD">
        <w:t xml:space="preserve"> Violet, then mixed with allogeneic DC populations (cDC1 and cDC2, or CD14</w:t>
      </w:r>
      <w:r w:rsidRPr="00BB1AFD">
        <w:rPr>
          <w:vertAlign w:val="superscript"/>
        </w:rPr>
        <w:t>+</w:t>
      </w:r>
      <w:r w:rsidRPr="00BB1AFD">
        <w:t xml:space="preserve"> DCs) at an APC:T cell ratio of 1:5. The mixtures were cultured for 5 days at 37°C before staining with anti-CD3, anti-CD4, and anti-CD8a antibodies. Proliferation of CD4</w:t>
      </w:r>
      <w:r w:rsidRPr="00BB1AFD">
        <w:rPr>
          <w:vertAlign w:val="superscript"/>
        </w:rPr>
        <w:t>+</w:t>
      </w:r>
      <w:r w:rsidRPr="00BB1AFD">
        <w:t>CD8α</w:t>
      </w:r>
      <w:r w:rsidRPr="00BB1AFD">
        <w:rPr>
          <w:vertAlign w:val="superscript"/>
        </w:rPr>
        <w:t>−</w:t>
      </w:r>
      <w:r w:rsidRPr="00BB1AFD">
        <w:t>, CD4</w:t>
      </w:r>
      <w:r w:rsidRPr="00BB1AFD">
        <w:rPr>
          <w:vertAlign w:val="superscript"/>
        </w:rPr>
        <w:t>−</w:t>
      </w:r>
      <w:r w:rsidRPr="00BB1AFD">
        <w:t>CD8α</w:t>
      </w:r>
      <w:r w:rsidRPr="00BB1AFD">
        <w:rPr>
          <w:vertAlign w:val="superscript"/>
        </w:rPr>
        <w:t>+</w:t>
      </w:r>
      <w:r w:rsidRPr="00BB1AFD">
        <w:t>, CD4</w:t>
      </w:r>
      <w:r w:rsidRPr="00BB1AFD">
        <w:rPr>
          <w:vertAlign w:val="superscript"/>
        </w:rPr>
        <w:t>+</w:t>
      </w:r>
      <w:r w:rsidRPr="00BB1AFD">
        <w:t>CD8α</w:t>
      </w:r>
      <w:r w:rsidRPr="00BB1AFD">
        <w:rPr>
          <w:vertAlign w:val="superscript"/>
        </w:rPr>
        <w:t>+</w:t>
      </w:r>
      <w:r w:rsidRPr="00BB1AFD">
        <w:t>, and CD4</w:t>
      </w:r>
      <w:r w:rsidRPr="00BB1AFD">
        <w:rPr>
          <w:vertAlign w:val="superscript"/>
        </w:rPr>
        <w:t>–</w:t>
      </w:r>
      <w:r w:rsidRPr="00BB1AFD">
        <w:t>CD8α</w:t>
      </w:r>
      <w:r w:rsidRPr="00BB1AFD">
        <w:rPr>
          <w:vertAlign w:val="superscript"/>
        </w:rPr>
        <w:t>–</w:t>
      </w:r>
      <w:r w:rsidRPr="00BB1AFD">
        <w:t xml:space="preserve"> T cells was assessed by the percentage of cells with </w:t>
      </w:r>
      <w:proofErr w:type="spellStart"/>
      <w:r w:rsidRPr="00BB1AFD">
        <w:t>CellTrace</w:t>
      </w:r>
      <w:proofErr w:type="spellEnd"/>
      <w:r w:rsidRPr="00BB1AFD">
        <w:t xml:space="preserve"> </w:t>
      </w:r>
      <w:proofErr w:type="spellStart"/>
      <w:r w:rsidRPr="00BB1AFD">
        <w:t>Violet</w:t>
      </w:r>
      <w:r w:rsidRPr="00BB1AFD">
        <w:rPr>
          <w:vertAlign w:val="superscript"/>
        </w:rPr>
        <w:t>low</w:t>
      </w:r>
      <w:proofErr w:type="spellEnd"/>
      <w:r w:rsidRPr="00BB1AFD">
        <w:rPr>
          <w:vertAlign w:val="superscript"/>
        </w:rPr>
        <w:t xml:space="preserve"> </w:t>
      </w:r>
      <w:r w:rsidRPr="00BB1AFD">
        <w:t>in the corresponding gate by flow cytometry.</w:t>
      </w:r>
    </w:p>
    <w:sectPr w:rsidR="002E6261" w:rsidRPr="00CC57B2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A97C4" w14:textId="77777777" w:rsidR="00A67DF5" w:rsidRDefault="00A67DF5" w:rsidP="00117666">
      <w:pPr>
        <w:spacing w:after="0"/>
      </w:pPr>
      <w:r>
        <w:separator/>
      </w:r>
    </w:p>
  </w:endnote>
  <w:endnote w:type="continuationSeparator" w:id="0">
    <w:p w14:paraId="475580C5" w14:textId="77777777" w:rsidR="00A67DF5" w:rsidRDefault="00A67DF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DE376" w14:textId="77777777" w:rsidR="00A67DF5" w:rsidRDefault="00A67DF5" w:rsidP="00117666">
      <w:pPr>
        <w:spacing w:after="0"/>
      </w:pPr>
      <w:r>
        <w:separator/>
      </w:r>
    </w:p>
  </w:footnote>
  <w:footnote w:type="continuationSeparator" w:id="0">
    <w:p w14:paraId="735A7890" w14:textId="77777777" w:rsidR="00A67DF5" w:rsidRDefault="00A67DF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5B7257"/>
    <w:multiLevelType w:val="hybridMultilevel"/>
    <w:tmpl w:val="95E01CB0"/>
    <w:lvl w:ilvl="0" w:tplc="77D242C6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E66CCB"/>
    <w:multiLevelType w:val="hybridMultilevel"/>
    <w:tmpl w:val="730CEF1A"/>
    <w:lvl w:ilvl="0" w:tplc="6C1C0528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620A"/>
    <w:rsid w:val="00052A14"/>
    <w:rsid w:val="00077D53"/>
    <w:rsid w:val="00105FD9"/>
    <w:rsid w:val="00117666"/>
    <w:rsid w:val="00122ACD"/>
    <w:rsid w:val="00132626"/>
    <w:rsid w:val="00154129"/>
    <w:rsid w:val="001549D3"/>
    <w:rsid w:val="00160065"/>
    <w:rsid w:val="0016028F"/>
    <w:rsid w:val="00177D84"/>
    <w:rsid w:val="0019450C"/>
    <w:rsid w:val="00194EE4"/>
    <w:rsid w:val="001F2172"/>
    <w:rsid w:val="00267D18"/>
    <w:rsid w:val="00274347"/>
    <w:rsid w:val="0028521D"/>
    <w:rsid w:val="002868E2"/>
    <w:rsid w:val="002869C3"/>
    <w:rsid w:val="002936E4"/>
    <w:rsid w:val="002B4A57"/>
    <w:rsid w:val="002C2EFF"/>
    <w:rsid w:val="002C442F"/>
    <w:rsid w:val="002C74CA"/>
    <w:rsid w:val="002E6261"/>
    <w:rsid w:val="003123F4"/>
    <w:rsid w:val="00330941"/>
    <w:rsid w:val="003544FB"/>
    <w:rsid w:val="003D2F2D"/>
    <w:rsid w:val="003D5047"/>
    <w:rsid w:val="003F2B5A"/>
    <w:rsid w:val="00401590"/>
    <w:rsid w:val="0042165C"/>
    <w:rsid w:val="00447801"/>
    <w:rsid w:val="00452E9C"/>
    <w:rsid w:val="004735C8"/>
    <w:rsid w:val="004947A6"/>
    <w:rsid w:val="004961FF"/>
    <w:rsid w:val="00517A89"/>
    <w:rsid w:val="005250F2"/>
    <w:rsid w:val="00543867"/>
    <w:rsid w:val="00562E81"/>
    <w:rsid w:val="005771E6"/>
    <w:rsid w:val="00593EEA"/>
    <w:rsid w:val="005A5EEE"/>
    <w:rsid w:val="005C3FAA"/>
    <w:rsid w:val="00612AC5"/>
    <w:rsid w:val="006375C7"/>
    <w:rsid w:val="00654E8F"/>
    <w:rsid w:val="00660D05"/>
    <w:rsid w:val="006820B1"/>
    <w:rsid w:val="006B7D14"/>
    <w:rsid w:val="006E3231"/>
    <w:rsid w:val="00701727"/>
    <w:rsid w:val="0070566C"/>
    <w:rsid w:val="00714C50"/>
    <w:rsid w:val="0072029D"/>
    <w:rsid w:val="00725A7D"/>
    <w:rsid w:val="007501BE"/>
    <w:rsid w:val="00756F6A"/>
    <w:rsid w:val="00790BB3"/>
    <w:rsid w:val="007C206C"/>
    <w:rsid w:val="00817DD6"/>
    <w:rsid w:val="00827EFE"/>
    <w:rsid w:val="0083759F"/>
    <w:rsid w:val="00881841"/>
    <w:rsid w:val="00882212"/>
    <w:rsid w:val="00885156"/>
    <w:rsid w:val="009151AA"/>
    <w:rsid w:val="0093429D"/>
    <w:rsid w:val="00943573"/>
    <w:rsid w:val="00964134"/>
    <w:rsid w:val="00970F7D"/>
    <w:rsid w:val="00993575"/>
    <w:rsid w:val="00994A3D"/>
    <w:rsid w:val="009C2B12"/>
    <w:rsid w:val="00A034F9"/>
    <w:rsid w:val="00A174D9"/>
    <w:rsid w:val="00A31883"/>
    <w:rsid w:val="00A67DF5"/>
    <w:rsid w:val="00AA4D24"/>
    <w:rsid w:val="00AB6715"/>
    <w:rsid w:val="00B1671E"/>
    <w:rsid w:val="00B25EB8"/>
    <w:rsid w:val="00B37F4D"/>
    <w:rsid w:val="00BA0DE6"/>
    <w:rsid w:val="00BB1AFD"/>
    <w:rsid w:val="00BB75CE"/>
    <w:rsid w:val="00BE291A"/>
    <w:rsid w:val="00C52A7B"/>
    <w:rsid w:val="00C56BAF"/>
    <w:rsid w:val="00C679AA"/>
    <w:rsid w:val="00C75972"/>
    <w:rsid w:val="00CC57B2"/>
    <w:rsid w:val="00CC5C94"/>
    <w:rsid w:val="00CD066B"/>
    <w:rsid w:val="00CE4FEE"/>
    <w:rsid w:val="00D060CF"/>
    <w:rsid w:val="00DB59C3"/>
    <w:rsid w:val="00DC259A"/>
    <w:rsid w:val="00DC629E"/>
    <w:rsid w:val="00DE23E8"/>
    <w:rsid w:val="00E52377"/>
    <w:rsid w:val="00E537AD"/>
    <w:rsid w:val="00E64E17"/>
    <w:rsid w:val="00E82A96"/>
    <w:rsid w:val="00E866C9"/>
    <w:rsid w:val="00EA3D3C"/>
    <w:rsid w:val="00EB397D"/>
    <w:rsid w:val="00EC090A"/>
    <w:rsid w:val="00ED20B5"/>
    <w:rsid w:val="00F139DF"/>
    <w:rsid w:val="00F46900"/>
    <w:rsid w:val="00F4728D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ED0E377-CD4B-1E46-B64D-EFB8A914F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8</TotalTime>
  <Pages>3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Yanli</cp:lastModifiedBy>
  <cp:revision>32</cp:revision>
  <cp:lastPrinted>2020-04-19T23:57:00Z</cp:lastPrinted>
  <dcterms:created xsi:type="dcterms:W3CDTF">2020-04-19T23:57:00Z</dcterms:created>
  <dcterms:modified xsi:type="dcterms:W3CDTF">2021-05-23T23:24:00Z</dcterms:modified>
</cp:coreProperties>
</file>