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EB" w:rsidRDefault="004341EB" w:rsidP="004341EB">
      <w:pPr>
        <w:pStyle w:val="SupplementaryMaterial"/>
      </w:pPr>
      <w:r w:rsidRPr="001549D3">
        <w:t>Supplementary Material</w:t>
      </w:r>
    </w:p>
    <w:p w:rsidR="004341EB" w:rsidRDefault="004341EB" w:rsidP="004341EB">
      <w:pPr>
        <w:pStyle w:val="Title"/>
        <w:jc w:val="both"/>
        <w:rPr>
          <w:b w:val="0"/>
          <w:bCs/>
          <w:sz w:val="24"/>
          <w:szCs w:val="24"/>
        </w:rPr>
      </w:pPr>
      <w:proofErr w:type="gramStart"/>
      <w:r w:rsidRPr="002301FD">
        <w:rPr>
          <w:sz w:val="24"/>
          <w:szCs w:val="24"/>
        </w:rPr>
        <w:t xml:space="preserve">Supplementary Table </w:t>
      </w:r>
      <w:r>
        <w:rPr>
          <w:sz w:val="24"/>
          <w:szCs w:val="24"/>
        </w:rPr>
        <w:t>2</w:t>
      </w:r>
      <w:r w:rsidRPr="002301FD">
        <w:rPr>
          <w:sz w:val="24"/>
          <w:szCs w:val="24"/>
        </w:rPr>
        <w:t>.</w:t>
      </w:r>
      <w:proofErr w:type="gramEnd"/>
      <w:r w:rsidRPr="002301FD">
        <w:rPr>
          <w:b w:val="0"/>
          <w:bCs/>
          <w:sz w:val="24"/>
          <w:szCs w:val="24"/>
        </w:rPr>
        <w:t xml:space="preserve"> </w:t>
      </w:r>
      <w:proofErr w:type="gramStart"/>
      <w:r w:rsidRPr="002301FD">
        <w:rPr>
          <w:b w:val="0"/>
          <w:bCs/>
          <w:sz w:val="24"/>
          <w:szCs w:val="24"/>
        </w:rPr>
        <w:t>Descriptive statistics and group differences in indices of psychopathy, decision-making and response inhibition in heroin- and amphetamine mono- and polysubstance dependent individuals.</w:t>
      </w:r>
      <w:proofErr w:type="gramEnd"/>
    </w:p>
    <w:tbl>
      <w:tblPr>
        <w:tblStyle w:val="PlainTable2"/>
        <w:tblW w:w="13898" w:type="dxa"/>
        <w:tblLook w:val="04A0" w:firstRow="1" w:lastRow="0" w:firstColumn="1" w:lastColumn="0" w:noHBand="0" w:noVBand="1"/>
      </w:tblPr>
      <w:tblGrid>
        <w:gridCol w:w="3177"/>
        <w:gridCol w:w="1340"/>
        <w:gridCol w:w="1315"/>
        <w:gridCol w:w="1311"/>
        <w:gridCol w:w="1314"/>
        <w:gridCol w:w="1311"/>
        <w:gridCol w:w="1077"/>
        <w:gridCol w:w="3053"/>
      </w:tblGrid>
      <w:tr w:rsidR="004341EB" w:rsidRPr="00D55350" w:rsidTr="00CA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340" w:type="dxa"/>
          </w:tcPr>
          <w:p w:rsidR="004341EB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C</w:t>
            </w:r>
            <w:r>
              <w:rPr>
                <w:rFonts w:eastAsia="Calibri" w:cs="Times New Roman"/>
                <w:szCs w:val="24"/>
              </w:rPr>
              <w:t>ontrols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(1)</w:t>
            </w:r>
          </w:p>
        </w:tc>
        <w:tc>
          <w:tcPr>
            <w:tcW w:w="1315" w:type="dxa"/>
          </w:tcPr>
          <w:p w:rsidR="004341EB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szCs w:val="24"/>
              </w:rPr>
            </w:pPr>
            <w:proofErr w:type="spellStart"/>
            <w:r w:rsidRPr="00D55350">
              <w:rPr>
                <w:rFonts w:eastAsia="Calibri" w:cs="Times New Roman"/>
                <w:szCs w:val="24"/>
              </w:rPr>
              <w:t>mHDIs</w:t>
            </w:r>
            <w:proofErr w:type="spellEnd"/>
          </w:p>
          <w:p w:rsidR="004341EB" w:rsidRPr="00D55350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(2)</w:t>
            </w:r>
          </w:p>
        </w:tc>
        <w:tc>
          <w:tcPr>
            <w:tcW w:w="1311" w:type="dxa"/>
          </w:tcPr>
          <w:p w:rsidR="004341EB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szCs w:val="24"/>
              </w:rPr>
            </w:pPr>
            <w:proofErr w:type="spellStart"/>
            <w:r w:rsidRPr="00D55350">
              <w:rPr>
                <w:rFonts w:eastAsia="Calibri" w:cs="Times New Roman"/>
                <w:szCs w:val="24"/>
              </w:rPr>
              <w:t>pHDIs</w:t>
            </w:r>
            <w:proofErr w:type="spellEnd"/>
          </w:p>
          <w:p w:rsidR="004341EB" w:rsidRPr="00D55350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(3)</w:t>
            </w:r>
          </w:p>
        </w:tc>
        <w:tc>
          <w:tcPr>
            <w:tcW w:w="1314" w:type="dxa"/>
          </w:tcPr>
          <w:p w:rsidR="004341EB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szCs w:val="24"/>
              </w:rPr>
            </w:pPr>
            <w:proofErr w:type="spellStart"/>
            <w:r w:rsidRPr="00D55350">
              <w:rPr>
                <w:rFonts w:eastAsia="Calibri" w:cs="Times New Roman"/>
                <w:szCs w:val="24"/>
              </w:rPr>
              <w:t>mADIs</w:t>
            </w:r>
            <w:proofErr w:type="spellEnd"/>
          </w:p>
          <w:p w:rsidR="004341EB" w:rsidRPr="00D55350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(4)</w:t>
            </w:r>
          </w:p>
        </w:tc>
        <w:tc>
          <w:tcPr>
            <w:tcW w:w="1311" w:type="dxa"/>
          </w:tcPr>
          <w:p w:rsidR="004341EB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szCs w:val="24"/>
              </w:rPr>
            </w:pPr>
            <w:proofErr w:type="spellStart"/>
            <w:r w:rsidRPr="00D55350">
              <w:rPr>
                <w:rFonts w:eastAsia="Calibri" w:cs="Times New Roman"/>
                <w:szCs w:val="24"/>
              </w:rPr>
              <w:t>pADIs</w:t>
            </w:r>
            <w:proofErr w:type="spellEnd"/>
          </w:p>
          <w:p w:rsidR="004341EB" w:rsidRPr="00D55350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(5)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p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Contrasts</w:t>
            </w:r>
          </w:p>
        </w:tc>
      </w:tr>
      <w:tr w:rsidR="004341EB" w:rsidRPr="00D55350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PCL:SV F</w:t>
            </w:r>
            <w:r>
              <w:rPr>
                <w:rFonts w:eastAsia="Calibri" w:cs="Times New Roman"/>
                <w:szCs w:val="24"/>
              </w:rPr>
              <w:t xml:space="preserve">actor </w:t>
            </w:r>
            <w:r w:rsidRPr="00D5535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1.52 (1.76)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4.98 (2.69)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6.20 (2.68)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3.63 (2.83)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4.08 (2.62)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Cs w:val="24"/>
              </w:rPr>
            </w:pPr>
            <w:r w:rsidRPr="00D55350">
              <w:rPr>
                <w:rFonts w:eastAsia="Calibri" w:cs="Times New Roman"/>
                <w:b/>
                <w:bCs/>
                <w:szCs w:val="24"/>
              </w:rPr>
              <w:t>.000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D55350">
              <w:rPr>
                <w:rFonts w:eastAsia="Calibri" w:cs="Times New Roman"/>
                <w:szCs w:val="24"/>
              </w:rPr>
              <w:t xml:space="preserve"> &lt; </w:t>
            </w:r>
            <w:r>
              <w:rPr>
                <w:rFonts w:eastAsia="Calibri" w:cs="Times New Roman"/>
                <w:szCs w:val="24"/>
              </w:rPr>
              <w:t>2, 3, 4, 5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Pr="00D55350">
              <w:rPr>
                <w:rFonts w:eastAsia="Calibri" w:cs="Times New Roman"/>
                <w:szCs w:val="24"/>
              </w:rPr>
              <w:t xml:space="preserve"> &lt; </w:t>
            </w:r>
            <w:r>
              <w:rPr>
                <w:rFonts w:eastAsia="Calibri" w:cs="Times New Roman"/>
                <w:szCs w:val="24"/>
              </w:rPr>
              <w:t>2, 3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 w:rsidRPr="00D55350">
              <w:rPr>
                <w:rFonts w:eastAsia="Calibri" w:cs="Times New Roman"/>
                <w:szCs w:val="24"/>
              </w:rPr>
              <w:t xml:space="preserve"> &lt; </w:t>
            </w: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4341EB" w:rsidRPr="00D55350" w:rsidTr="00CA7990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PCL:SV F</w:t>
            </w:r>
            <w:r>
              <w:rPr>
                <w:rFonts w:eastAsia="Calibri" w:cs="Times New Roman"/>
                <w:szCs w:val="24"/>
              </w:rPr>
              <w:t xml:space="preserve">actor </w:t>
            </w:r>
            <w:r w:rsidRPr="00D5535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1.81 (2.15)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7.28 (2.77)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8.59 (2.52)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5.92 (2.95)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7.11 (2.73)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Cs w:val="24"/>
              </w:rPr>
            </w:pPr>
            <w:r w:rsidRPr="00D55350">
              <w:rPr>
                <w:rFonts w:eastAsia="Calibri" w:cs="Times New Roman"/>
                <w:b/>
                <w:bCs/>
                <w:szCs w:val="24"/>
              </w:rPr>
              <w:t>.000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D55350">
              <w:rPr>
                <w:rFonts w:eastAsia="Calibri" w:cs="Times New Roman"/>
                <w:szCs w:val="24"/>
              </w:rPr>
              <w:t xml:space="preserve"> &lt; </w:t>
            </w:r>
            <w:r>
              <w:rPr>
                <w:rFonts w:eastAsia="Calibri" w:cs="Times New Roman"/>
                <w:szCs w:val="24"/>
              </w:rPr>
              <w:t>2, 3, 4, 5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Pr="00D55350">
              <w:rPr>
                <w:rFonts w:eastAsia="Calibri" w:cs="Times New Roman"/>
                <w:szCs w:val="24"/>
              </w:rPr>
              <w:t xml:space="preserve"> &lt; </w:t>
            </w:r>
            <w:r>
              <w:rPr>
                <w:rFonts w:eastAsia="Calibri" w:cs="Times New Roman"/>
                <w:szCs w:val="24"/>
              </w:rPr>
              <w:t>1, 2, 3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Pr="00D55350">
              <w:rPr>
                <w:rFonts w:eastAsia="Calibri" w:cs="Times New Roman"/>
                <w:szCs w:val="24"/>
              </w:rPr>
              <w:t xml:space="preserve"> &gt;</w:t>
            </w:r>
            <w:r w:rsidRPr="00D55350">
              <w:rPr>
                <w:rFonts w:ascii="Calibri" w:eastAsia="Calibri" w:hAnsi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1</w:t>
            </w:r>
            <w:r w:rsidRPr="00D55350">
              <w:rPr>
                <w:rFonts w:eastAsia="Calibri" w:cs="Times New Roman"/>
                <w:szCs w:val="24"/>
              </w:rPr>
              <w:t>,</w:t>
            </w:r>
            <w:r w:rsidRPr="00D55350">
              <w:rPr>
                <w:rFonts w:ascii="Calibri" w:eastAsia="Calibri" w:hAnsi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2</w:t>
            </w:r>
            <w:r w:rsidRPr="00D55350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>4</w:t>
            </w:r>
            <w:r w:rsidRPr="00D55350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>5</w:t>
            </w:r>
          </w:p>
        </w:tc>
      </w:tr>
      <w:tr w:rsidR="004341EB" w:rsidRPr="00D55350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PCL:SV Total</w:t>
            </w:r>
            <w:r>
              <w:rPr>
                <w:rFonts w:eastAsia="Calibri" w:cs="Times New Roman"/>
                <w:szCs w:val="24"/>
              </w:rPr>
              <w:t xml:space="preserve"> score</w:t>
            </w: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3.32 (3.46)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12.27 (4.92)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14.79 (4.64)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9.56 (5.16)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11.17 (4.54)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Cs w:val="24"/>
              </w:rPr>
            </w:pPr>
            <w:r w:rsidRPr="00D55350">
              <w:rPr>
                <w:rFonts w:eastAsia="Calibri" w:cs="Times New Roman"/>
                <w:b/>
                <w:bCs/>
                <w:szCs w:val="24"/>
              </w:rPr>
              <w:t>.000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Pr="00D55350">
              <w:rPr>
                <w:rFonts w:eastAsia="Calibri" w:cs="Times New Roman"/>
                <w:szCs w:val="24"/>
              </w:rPr>
              <w:t xml:space="preserve"> &lt; </w:t>
            </w:r>
            <w:r>
              <w:rPr>
                <w:rFonts w:eastAsia="Calibri" w:cs="Times New Roman"/>
                <w:szCs w:val="24"/>
              </w:rPr>
              <w:t>2</w:t>
            </w:r>
            <w:r w:rsidRPr="00D55350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>3, 4, 5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 w:rsidRPr="00D55350">
              <w:rPr>
                <w:rFonts w:eastAsia="Calibri" w:cs="Times New Roman"/>
                <w:szCs w:val="24"/>
              </w:rPr>
              <w:t xml:space="preserve"> &gt; </w:t>
            </w:r>
            <w:r>
              <w:rPr>
                <w:rFonts w:eastAsia="Calibri" w:cs="Times New Roman"/>
                <w:szCs w:val="24"/>
              </w:rPr>
              <w:t>4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Pr="00D55350">
              <w:rPr>
                <w:rFonts w:eastAsia="Calibri" w:cs="Times New Roman"/>
                <w:szCs w:val="24"/>
              </w:rPr>
              <w:t xml:space="preserve"> &gt; </w:t>
            </w:r>
            <w:r>
              <w:rPr>
                <w:rFonts w:eastAsia="Calibri" w:cs="Times New Roman"/>
                <w:szCs w:val="24"/>
              </w:rPr>
              <w:t>1</w:t>
            </w:r>
            <w:r w:rsidRPr="00D55350">
              <w:rPr>
                <w:rFonts w:eastAsia="Calibri" w:cs="Times New Roman"/>
                <w:szCs w:val="24"/>
              </w:rPr>
              <w:t>,</w:t>
            </w:r>
            <w:r w:rsidRPr="00D55350">
              <w:rPr>
                <w:rFonts w:ascii="Calibri" w:eastAsia="Calibri" w:hAnsi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2</w:t>
            </w:r>
            <w:r w:rsidRPr="00D55350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>3</w:t>
            </w:r>
            <w:r w:rsidRPr="00D55350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>4</w:t>
            </w:r>
          </w:p>
        </w:tc>
      </w:tr>
      <w:tr w:rsidR="004341EB" w:rsidRPr="00D55350" w:rsidTr="00CA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IGT</w:t>
            </w:r>
            <w:r>
              <w:rPr>
                <w:rFonts w:eastAsia="Calibri" w:cs="Times New Roman"/>
                <w:szCs w:val="24"/>
              </w:rPr>
              <w:t xml:space="preserve"> Net score</w:t>
            </w: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4.17 (27.52)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0.92 (27.89)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-5.22 (22.55)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2.29 (25.08)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-2.03 (27.97)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.069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</w:t>
            </w:r>
          </w:p>
        </w:tc>
      </w:tr>
      <w:tr w:rsidR="004341EB" w:rsidRPr="00D55350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Default="004341EB" w:rsidP="00CA7990">
            <w:pPr>
              <w:spacing w:before="0" w:after="0"/>
              <w:rPr>
                <w:rFonts w:eastAsia="Calibri" w:cs="Times New Roman"/>
                <w:b w:val="0"/>
                <w:bCs w:val="0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CGT</w:t>
            </w:r>
            <w:r>
              <w:rPr>
                <w:rFonts w:eastAsia="Calibri" w:cs="Times New Roman"/>
                <w:szCs w:val="24"/>
              </w:rPr>
              <w:t xml:space="preserve"> Quality of decision-making</w:t>
            </w:r>
            <w:r w:rsidDel="003063CC">
              <w:rPr>
                <w:rFonts w:eastAsia="Calibri" w:cs="Times New Roman"/>
                <w:szCs w:val="24"/>
              </w:rPr>
              <w:t xml:space="preserve"> </w:t>
            </w:r>
          </w:p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0.89 (0.13)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0.86 (0.15)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0.86 (0.13)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0.87 (0.14)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0.87 (0.13)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.259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</w:t>
            </w:r>
          </w:p>
        </w:tc>
      </w:tr>
      <w:tr w:rsidR="004341EB" w:rsidRPr="00D55350" w:rsidTr="00CA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Default="004341EB" w:rsidP="00CA7990">
            <w:pPr>
              <w:spacing w:before="0" w:after="0"/>
              <w:rPr>
                <w:rFonts w:eastAsia="Calibri" w:cs="Times New Roman"/>
                <w:b w:val="0"/>
                <w:bCs w:val="0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CGT</w:t>
            </w:r>
            <w:r>
              <w:rPr>
                <w:rFonts w:eastAsia="Calibri" w:cs="Times New Roman"/>
                <w:szCs w:val="24"/>
              </w:rPr>
              <w:t xml:space="preserve"> Risk Taking</w:t>
            </w:r>
          </w:p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0.57 (0.15)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0.57 (0.13)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0.61 (0.15)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0.58 (0.15)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0.60 (0.14)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.769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</w:t>
            </w:r>
          </w:p>
        </w:tc>
      </w:tr>
      <w:tr w:rsidR="004341EB" w:rsidRPr="00D55350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 xml:space="preserve">MCQ Overall </w:t>
            </w:r>
            <w:r w:rsidRPr="00EB0B13">
              <w:rPr>
                <w:rFonts w:eastAsia="Calibri" w:cs="Times New Roman"/>
                <w:i/>
                <w:iCs/>
                <w:szCs w:val="24"/>
              </w:rPr>
              <w:t>k</w:t>
            </w:r>
          </w:p>
        </w:tc>
        <w:tc>
          <w:tcPr>
            <w:tcW w:w="1340" w:type="dxa"/>
          </w:tcPr>
          <w:p w:rsidR="004341EB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-3.66</w:t>
            </w:r>
            <w:r w:rsidRPr="00D55350">
              <w:rPr>
                <w:rFonts w:eastAsia="Calibri" w:cs="Times New Roman"/>
                <w:szCs w:val="24"/>
              </w:rPr>
              <w:t xml:space="preserve"> 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(</w:t>
            </w:r>
            <w:r>
              <w:rPr>
                <w:rFonts w:eastAsia="Calibri" w:cs="Times New Roman"/>
                <w:szCs w:val="24"/>
              </w:rPr>
              <w:t>1.55</w:t>
            </w:r>
            <w:r w:rsidRPr="00D55350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-3.23</w:t>
            </w:r>
            <w:r w:rsidRPr="00D55350">
              <w:rPr>
                <w:rFonts w:eastAsia="Calibri" w:cs="Times New Roman"/>
                <w:szCs w:val="24"/>
              </w:rPr>
              <w:t xml:space="preserve"> (</w:t>
            </w:r>
            <w:r>
              <w:rPr>
                <w:rFonts w:eastAsia="Calibri" w:cs="Times New Roman"/>
                <w:szCs w:val="24"/>
              </w:rPr>
              <w:t>1.36</w:t>
            </w:r>
            <w:r w:rsidRPr="00D55350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-3.07 (1.36)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-3.26</w:t>
            </w:r>
            <w:r w:rsidRPr="00D55350">
              <w:rPr>
                <w:rFonts w:eastAsia="Calibri" w:cs="Times New Roman"/>
                <w:szCs w:val="24"/>
              </w:rPr>
              <w:t xml:space="preserve"> (</w:t>
            </w:r>
            <w:r>
              <w:rPr>
                <w:rFonts w:eastAsia="Calibri" w:cs="Times New Roman"/>
                <w:szCs w:val="24"/>
              </w:rPr>
              <w:t>1.48</w:t>
            </w:r>
            <w:r w:rsidRPr="00D55350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-3.48 (1.42)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B17C9C">
              <w:rPr>
                <w:rFonts w:eastAsia="Calibri" w:cs="Times New Roman"/>
                <w:b/>
                <w:bCs/>
                <w:szCs w:val="24"/>
              </w:rPr>
              <w:t>.006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 &gt; 1</w:t>
            </w:r>
          </w:p>
        </w:tc>
      </w:tr>
      <w:tr w:rsidR="004341EB" w:rsidRPr="00D55350" w:rsidTr="00CA799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 xml:space="preserve">MCQ Small </w:t>
            </w:r>
            <w:r w:rsidRPr="00EB0B13">
              <w:rPr>
                <w:rFonts w:eastAsia="Calibri" w:cs="Times New Roman"/>
                <w:i/>
                <w:iCs/>
                <w:szCs w:val="24"/>
              </w:rPr>
              <w:t>k</w:t>
            </w:r>
          </w:p>
        </w:tc>
        <w:tc>
          <w:tcPr>
            <w:tcW w:w="1340" w:type="dxa"/>
          </w:tcPr>
          <w:p w:rsidR="004341EB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-3.18</w:t>
            </w:r>
            <w:r w:rsidRPr="00D55350">
              <w:rPr>
                <w:rFonts w:eastAsia="Calibri" w:cs="Times New Roman"/>
                <w:szCs w:val="24"/>
              </w:rPr>
              <w:t xml:space="preserve"> 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(</w:t>
            </w:r>
            <w:r>
              <w:rPr>
                <w:rFonts w:eastAsia="Calibri" w:cs="Times New Roman"/>
                <w:szCs w:val="24"/>
              </w:rPr>
              <w:t>1.47</w:t>
            </w:r>
            <w:r w:rsidRPr="00D55350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-2.71</w:t>
            </w:r>
            <w:r w:rsidRPr="00D55350">
              <w:rPr>
                <w:rFonts w:eastAsia="Calibri" w:cs="Times New Roman"/>
                <w:szCs w:val="24"/>
              </w:rPr>
              <w:t xml:space="preserve"> (</w:t>
            </w:r>
            <w:r>
              <w:rPr>
                <w:rFonts w:eastAsia="Calibri" w:cs="Times New Roman"/>
                <w:szCs w:val="24"/>
              </w:rPr>
              <w:t>1.27</w:t>
            </w:r>
            <w:r w:rsidRPr="00D55350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-2.65</w:t>
            </w:r>
            <w:r w:rsidRPr="00D55350">
              <w:rPr>
                <w:rFonts w:eastAsia="Calibri" w:cs="Times New Roman"/>
                <w:szCs w:val="24"/>
              </w:rPr>
              <w:t xml:space="preserve"> (</w:t>
            </w:r>
            <w:r>
              <w:rPr>
                <w:rFonts w:eastAsia="Calibri" w:cs="Times New Roman"/>
                <w:szCs w:val="24"/>
              </w:rPr>
              <w:t>1.34</w:t>
            </w:r>
            <w:r w:rsidRPr="00D55350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-2.76</w:t>
            </w:r>
            <w:r w:rsidRPr="00D55350">
              <w:rPr>
                <w:rFonts w:eastAsia="Calibri" w:cs="Times New Roman"/>
                <w:szCs w:val="24"/>
              </w:rPr>
              <w:t xml:space="preserve"> (</w:t>
            </w:r>
            <w:r>
              <w:rPr>
                <w:rFonts w:eastAsia="Calibri" w:cs="Times New Roman"/>
                <w:szCs w:val="24"/>
              </w:rPr>
              <w:t>1.38</w:t>
            </w:r>
            <w:r w:rsidRPr="00D55350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-2.92</w:t>
            </w:r>
            <w:r w:rsidRPr="00D55350">
              <w:rPr>
                <w:rFonts w:eastAsia="Calibri" w:cs="Times New Roman"/>
                <w:szCs w:val="24"/>
              </w:rPr>
              <w:t xml:space="preserve"> (</w:t>
            </w:r>
            <w:r>
              <w:rPr>
                <w:rFonts w:eastAsia="Calibri" w:cs="Times New Roman"/>
                <w:szCs w:val="24"/>
              </w:rPr>
              <w:t>1.39</w:t>
            </w:r>
            <w:r w:rsidRPr="00D55350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Cs w:val="24"/>
              </w:rPr>
            </w:pPr>
            <w:r w:rsidRPr="00D55350">
              <w:rPr>
                <w:rFonts w:eastAsia="Calibri" w:cs="Times New Roman"/>
                <w:b/>
                <w:bCs/>
                <w:szCs w:val="24"/>
              </w:rPr>
              <w:t>.0</w:t>
            </w:r>
            <w:r>
              <w:rPr>
                <w:rFonts w:eastAsia="Calibri" w:cs="Times New Roman"/>
                <w:b/>
                <w:bCs/>
                <w:szCs w:val="24"/>
              </w:rPr>
              <w:t>03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2, 3 &gt; 1</w:t>
            </w:r>
          </w:p>
        </w:tc>
      </w:tr>
      <w:tr w:rsidR="004341EB" w:rsidRPr="00D55350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BART</w:t>
            </w:r>
            <w:r>
              <w:rPr>
                <w:rFonts w:eastAsia="Calibri" w:cs="Times New Roman"/>
                <w:szCs w:val="24"/>
              </w:rPr>
              <w:t xml:space="preserve"> Pumps adjusted average</w:t>
            </w: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40.06 (12.99)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40.21 (13.46)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39.07 (12.85)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40.45 (15.17)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41.96 (14.66)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.769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</w:t>
            </w:r>
          </w:p>
        </w:tc>
      </w:tr>
      <w:tr w:rsidR="004341EB" w:rsidRPr="00D55350" w:rsidTr="00CA79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b w:val="0"/>
                <w:bCs w:val="0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GNG</w:t>
            </w:r>
            <w:r>
              <w:rPr>
                <w:rFonts w:eastAsia="Calibri" w:cs="Times New Roman"/>
                <w:szCs w:val="24"/>
              </w:rPr>
              <w:t xml:space="preserve"> False alarms</w:t>
            </w:r>
          </w:p>
        </w:tc>
        <w:tc>
          <w:tcPr>
            <w:tcW w:w="1340" w:type="dxa"/>
          </w:tcPr>
          <w:p w:rsidR="004341EB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 xml:space="preserve">15.15 </w:t>
            </w:r>
          </w:p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(9.3)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16.05 (9.94)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18.80 (23.31)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17.32 (8.32)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17.40 (10.65)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.095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</w:t>
            </w:r>
          </w:p>
        </w:tc>
      </w:tr>
      <w:tr w:rsidR="004341EB" w:rsidRPr="00D55350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b w:val="0"/>
                <w:bCs w:val="0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IMT</w:t>
            </w:r>
            <w:r>
              <w:rPr>
                <w:rFonts w:eastAsia="Calibri" w:cs="Times New Roman"/>
                <w:szCs w:val="24"/>
              </w:rPr>
              <w:t xml:space="preserve"> Commission errors</w:t>
            </w: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38.17 (14.92)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37.80 (14.16)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42.03 (14.51)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40.79 (13.03)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36.75 (12.97)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.073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</w:t>
            </w:r>
          </w:p>
        </w:tc>
      </w:tr>
      <w:tr w:rsidR="004341EB" w:rsidRPr="00D55350" w:rsidTr="00CA799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341EB" w:rsidRPr="00D55350" w:rsidRDefault="004341EB" w:rsidP="00CA7990">
            <w:pPr>
              <w:spacing w:before="0"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SST 150ms inhibition</w:t>
            </w:r>
          </w:p>
        </w:tc>
        <w:tc>
          <w:tcPr>
            <w:tcW w:w="1340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71.68 (21.34)</w:t>
            </w:r>
          </w:p>
        </w:tc>
        <w:tc>
          <w:tcPr>
            <w:tcW w:w="1315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72.71 (19.06)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69.78 (21.29)</w:t>
            </w:r>
          </w:p>
        </w:tc>
        <w:tc>
          <w:tcPr>
            <w:tcW w:w="1314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69.47 (22.57)</w:t>
            </w:r>
          </w:p>
        </w:tc>
        <w:tc>
          <w:tcPr>
            <w:tcW w:w="1311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75.26 (18.74)</w:t>
            </w:r>
          </w:p>
        </w:tc>
        <w:tc>
          <w:tcPr>
            <w:tcW w:w="1077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.366</w:t>
            </w:r>
          </w:p>
        </w:tc>
        <w:tc>
          <w:tcPr>
            <w:tcW w:w="3053" w:type="dxa"/>
          </w:tcPr>
          <w:p w:rsidR="004341EB" w:rsidRPr="00D55350" w:rsidRDefault="004341EB" w:rsidP="00CA79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D55350">
              <w:rPr>
                <w:rFonts w:eastAsia="Calibri" w:cs="Times New Roman"/>
                <w:szCs w:val="24"/>
              </w:rPr>
              <w:t>-</w:t>
            </w:r>
          </w:p>
        </w:tc>
      </w:tr>
    </w:tbl>
    <w:p w:rsidR="002C55A9" w:rsidRPr="004341EB" w:rsidRDefault="004341EB">
      <w:pPr>
        <w:rPr>
          <w:sz w:val="22"/>
        </w:rPr>
      </w:pPr>
      <w:r w:rsidRPr="000A7408">
        <w:rPr>
          <w:i/>
          <w:iCs/>
          <w:sz w:val="22"/>
        </w:rPr>
        <w:t>Note</w:t>
      </w:r>
      <w:r w:rsidRPr="000A7408">
        <w:rPr>
          <w:sz w:val="22"/>
        </w:rPr>
        <w:t xml:space="preserve">. </w:t>
      </w:r>
      <w:proofErr w:type="spellStart"/>
      <w:proofErr w:type="gramStart"/>
      <w:r w:rsidRPr="000A7408">
        <w:rPr>
          <w:sz w:val="22"/>
        </w:rPr>
        <w:t>mHDIs</w:t>
      </w:r>
      <w:proofErr w:type="spellEnd"/>
      <w:proofErr w:type="gramEnd"/>
      <w:r w:rsidRPr="000A7408">
        <w:rPr>
          <w:sz w:val="22"/>
        </w:rPr>
        <w:t xml:space="preserve"> = heroin mono-dependent individuals; </w:t>
      </w:r>
      <w:proofErr w:type="spellStart"/>
      <w:r w:rsidRPr="000A7408">
        <w:rPr>
          <w:sz w:val="22"/>
        </w:rPr>
        <w:t>pHDIs</w:t>
      </w:r>
      <w:proofErr w:type="spellEnd"/>
      <w:r w:rsidRPr="000A7408">
        <w:rPr>
          <w:sz w:val="22"/>
        </w:rPr>
        <w:t xml:space="preserve"> = heroin polysubstance-dependent individuals; </w:t>
      </w:r>
      <w:proofErr w:type="spellStart"/>
      <w:r w:rsidRPr="000A7408">
        <w:rPr>
          <w:sz w:val="22"/>
        </w:rPr>
        <w:t>mADIs</w:t>
      </w:r>
      <w:proofErr w:type="spellEnd"/>
      <w:r w:rsidRPr="000A7408">
        <w:rPr>
          <w:sz w:val="22"/>
        </w:rPr>
        <w:t xml:space="preserve"> = amphetamine mono-dependent individuals; </w:t>
      </w:r>
      <w:proofErr w:type="spellStart"/>
      <w:r w:rsidRPr="000A7408">
        <w:rPr>
          <w:sz w:val="22"/>
        </w:rPr>
        <w:t>pADIs</w:t>
      </w:r>
      <w:proofErr w:type="spellEnd"/>
      <w:r w:rsidRPr="000A7408">
        <w:rPr>
          <w:sz w:val="22"/>
        </w:rPr>
        <w:t xml:space="preserve"> = amphetamine polysubstance-dependent individuals. PCL</w:t>
      </w:r>
      <w:proofErr w:type="gramStart"/>
      <w:r w:rsidRPr="000A7408">
        <w:rPr>
          <w:sz w:val="22"/>
        </w:rPr>
        <w:t>:SV</w:t>
      </w:r>
      <w:proofErr w:type="gramEnd"/>
      <w:r w:rsidRPr="000A7408">
        <w:rPr>
          <w:sz w:val="22"/>
        </w:rPr>
        <w:t xml:space="preserve"> F</w:t>
      </w:r>
      <w:r>
        <w:rPr>
          <w:sz w:val="22"/>
        </w:rPr>
        <w:t xml:space="preserve">actor </w:t>
      </w:r>
      <w:r w:rsidRPr="000A7408">
        <w:rPr>
          <w:sz w:val="22"/>
        </w:rPr>
        <w:t>1 = Psychopathy Checklist: Screening Version Factor 1; PCL:SV F</w:t>
      </w:r>
      <w:r>
        <w:rPr>
          <w:sz w:val="22"/>
        </w:rPr>
        <w:t xml:space="preserve">actor </w:t>
      </w:r>
      <w:r w:rsidRPr="000A7408">
        <w:rPr>
          <w:sz w:val="22"/>
        </w:rPr>
        <w:t xml:space="preserve">2 = Psychopathy Checklist: Screening Version Factor 2; PCL:SV Total </w:t>
      </w:r>
      <w:r>
        <w:rPr>
          <w:sz w:val="22"/>
        </w:rPr>
        <w:t xml:space="preserve">score </w:t>
      </w:r>
      <w:r w:rsidRPr="000A7408">
        <w:rPr>
          <w:sz w:val="22"/>
        </w:rPr>
        <w:t>= Psychopathy Checklist: Screening Version Total Score; MCQ Overall k = MCQ Overall Temporal Discounting Rate; MCQ Small k = MCQ temporal discounting rate of small magnitude rewards; BART</w:t>
      </w:r>
      <w:r w:rsidRPr="00C94303">
        <w:t xml:space="preserve"> </w:t>
      </w:r>
      <w:r w:rsidRPr="00C94303">
        <w:rPr>
          <w:sz w:val="22"/>
        </w:rPr>
        <w:t>Pumps adjusted average</w:t>
      </w:r>
      <w:r w:rsidRPr="00C94303" w:rsidDel="00C94303">
        <w:rPr>
          <w:sz w:val="22"/>
        </w:rPr>
        <w:t xml:space="preserve"> </w:t>
      </w:r>
      <w:r w:rsidRPr="000A7408">
        <w:rPr>
          <w:sz w:val="22"/>
        </w:rPr>
        <w:t xml:space="preserve">= adjusted average number of pumps on unexploded balloons; </w:t>
      </w:r>
      <w:bookmarkStart w:id="0" w:name="_GoBack"/>
      <w:bookmarkEnd w:id="0"/>
    </w:p>
    <w:sectPr w:rsidR="002C55A9" w:rsidRPr="0043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E2"/>
    <w:rsid w:val="000C13E2"/>
    <w:rsid w:val="002C55A9"/>
    <w:rsid w:val="004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EB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341EB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41EB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4341EB"/>
    <w:pPr>
      <w:spacing w:after="120"/>
    </w:pPr>
    <w:rPr>
      <w:i/>
    </w:rPr>
  </w:style>
  <w:style w:type="table" w:customStyle="1" w:styleId="PlainTable2">
    <w:name w:val="Plain Table 2"/>
    <w:basedOn w:val="TableNormal"/>
    <w:uiPriority w:val="42"/>
    <w:rsid w:val="004341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EB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341EB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41EB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4341EB"/>
    <w:pPr>
      <w:spacing w:after="120"/>
    </w:pPr>
    <w:rPr>
      <w:i/>
    </w:rPr>
  </w:style>
  <w:style w:type="table" w:customStyle="1" w:styleId="PlainTable2">
    <w:name w:val="Plain Table 2"/>
    <w:basedOn w:val="TableNormal"/>
    <w:uiPriority w:val="42"/>
    <w:rsid w:val="004341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amshaveni</dc:creator>
  <cp:lastModifiedBy>, amshaveni</cp:lastModifiedBy>
  <cp:revision>2</cp:revision>
  <dcterms:created xsi:type="dcterms:W3CDTF">2021-06-03T06:11:00Z</dcterms:created>
  <dcterms:modified xsi:type="dcterms:W3CDTF">2021-06-03T06:11:00Z</dcterms:modified>
</cp:coreProperties>
</file>