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C304" w14:textId="5BAAB651" w:rsidR="00E464C4" w:rsidRPr="0054571A" w:rsidRDefault="00E464C4" w:rsidP="00AC48B6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4571A">
        <w:rPr>
          <w:rFonts w:ascii="Times New Roman" w:hAnsi="Times New Roman" w:cs="Times New Roman"/>
          <w:b/>
          <w:i/>
          <w:sz w:val="32"/>
          <w:szCs w:val="32"/>
        </w:rPr>
        <w:t>Supplemental material</w:t>
      </w:r>
    </w:p>
    <w:p w14:paraId="2B3201B4" w14:textId="77777777" w:rsidR="001D4E81" w:rsidRPr="0054571A" w:rsidRDefault="001D4E81" w:rsidP="00AC48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720F559" w14:textId="0D8CC245" w:rsidR="00EF3B5A" w:rsidRPr="0054571A" w:rsidRDefault="001D4E81" w:rsidP="00AC48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4571A">
        <w:rPr>
          <w:rFonts w:ascii="Times New Roman" w:hAnsi="Times New Roman" w:cs="Times New Roman"/>
          <w:b/>
          <w:sz w:val="32"/>
          <w:szCs w:val="32"/>
        </w:rPr>
        <w:t xml:space="preserve">Article title: </w:t>
      </w:r>
      <w:r w:rsidR="00EF3B5A" w:rsidRPr="0054571A">
        <w:rPr>
          <w:rFonts w:ascii="Times New Roman" w:hAnsi="Times New Roman" w:cs="Times New Roman"/>
          <w:b/>
          <w:sz w:val="32"/>
          <w:szCs w:val="32"/>
        </w:rPr>
        <w:t>Clinical outcome in patients with intracerebral hemorrhage stratified by type of antithrombotic therapy</w:t>
      </w:r>
    </w:p>
    <w:p w14:paraId="3F21302C" w14:textId="71386AF3" w:rsidR="00EF3B5A" w:rsidRPr="0054571A" w:rsidRDefault="001D4E81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71A">
        <w:rPr>
          <w:rFonts w:ascii="Times New Roman" w:hAnsi="Times New Roman" w:cs="Times New Roman"/>
          <w:sz w:val="24"/>
          <w:szCs w:val="24"/>
        </w:rPr>
        <w:t xml:space="preserve">Authors: </w:t>
      </w:r>
      <w:r w:rsidR="00B06F6A" w:rsidRPr="0054571A">
        <w:rPr>
          <w:rFonts w:ascii="Times New Roman" w:hAnsi="Times New Roman" w:cs="Times New Roman"/>
          <w:sz w:val="24"/>
          <w:szCs w:val="24"/>
        </w:rPr>
        <w:t>M. Irem Baharoglu MD; Jonathan M. Coutinho MD PhD; Henk A. Marquering PhD; Charles B. Majoie MD PhD; Yvo B. Roos MD PhD</w:t>
      </w:r>
    </w:p>
    <w:p w14:paraId="4E00687C" w14:textId="77777777" w:rsidR="001D4E81" w:rsidRPr="00AC48B6" w:rsidRDefault="001D4E81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17049" w14:textId="7DA0BB8A" w:rsidR="00E464C4" w:rsidRPr="00AC48B6" w:rsidRDefault="00E464C4" w:rsidP="00AC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5A6673" w14:textId="0992C852" w:rsidR="00555A9A" w:rsidRPr="00AC48B6" w:rsidRDefault="00555A9A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8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Supplemental tables</w:t>
      </w:r>
    </w:p>
    <w:p w14:paraId="47B410D3" w14:textId="77777777" w:rsidR="00555A9A" w:rsidRPr="00AC48B6" w:rsidRDefault="00555A9A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FB712" w14:textId="787240E3" w:rsidR="00F66D1D" w:rsidRDefault="00555A9A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b/>
          <w:sz w:val="24"/>
          <w:szCs w:val="24"/>
        </w:rPr>
        <w:t>Supplemental t</w:t>
      </w:r>
      <w:r w:rsidR="00F66D1D" w:rsidRPr="00AC48B6">
        <w:rPr>
          <w:rFonts w:ascii="Times New Roman" w:hAnsi="Times New Roman" w:cs="Times New Roman"/>
          <w:b/>
          <w:sz w:val="24"/>
          <w:szCs w:val="24"/>
        </w:rPr>
        <w:t>able 1</w:t>
      </w:r>
      <w:r w:rsidR="009305E8" w:rsidRPr="00AC48B6">
        <w:rPr>
          <w:rFonts w:ascii="Times New Roman" w:hAnsi="Times New Roman" w:cs="Times New Roman"/>
          <w:b/>
          <w:sz w:val="24"/>
          <w:szCs w:val="24"/>
        </w:rPr>
        <w:t>:</w:t>
      </w:r>
      <w:r w:rsidR="00F66D1D" w:rsidRPr="00AC48B6">
        <w:rPr>
          <w:rFonts w:ascii="Times New Roman" w:hAnsi="Times New Roman" w:cs="Times New Roman"/>
          <w:b/>
          <w:sz w:val="24"/>
          <w:szCs w:val="24"/>
        </w:rPr>
        <w:t xml:space="preserve"> Analysis comparing baseline variable between patients using vitamin K ant</w:t>
      </w:r>
      <w:r w:rsidR="00762D45" w:rsidRPr="00AC48B6">
        <w:rPr>
          <w:rFonts w:ascii="Times New Roman" w:hAnsi="Times New Roman" w:cs="Times New Roman"/>
          <w:b/>
          <w:sz w:val="24"/>
          <w:szCs w:val="24"/>
        </w:rPr>
        <w:t>agon</w:t>
      </w:r>
      <w:r w:rsidR="00F66D1D" w:rsidRPr="00AC48B6">
        <w:rPr>
          <w:rFonts w:ascii="Times New Roman" w:hAnsi="Times New Roman" w:cs="Times New Roman"/>
          <w:b/>
          <w:sz w:val="24"/>
          <w:szCs w:val="24"/>
        </w:rPr>
        <w:t>ist</w:t>
      </w:r>
      <w:r w:rsidR="00762D45" w:rsidRPr="00AC48B6">
        <w:rPr>
          <w:rFonts w:ascii="Times New Roman" w:hAnsi="Times New Roman" w:cs="Times New Roman"/>
          <w:b/>
          <w:sz w:val="24"/>
          <w:szCs w:val="24"/>
        </w:rPr>
        <w:t>s</w:t>
      </w:r>
      <w:r w:rsidR="00F66D1D" w:rsidRPr="00AC48B6">
        <w:rPr>
          <w:rFonts w:ascii="Times New Roman" w:hAnsi="Times New Roman" w:cs="Times New Roman"/>
          <w:b/>
          <w:sz w:val="24"/>
          <w:szCs w:val="24"/>
        </w:rPr>
        <w:t xml:space="preserve"> (VKA) alone and patients using both VKA and antiplatelet therapy (AP).</w:t>
      </w:r>
    </w:p>
    <w:p w14:paraId="1E855FF1" w14:textId="77777777" w:rsidR="00AC48B6" w:rsidRPr="00AC48B6" w:rsidRDefault="00AC48B6" w:rsidP="00AC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B6">
        <w:rPr>
          <w:rFonts w:ascii="Times New Roman" w:hAnsi="Times New Roman" w:cs="Times New Roman"/>
          <w:sz w:val="24"/>
          <w:szCs w:val="24"/>
        </w:rPr>
        <w:t>*Means with standard deviation, #numbers with proportions, ¥median with interquartile range</w:t>
      </w:r>
    </w:p>
    <w:p w14:paraId="7DBE51DA" w14:textId="77777777" w:rsidR="00AC48B6" w:rsidRPr="00AC48B6" w:rsidRDefault="00AC48B6" w:rsidP="00AC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B6">
        <w:rPr>
          <w:rFonts w:ascii="Times New Roman" w:hAnsi="Times New Roman" w:cs="Times New Roman"/>
          <w:sz w:val="24"/>
          <w:szCs w:val="24"/>
        </w:rPr>
        <w:t>IVE = intraventricular extension, NIHSS = national institutes of health stroke scale, AP = antiplatelet therapy, VKA = vitamin K antagonist, DOAC = direct oral anticoagulant, NS=not significant</w:t>
      </w:r>
    </w:p>
    <w:p w14:paraId="5230359B" w14:textId="77777777" w:rsidR="00AC48B6" w:rsidRPr="00AC48B6" w:rsidRDefault="00AC48B6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947"/>
        <w:gridCol w:w="2373"/>
        <w:gridCol w:w="2134"/>
      </w:tblGrid>
      <w:tr w:rsidR="00F66D1D" w:rsidRPr="00AC48B6" w14:paraId="2539B7B5" w14:textId="77777777" w:rsidTr="009305E8">
        <w:tc>
          <w:tcPr>
            <w:tcW w:w="2608" w:type="dxa"/>
          </w:tcPr>
          <w:p w14:paraId="6E2F00BD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C3C4DB2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VKA (138)</w:t>
            </w:r>
          </w:p>
        </w:tc>
        <w:tc>
          <w:tcPr>
            <w:tcW w:w="2373" w:type="dxa"/>
          </w:tcPr>
          <w:p w14:paraId="507D6308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VKA and AP (23)</w:t>
            </w:r>
          </w:p>
        </w:tc>
        <w:tc>
          <w:tcPr>
            <w:tcW w:w="2134" w:type="dxa"/>
          </w:tcPr>
          <w:p w14:paraId="754CFAAD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significance</w:t>
            </w:r>
          </w:p>
        </w:tc>
      </w:tr>
      <w:tr w:rsidR="00F66D1D" w:rsidRPr="00AC48B6" w14:paraId="33709ABB" w14:textId="77777777" w:rsidTr="009305E8">
        <w:tc>
          <w:tcPr>
            <w:tcW w:w="2608" w:type="dxa"/>
          </w:tcPr>
          <w:p w14:paraId="32497425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Age*</w:t>
            </w:r>
          </w:p>
        </w:tc>
        <w:tc>
          <w:tcPr>
            <w:tcW w:w="1947" w:type="dxa"/>
          </w:tcPr>
          <w:p w14:paraId="46F97DAB" w14:textId="179A52D5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762D45" w:rsidRPr="00AC48B6">
              <w:rPr>
                <w:rFonts w:ascii="Times New Roman" w:hAnsi="Times New Roman" w:cs="Times New Roman"/>
                <w:sz w:val="24"/>
                <w:szCs w:val="24"/>
              </w:rPr>
              <w:t>8 +/-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11.3</w:t>
            </w:r>
          </w:p>
        </w:tc>
        <w:tc>
          <w:tcPr>
            <w:tcW w:w="2373" w:type="dxa"/>
          </w:tcPr>
          <w:p w14:paraId="6C56D4DF" w14:textId="084A750A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  <w:r w:rsidR="00762D45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+/-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11.0</w:t>
            </w:r>
          </w:p>
        </w:tc>
        <w:tc>
          <w:tcPr>
            <w:tcW w:w="2134" w:type="dxa"/>
          </w:tcPr>
          <w:p w14:paraId="5A31615A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62D99605" w14:textId="77777777" w:rsidTr="009305E8">
        <w:tc>
          <w:tcPr>
            <w:tcW w:w="2608" w:type="dxa"/>
          </w:tcPr>
          <w:p w14:paraId="01ECB408" w14:textId="05318303" w:rsidR="00F66D1D" w:rsidRPr="00AC48B6" w:rsidRDefault="00B50FCE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Male gender</w:t>
            </w:r>
            <w:r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70C33DF1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76 (55.1)</w:t>
            </w:r>
          </w:p>
        </w:tc>
        <w:tc>
          <w:tcPr>
            <w:tcW w:w="2373" w:type="dxa"/>
          </w:tcPr>
          <w:p w14:paraId="0D2C38BF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13 (56.5)</w:t>
            </w:r>
          </w:p>
        </w:tc>
        <w:tc>
          <w:tcPr>
            <w:tcW w:w="2134" w:type="dxa"/>
          </w:tcPr>
          <w:p w14:paraId="7489BB0B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2FAD17EE" w14:textId="77777777" w:rsidTr="009305E8">
        <w:tc>
          <w:tcPr>
            <w:tcW w:w="2608" w:type="dxa"/>
          </w:tcPr>
          <w:p w14:paraId="505D35ED" w14:textId="35113FE0" w:rsidR="00F66D1D" w:rsidRPr="00AC48B6" w:rsidRDefault="00B50FCE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  <w:r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22EAA575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73 (52.9)</w:t>
            </w:r>
          </w:p>
        </w:tc>
        <w:tc>
          <w:tcPr>
            <w:tcW w:w="2373" w:type="dxa"/>
          </w:tcPr>
          <w:p w14:paraId="1EDA439C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13 (56.5)</w:t>
            </w:r>
          </w:p>
        </w:tc>
        <w:tc>
          <w:tcPr>
            <w:tcW w:w="2134" w:type="dxa"/>
          </w:tcPr>
          <w:p w14:paraId="366083CD" w14:textId="77777777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72B551C5" w14:textId="77777777" w:rsidTr="009305E8">
        <w:tc>
          <w:tcPr>
            <w:tcW w:w="2608" w:type="dxa"/>
          </w:tcPr>
          <w:p w14:paraId="1E7BD1BE" w14:textId="44299970" w:rsidR="00F66D1D" w:rsidRPr="00AC48B6" w:rsidRDefault="00B50FCE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Dyslipidemia</w:t>
            </w:r>
            <w:r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0F2A160E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19 (13.8)</w:t>
            </w:r>
          </w:p>
        </w:tc>
        <w:tc>
          <w:tcPr>
            <w:tcW w:w="2373" w:type="dxa"/>
          </w:tcPr>
          <w:p w14:paraId="5C9CDB1F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 (17.4)</w:t>
            </w:r>
          </w:p>
        </w:tc>
        <w:tc>
          <w:tcPr>
            <w:tcW w:w="2134" w:type="dxa"/>
          </w:tcPr>
          <w:p w14:paraId="088F0B68" w14:textId="77777777" w:rsidR="00C526EB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7D23D380" w14:textId="77777777" w:rsidTr="009305E8">
        <w:tc>
          <w:tcPr>
            <w:tcW w:w="2608" w:type="dxa"/>
          </w:tcPr>
          <w:p w14:paraId="310EED3A" w14:textId="3F01AB86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="00B50FCE"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24AF8AE3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26 (18.8)</w:t>
            </w:r>
          </w:p>
        </w:tc>
        <w:tc>
          <w:tcPr>
            <w:tcW w:w="2373" w:type="dxa"/>
          </w:tcPr>
          <w:p w14:paraId="7D6FDE82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 (13.0)</w:t>
            </w:r>
          </w:p>
        </w:tc>
        <w:tc>
          <w:tcPr>
            <w:tcW w:w="2134" w:type="dxa"/>
          </w:tcPr>
          <w:p w14:paraId="47B81C55" w14:textId="77777777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6B9984CB" w14:textId="77777777" w:rsidTr="009305E8">
        <w:tc>
          <w:tcPr>
            <w:tcW w:w="2608" w:type="dxa"/>
          </w:tcPr>
          <w:p w14:paraId="6275C18B" w14:textId="7EF52013" w:rsidR="00F66D1D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r w:rsidR="00B50FCE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stroke</w:t>
            </w:r>
            <w:r w:rsidR="00B50FCE"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5A8EEF00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24 (23.5)</w:t>
            </w:r>
          </w:p>
        </w:tc>
        <w:tc>
          <w:tcPr>
            <w:tcW w:w="2373" w:type="dxa"/>
          </w:tcPr>
          <w:p w14:paraId="3873B65B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6 (26.0)</w:t>
            </w:r>
          </w:p>
        </w:tc>
        <w:tc>
          <w:tcPr>
            <w:tcW w:w="2134" w:type="dxa"/>
          </w:tcPr>
          <w:p w14:paraId="4A27955A" w14:textId="77777777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369D375F" w14:textId="77777777" w:rsidTr="009305E8">
        <w:tc>
          <w:tcPr>
            <w:tcW w:w="2608" w:type="dxa"/>
          </w:tcPr>
          <w:p w14:paraId="7B885D8C" w14:textId="36205B5B" w:rsidR="00F66D1D" w:rsidRPr="00AC48B6" w:rsidRDefault="00B50FCE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3979C32A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55 (39.9)</w:t>
            </w:r>
          </w:p>
        </w:tc>
        <w:tc>
          <w:tcPr>
            <w:tcW w:w="2373" w:type="dxa"/>
          </w:tcPr>
          <w:p w14:paraId="0F40ED1D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6 (26.0)</w:t>
            </w:r>
          </w:p>
        </w:tc>
        <w:tc>
          <w:tcPr>
            <w:tcW w:w="2134" w:type="dxa"/>
          </w:tcPr>
          <w:p w14:paraId="48D5369E" w14:textId="77777777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11573995" w14:textId="77777777" w:rsidTr="009305E8">
        <w:tc>
          <w:tcPr>
            <w:tcW w:w="2608" w:type="dxa"/>
          </w:tcPr>
          <w:p w14:paraId="48620789" w14:textId="1652960D" w:rsidR="00F66D1D" w:rsidRPr="00AC48B6" w:rsidRDefault="00B86AA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0FCE" w:rsidRPr="00AC48B6">
              <w:rPr>
                <w:rFonts w:ascii="Times New Roman" w:hAnsi="Times New Roman" w:cs="Times New Roman"/>
                <w:sz w:val="24"/>
                <w:szCs w:val="24"/>
              </w:rPr>
              <w:t>nfratentorial</w:t>
            </w:r>
            <w:r w:rsidR="00B50FCE"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47" w:type="dxa"/>
          </w:tcPr>
          <w:p w14:paraId="73C7EC4E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24 (17.4)</w:t>
            </w:r>
          </w:p>
        </w:tc>
        <w:tc>
          <w:tcPr>
            <w:tcW w:w="2373" w:type="dxa"/>
          </w:tcPr>
          <w:p w14:paraId="57C16EDC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 (17.4)</w:t>
            </w:r>
          </w:p>
        </w:tc>
        <w:tc>
          <w:tcPr>
            <w:tcW w:w="2134" w:type="dxa"/>
          </w:tcPr>
          <w:p w14:paraId="32C6D7F2" w14:textId="77777777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295C1BA7" w14:textId="77777777" w:rsidTr="009305E8">
        <w:tc>
          <w:tcPr>
            <w:tcW w:w="2608" w:type="dxa"/>
          </w:tcPr>
          <w:p w14:paraId="5A48B45C" w14:textId="08E6CAFD" w:rsidR="00F66D1D" w:rsidRPr="00AC48B6" w:rsidRDefault="00B50FCE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NIHSS</w:t>
            </w:r>
            <w:r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947" w:type="dxa"/>
          </w:tcPr>
          <w:p w14:paraId="323C2635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18 (9 – 30)</w:t>
            </w:r>
          </w:p>
        </w:tc>
        <w:tc>
          <w:tcPr>
            <w:tcW w:w="2373" w:type="dxa"/>
          </w:tcPr>
          <w:p w14:paraId="4892919A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13.5 (3.5 – 18)</w:t>
            </w:r>
          </w:p>
        </w:tc>
        <w:tc>
          <w:tcPr>
            <w:tcW w:w="2134" w:type="dxa"/>
          </w:tcPr>
          <w:p w14:paraId="39E88C53" w14:textId="77777777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66D1D" w:rsidRPr="00AC48B6" w14:paraId="6E39E68F" w14:textId="77777777" w:rsidTr="009305E8">
        <w:tc>
          <w:tcPr>
            <w:tcW w:w="2608" w:type="dxa"/>
          </w:tcPr>
          <w:p w14:paraId="4D9DA4CB" w14:textId="6A0C74C6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GCS</w:t>
            </w:r>
            <w:r w:rsidR="00B50FCE" w:rsidRPr="00AC4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</w:p>
          <w:p w14:paraId="33C7D265" w14:textId="77777777" w:rsidR="00C526EB" w:rsidRPr="00AC48B6" w:rsidRDefault="00C526EB" w:rsidP="00AC48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13DF2D95" w14:textId="77777777" w:rsidR="00C526EB" w:rsidRPr="00AC48B6" w:rsidRDefault="00C526EB" w:rsidP="00AC48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  <w:p w14:paraId="73E46C24" w14:textId="77777777" w:rsidR="00C526EB" w:rsidRPr="00AC48B6" w:rsidRDefault="00C526EB" w:rsidP="00AC48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947" w:type="dxa"/>
          </w:tcPr>
          <w:p w14:paraId="1D159811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88BC" w14:textId="77777777" w:rsidR="00C526EB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>21.0)</w:t>
            </w:r>
          </w:p>
          <w:p w14:paraId="64C575DA" w14:textId="77777777" w:rsidR="00C526EB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(31.2)</w:t>
            </w:r>
          </w:p>
          <w:p w14:paraId="06471912" w14:textId="77777777" w:rsidR="00C526EB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(47.8)</w:t>
            </w:r>
          </w:p>
        </w:tc>
        <w:tc>
          <w:tcPr>
            <w:tcW w:w="2373" w:type="dxa"/>
          </w:tcPr>
          <w:p w14:paraId="70997817" w14:textId="77777777" w:rsidR="00F66D1D" w:rsidRPr="00AC48B6" w:rsidRDefault="00F66D1D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FF2B" w14:textId="77777777" w:rsidR="00C526EB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(13.0)</w:t>
            </w:r>
          </w:p>
          <w:p w14:paraId="1D69F55B" w14:textId="77777777" w:rsidR="00C526EB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(34.8)</w:t>
            </w:r>
          </w:p>
          <w:p w14:paraId="04F66AA5" w14:textId="77777777" w:rsidR="00C526EB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(52.2)</w:t>
            </w:r>
          </w:p>
        </w:tc>
        <w:tc>
          <w:tcPr>
            <w:tcW w:w="2134" w:type="dxa"/>
          </w:tcPr>
          <w:p w14:paraId="7C65F376" w14:textId="77777777" w:rsidR="00F66D1D" w:rsidRPr="00AC48B6" w:rsidRDefault="00C526EB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14:paraId="3E4EDCFB" w14:textId="77777777" w:rsidR="00F66D1D" w:rsidRPr="00AC48B6" w:rsidRDefault="00F66D1D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D1FE5" w14:textId="7792A49C" w:rsidR="009305E8" w:rsidRPr="00AC48B6" w:rsidRDefault="009305E8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BDB78" w14:textId="32AD21BA" w:rsidR="009305E8" w:rsidRDefault="00555A9A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b/>
          <w:sz w:val="24"/>
          <w:szCs w:val="24"/>
        </w:rPr>
        <w:lastRenderedPageBreak/>
        <w:t>Supplemental t</w:t>
      </w:r>
      <w:r w:rsidR="009305E8" w:rsidRPr="00AC48B6">
        <w:rPr>
          <w:rFonts w:ascii="Times New Roman" w:hAnsi="Times New Roman" w:cs="Times New Roman"/>
          <w:b/>
          <w:sz w:val="24"/>
          <w:szCs w:val="24"/>
        </w:rPr>
        <w:t>able 2:</w:t>
      </w:r>
      <w:r w:rsidR="009305E8" w:rsidRPr="00AC48B6">
        <w:rPr>
          <w:rFonts w:ascii="Times New Roman" w:hAnsi="Times New Roman" w:cs="Times New Roman"/>
          <w:sz w:val="24"/>
          <w:szCs w:val="24"/>
        </w:rPr>
        <w:t xml:space="preserve"> </w:t>
      </w:r>
      <w:r w:rsidR="009305E8" w:rsidRPr="00AC48B6">
        <w:rPr>
          <w:rFonts w:ascii="Times New Roman" w:hAnsi="Times New Roman" w:cs="Times New Roman"/>
          <w:b/>
          <w:sz w:val="24"/>
          <w:szCs w:val="24"/>
        </w:rPr>
        <w:t>Analysis comparing baseline variables between patient with (complete) and without (missing) outcome data.</w:t>
      </w:r>
    </w:p>
    <w:p w14:paraId="3FBD9F67" w14:textId="77777777" w:rsidR="00AC48B6" w:rsidRPr="00AC48B6" w:rsidRDefault="00AC48B6" w:rsidP="00AC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B6">
        <w:rPr>
          <w:rFonts w:ascii="Times New Roman" w:hAnsi="Times New Roman" w:cs="Times New Roman"/>
          <w:sz w:val="24"/>
          <w:szCs w:val="24"/>
        </w:rPr>
        <w:t>*Means with standard deviation, #numbers with proportions, ¥median with interquartile range</w:t>
      </w:r>
    </w:p>
    <w:p w14:paraId="6898FFD1" w14:textId="0BE8C514" w:rsidR="00AC48B6" w:rsidRPr="00AC48B6" w:rsidRDefault="000C5E19" w:rsidP="00AC48B6">
      <w:pPr>
        <w:tabs>
          <w:tab w:val="left" w:pos="12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</w:t>
      </w:r>
      <w:r w:rsidR="00AC48B6" w:rsidRPr="00AC48B6">
        <w:rPr>
          <w:rFonts w:ascii="Times New Roman" w:hAnsi="Times New Roman" w:cs="Times New Roman"/>
          <w:sz w:val="24"/>
          <w:szCs w:val="24"/>
        </w:rPr>
        <w:t xml:space="preserve"> = intraventricular </w:t>
      </w:r>
      <w:r>
        <w:rPr>
          <w:rFonts w:ascii="Times New Roman" w:hAnsi="Times New Roman" w:cs="Times New Roman"/>
          <w:sz w:val="24"/>
          <w:szCs w:val="24"/>
        </w:rPr>
        <w:t>extension</w:t>
      </w:r>
      <w:bookmarkStart w:id="0" w:name="_GoBack"/>
      <w:bookmarkEnd w:id="0"/>
      <w:r w:rsidR="00AC48B6" w:rsidRPr="00AC48B6">
        <w:rPr>
          <w:rFonts w:ascii="Times New Roman" w:hAnsi="Times New Roman" w:cs="Times New Roman"/>
          <w:sz w:val="24"/>
          <w:szCs w:val="24"/>
        </w:rPr>
        <w:t>, NIHSS = national institutes of health stroke scale, AP = antiplatelet therapy, VKA = vitamin K antagonist, DOAC = direct oral anticoagulant</w:t>
      </w:r>
      <w:r w:rsidR="00AC48B6" w:rsidRPr="00AC48B6">
        <w:rPr>
          <w:rFonts w:ascii="Times New Roman" w:hAnsi="Times New Roman" w:cs="Times New Roman"/>
          <w:b/>
          <w:sz w:val="24"/>
          <w:szCs w:val="24"/>
        </w:rPr>
        <w:tab/>
      </w:r>
    </w:p>
    <w:p w14:paraId="36F3BD9A" w14:textId="77777777" w:rsidR="00AC48B6" w:rsidRPr="00AC48B6" w:rsidRDefault="00AC48B6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48"/>
        <w:gridCol w:w="2381"/>
        <w:gridCol w:w="2128"/>
      </w:tblGrid>
      <w:tr w:rsidR="009305E8" w:rsidRPr="00AC48B6" w14:paraId="54D84DB2" w14:textId="77777777" w:rsidTr="009305E8">
        <w:tc>
          <w:tcPr>
            <w:tcW w:w="2605" w:type="dxa"/>
          </w:tcPr>
          <w:p w14:paraId="6A22474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015980E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Missing (102)</w:t>
            </w:r>
          </w:p>
        </w:tc>
        <w:tc>
          <w:tcPr>
            <w:tcW w:w="2381" w:type="dxa"/>
          </w:tcPr>
          <w:p w14:paraId="17773771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Complete (814)</w:t>
            </w:r>
          </w:p>
        </w:tc>
        <w:tc>
          <w:tcPr>
            <w:tcW w:w="2128" w:type="dxa"/>
          </w:tcPr>
          <w:p w14:paraId="5396A22C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significance</w:t>
            </w:r>
          </w:p>
        </w:tc>
      </w:tr>
      <w:tr w:rsidR="009305E8" w:rsidRPr="00AC48B6" w14:paraId="6FAFA401" w14:textId="77777777" w:rsidTr="009305E8">
        <w:tc>
          <w:tcPr>
            <w:tcW w:w="2605" w:type="dxa"/>
          </w:tcPr>
          <w:p w14:paraId="09298C1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Age*</w:t>
            </w:r>
          </w:p>
        </w:tc>
        <w:tc>
          <w:tcPr>
            <w:tcW w:w="1948" w:type="dxa"/>
          </w:tcPr>
          <w:p w14:paraId="19F033D0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64.7 (16.5)</w:t>
            </w:r>
          </w:p>
        </w:tc>
        <w:tc>
          <w:tcPr>
            <w:tcW w:w="2381" w:type="dxa"/>
          </w:tcPr>
          <w:p w14:paraId="2F0063CB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67.6 (15.4)</w:t>
            </w:r>
          </w:p>
        </w:tc>
        <w:tc>
          <w:tcPr>
            <w:tcW w:w="2128" w:type="dxa"/>
          </w:tcPr>
          <w:p w14:paraId="3D01232F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9305E8" w:rsidRPr="00AC48B6" w14:paraId="2E37FEF1" w14:textId="77777777" w:rsidTr="009305E8">
        <w:tc>
          <w:tcPr>
            <w:tcW w:w="2605" w:type="dxa"/>
          </w:tcPr>
          <w:p w14:paraId="4033A3B6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Male gender#</w:t>
            </w:r>
          </w:p>
        </w:tc>
        <w:tc>
          <w:tcPr>
            <w:tcW w:w="1948" w:type="dxa"/>
          </w:tcPr>
          <w:p w14:paraId="181C65F2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51 (50.0)</w:t>
            </w:r>
          </w:p>
        </w:tc>
        <w:tc>
          <w:tcPr>
            <w:tcW w:w="2381" w:type="dxa"/>
          </w:tcPr>
          <w:p w14:paraId="147FACD0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433 (53.2)</w:t>
            </w:r>
          </w:p>
        </w:tc>
        <w:tc>
          <w:tcPr>
            <w:tcW w:w="2128" w:type="dxa"/>
          </w:tcPr>
          <w:p w14:paraId="01156E60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9305E8" w:rsidRPr="00AC48B6" w14:paraId="2A403B22" w14:textId="77777777" w:rsidTr="009305E8">
        <w:tc>
          <w:tcPr>
            <w:tcW w:w="2605" w:type="dxa"/>
          </w:tcPr>
          <w:p w14:paraId="353C2185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Hypertension#</w:t>
            </w:r>
          </w:p>
        </w:tc>
        <w:tc>
          <w:tcPr>
            <w:tcW w:w="1948" w:type="dxa"/>
          </w:tcPr>
          <w:p w14:paraId="5EDEB29C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43 (42.2)</w:t>
            </w:r>
          </w:p>
        </w:tc>
        <w:tc>
          <w:tcPr>
            <w:tcW w:w="2381" w:type="dxa"/>
          </w:tcPr>
          <w:p w14:paraId="2076F137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401 (49.3)</w:t>
            </w:r>
          </w:p>
        </w:tc>
        <w:tc>
          <w:tcPr>
            <w:tcW w:w="2128" w:type="dxa"/>
          </w:tcPr>
          <w:p w14:paraId="0E108162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9305E8" w:rsidRPr="00AC48B6" w14:paraId="0F672197" w14:textId="77777777" w:rsidTr="009305E8">
        <w:tc>
          <w:tcPr>
            <w:tcW w:w="2605" w:type="dxa"/>
          </w:tcPr>
          <w:p w14:paraId="7D29597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Dyslipidemie</w:t>
            </w:r>
            <w:proofErr w:type="spellEnd"/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948" w:type="dxa"/>
          </w:tcPr>
          <w:p w14:paraId="365A53CB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10 (9.9)</w:t>
            </w:r>
          </w:p>
        </w:tc>
        <w:tc>
          <w:tcPr>
            <w:tcW w:w="2381" w:type="dxa"/>
          </w:tcPr>
          <w:p w14:paraId="424D6EAF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74 (9.1)</w:t>
            </w:r>
          </w:p>
        </w:tc>
        <w:tc>
          <w:tcPr>
            <w:tcW w:w="2128" w:type="dxa"/>
          </w:tcPr>
          <w:p w14:paraId="2F9C048B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9305E8" w:rsidRPr="00AC48B6" w14:paraId="38F5C1DB" w14:textId="77777777" w:rsidTr="009305E8">
        <w:tc>
          <w:tcPr>
            <w:tcW w:w="2605" w:type="dxa"/>
          </w:tcPr>
          <w:p w14:paraId="02805036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Diabetes#</w:t>
            </w:r>
          </w:p>
        </w:tc>
        <w:tc>
          <w:tcPr>
            <w:tcW w:w="1948" w:type="dxa"/>
          </w:tcPr>
          <w:p w14:paraId="0F91DD7E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19 (18.6)</w:t>
            </w:r>
          </w:p>
        </w:tc>
        <w:tc>
          <w:tcPr>
            <w:tcW w:w="2381" w:type="dxa"/>
          </w:tcPr>
          <w:p w14:paraId="69EAF541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132 (16.2)</w:t>
            </w:r>
          </w:p>
        </w:tc>
        <w:tc>
          <w:tcPr>
            <w:tcW w:w="2128" w:type="dxa"/>
          </w:tcPr>
          <w:p w14:paraId="75CF9E3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9305E8" w:rsidRPr="00AC48B6" w14:paraId="0919CED7" w14:textId="77777777" w:rsidTr="009305E8">
        <w:tc>
          <w:tcPr>
            <w:tcW w:w="2605" w:type="dxa"/>
          </w:tcPr>
          <w:p w14:paraId="471ABD9C" w14:textId="402F4A1B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Previous stroke#</w:t>
            </w:r>
          </w:p>
        </w:tc>
        <w:tc>
          <w:tcPr>
            <w:tcW w:w="1948" w:type="dxa"/>
          </w:tcPr>
          <w:p w14:paraId="67E8D559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24 (23.5)</w:t>
            </w:r>
          </w:p>
        </w:tc>
        <w:tc>
          <w:tcPr>
            <w:tcW w:w="2381" w:type="dxa"/>
          </w:tcPr>
          <w:p w14:paraId="6A4DA2B4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183 (22.5)</w:t>
            </w:r>
          </w:p>
        </w:tc>
        <w:tc>
          <w:tcPr>
            <w:tcW w:w="2128" w:type="dxa"/>
          </w:tcPr>
          <w:p w14:paraId="3F67B865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9305E8" w:rsidRPr="00AC48B6" w14:paraId="406DBA06" w14:textId="77777777" w:rsidTr="009305E8">
        <w:tc>
          <w:tcPr>
            <w:tcW w:w="2605" w:type="dxa"/>
          </w:tcPr>
          <w:p w14:paraId="3E20C0E8" w14:textId="2029AF17" w:rsidR="009305E8" w:rsidRPr="00AC48B6" w:rsidRDefault="000C5E19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="009305E8" w:rsidRPr="00AC48B6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948" w:type="dxa"/>
          </w:tcPr>
          <w:p w14:paraId="099563F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31 (30.4)</w:t>
            </w:r>
          </w:p>
        </w:tc>
        <w:tc>
          <w:tcPr>
            <w:tcW w:w="2381" w:type="dxa"/>
          </w:tcPr>
          <w:p w14:paraId="4328D2D9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313 (38.5)</w:t>
            </w:r>
          </w:p>
        </w:tc>
        <w:tc>
          <w:tcPr>
            <w:tcW w:w="2128" w:type="dxa"/>
          </w:tcPr>
          <w:p w14:paraId="102D99B0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9305E8" w:rsidRPr="00AC48B6" w14:paraId="627A2226" w14:textId="77777777" w:rsidTr="009305E8">
        <w:tc>
          <w:tcPr>
            <w:tcW w:w="2605" w:type="dxa"/>
          </w:tcPr>
          <w:p w14:paraId="4C863DCA" w14:textId="4FEED689" w:rsidR="009305E8" w:rsidRPr="00AC48B6" w:rsidRDefault="002B2C0F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05E8" w:rsidRPr="00AC48B6">
              <w:rPr>
                <w:rFonts w:ascii="Times New Roman" w:hAnsi="Times New Roman" w:cs="Times New Roman"/>
                <w:sz w:val="24"/>
                <w:szCs w:val="24"/>
              </w:rPr>
              <w:t>nfratentorial#</w:t>
            </w:r>
          </w:p>
        </w:tc>
        <w:tc>
          <w:tcPr>
            <w:tcW w:w="1948" w:type="dxa"/>
          </w:tcPr>
          <w:p w14:paraId="54FD3E6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12 (11.8)</w:t>
            </w:r>
          </w:p>
        </w:tc>
        <w:tc>
          <w:tcPr>
            <w:tcW w:w="2381" w:type="dxa"/>
          </w:tcPr>
          <w:p w14:paraId="124FF553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132 (16.2)</w:t>
            </w:r>
          </w:p>
        </w:tc>
        <w:tc>
          <w:tcPr>
            <w:tcW w:w="2128" w:type="dxa"/>
          </w:tcPr>
          <w:p w14:paraId="208326F4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9305E8" w:rsidRPr="00AC48B6" w14:paraId="24FF290E" w14:textId="77777777" w:rsidTr="009305E8">
        <w:tc>
          <w:tcPr>
            <w:tcW w:w="2605" w:type="dxa"/>
          </w:tcPr>
          <w:p w14:paraId="027CFEE6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NIHSS¥</w:t>
            </w:r>
          </w:p>
        </w:tc>
        <w:tc>
          <w:tcPr>
            <w:tcW w:w="1948" w:type="dxa"/>
          </w:tcPr>
          <w:p w14:paraId="104B7109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9.5 (4 – 15)</w:t>
            </w:r>
          </w:p>
        </w:tc>
        <w:tc>
          <w:tcPr>
            <w:tcW w:w="2381" w:type="dxa"/>
          </w:tcPr>
          <w:p w14:paraId="393C1195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17.5 (8 – 28)</w:t>
            </w:r>
          </w:p>
        </w:tc>
        <w:tc>
          <w:tcPr>
            <w:tcW w:w="2128" w:type="dxa"/>
          </w:tcPr>
          <w:p w14:paraId="507B4B2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9305E8" w:rsidRPr="00AC48B6" w14:paraId="20A38B11" w14:textId="77777777" w:rsidTr="009305E8">
        <w:tc>
          <w:tcPr>
            <w:tcW w:w="2605" w:type="dxa"/>
          </w:tcPr>
          <w:p w14:paraId="6BD6CAA9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Antithrombotic therapy#</w:t>
            </w:r>
          </w:p>
          <w:p w14:paraId="2A29A7A9" w14:textId="77777777" w:rsidR="009305E8" w:rsidRPr="00AC48B6" w:rsidRDefault="009305E8" w:rsidP="00AC48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AP </w:t>
            </w:r>
          </w:p>
          <w:p w14:paraId="1B11D863" w14:textId="77777777" w:rsidR="009305E8" w:rsidRPr="00AC48B6" w:rsidRDefault="009305E8" w:rsidP="00AC48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VKA </w:t>
            </w:r>
          </w:p>
          <w:p w14:paraId="16A70737" w14:textId="77777777" w:rsidR="009305E8" w:rsidRPr="00AC48B6" w:rsidRDefault="009305E8" w:rsidP="00AC48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DOAC</w:t>
            </w:r>
          </w:p>
        </w:tc>
        <w:tc>
          <w:tcPr>
            <w:tcW w:w="1948" w:type="dxa"/>
          </w:tcPr>
          <w:p w14:paraId="20CC73C4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1F52D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22 (21.5)</w:t>
            </w:r>
          </w:p>
          <w:p w14:paraId="3AA7AA6C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8 (7.8)</w:t>
            </w:r>
          </w:p>
          <w:p w14:paraId="4D41BA5D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 (2.0)</w:t>
            </w:r>
          </w:p>
        </w:tc>
        <w:tc>
          <w:tcPr>
            <w:tcW w:w="2381" w:type="dxa"/>
          </w:tcPr>
          <w:p w14:paraId="6D976669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0C82C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201 (24.7)</w:t>
            </w:r>
          </w:p>
          <w:p w14:paraId="244C2DE8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153 (18.8)</w:t>
            </w:r>
          </w:p>
          <w:p w14:paraId="1989E2AB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38 (4.7)</w:t>
            </w:r>
          </w:p>
        </w:tc>
        <w:tc>
          <w:tcPr>
            <w:tcW w:w="2128" w:type="dxa"/>
          </w:tcPr>
          <w:p w14:paraId="59C9753D" w14:textId="77777777" w:rsidR="009305E8" w:rsidRPr="00AC48B6" w:rsidRDefault="009305E8" w:rsidP="00AC4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</w:tr>
    </w:tbl>
    <w:p w14:paraId="1DCB7636" w14:textId="77777777" w:rsidR="009305E8" w:rsidRPr="00AC48B6" w:rsidRDefault="009305E8" w:rsidP="00AC48B6">
      <w:pPr>
        <w:tabs>
          <w:tab w:val="left" w:pos="124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D567D" w14:textId="792BADC8" w:rsidR="00AB29EB" w:rsidRPr="00AC48B6" w:rsidRDefault="009305E8" w:rsidP="00AC48B6">
      <w:pPr>
        <w:tabs>
          <w:tab w:val="left" w:pos="1248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AB29EB" w:rsidRPr="00AC48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48B6">
        <w:rPr>
          <w:rFonts w:ascii="Times New Roman" w:hAnsi="Times New Roman" w:cs="Times New Roman"/>
          <w:sz w:val="24"/>
          <w:szCs w:val="24"/>
        </w:rPr>
        <w:tab/>
      </w:r>
    </w:p>
    <w:p w14:paraId="10DC3E02" w14:textId="436819C0" w:rsidR="00666718" w:rsidRPr="00AC48B6" w:rsidRDefault="00555A9A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b/>
          <w:sz w:val="24"/>
          <w:szCs w:val="24"/>
        </w:rPr>
        <w:lastRenderedPageBreak/>
        <w:t>Supplemental t</w:t>
      </w:r>
      <w:r w:rsidR="00AC2CC2" w:rsidRPr="00AC48B6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9305E8" w:rsidRPr="00AC48B6">
        <w:rPr>
          <w:rFonts w:ascii="Times New Roman" w:hAnsi="Times New Roman" w:cs="Times New Roman"/>
          <w:b/>
          <w:sz w:val="24"/>
          <w:szCs w:val="24"/>
        </w:rPr>
        <w:t>3</w:t>
      </w:r>
      <w:r w:rsidR="00666718" w:rsidRPr="00AC48B6">
        <w:rPr>
          <w:rFonts w:ascii="Times New Roman" w:hAnsi="Times New Roman" w:cs="Times New Roman"/>
          <w:b/>
          <w:sz w:val="24"/>
          <w:szCs w:val="24"/>
        </w:rPr>
        <w:t>:</w:t>
      </w:r>
      <w:r w:rsidR="00666718" w:rsidRPr="00AC48B6">
        <w:rPr>
          <w:rFonts w:ascii="Times New Roman" w:hAnsi="Times New Roman" w:cs="Times New Roman"/>
          <w:sz w:val="24"/>
          <w:szCs w:val="24"/>
        </w:rPr>
        <w:t xml:space="preserve"> </w:t>
      </w:r>
      <w:r w:rsidR="00666718" w:rsidRPr="00AC48B6">
        <w:rPr>
          <w:rFonts w:ascii="Times New Roman" w:hAnsi="Times New Roman" w:cs="Times New Roman"/>
          <w:b/>
          <w:sz w:val="24"/>
          <w:szCs w:val="24"/>
        </w:rPr>
        <w:t xml:space="preserve">Association of </w:t>
      </w:r>
      <w:r w:rsidR="0000622F" w:rsidRPr="00AC48B6">
        <w:rPr>
          <w:rFonts w:ascii="Times New Roman" w:hAnsi="Times New Roman" w:cs="Times New Roman"/>
          <w:b/>
          <w:sz w:val="24"/>
          <w:szCs w:val="24"/>
        </w:rPr>
        <w:t>antiplatelet therapy (</w:t>
      </w:r>
      <w:r w:rsidR="0070067E" w:rsidRPr="00AC48B6">
        <w:rPr>
          <w:rFonts w:ascii="Times New Roman" w:hAnsi="Times New Roman" w:cs="Times New Roman"/>
          <w:b/>
          <w:sz w:val="24"/>
          <w:szCs w:val="24"/>
        </w:rPr>
        <w:t>AP</w:t>
      </w:r>
      <w:r w:rsidR="0000622F" w:rsidRPr="00AC48B6">
        <w:rPr>
          <w:rFonts w:ascii="Times New Roman" w:hAnsi="Times New Roman" w:cs="Times New Roman"/>
          <w:b/>
          <w:sz w:val="24"/>
          <w:szCs w:val="24"/>
        </w:rPr>
        <w:t>)</w:t>
      </w:r>
      <w:r w:rsidR="0070067E" w:rsidRPr="00AC48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622F" w:rsidRPr="00AC48B6">
        <w:rPr>
          <w:rFonts w:ascii="Times New Roman" w:hAnsi="Times New Roman" w:cs="Times New Roman"/>
          <w:b/>
          <w:sz w:val="24"/>
          <w:szCs w:val="24"/>
        </w:rPr>
        <w:t>vitamin K antagonist (</w:t>
      </w:r>
      <w:r w:rsidR="0070067E" w:rsidRPr="00AC48B6">
        <w:rPr>
          <w:rFonts w:ascii="Times New Roman" w:hAnsi="Times New Roman" w:cs="Times New Roman"/>
          <w:b/>
          <w:sz w:val="24"/>
          <w:szCs w:val="24"/>
        </w:rPr>
        <w:t>VKA</w:t>
      </w:r>
      <w:r w:rsidR="0000622F" w:rsidRPr="00AC48B6">
        <w:rPr>
          <w:rFonts w:ascii="Times New Roman" w:hAnsi="Times New Roman" w:cs="Times New Roman"/>
          <w:b/>
          <w:sz w:val="24"/>
          <w:szCs w:val="24"/>
        </w:rPr>
        <w:t>), and direct oral anticoagulant (DOAC) use</w:t>
      </w:r>
      <w:r w:rsidR="00666718" w:rsidRPr="00AC48B6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D5374" w:rsidRPr="00AC48B6">
        <w:rPr>
          <w:rFonts w:ascii="Times New Roman" w:hAnsi="Times New Roman" w:cs="Times New Roman"/>
          <w:b/>
          <w:sz w:val="24"/>
          <w:szCs w:val="24"/>
        </w:rPr>
        <w:t>poor outcome and mortality at 90</w:t>
      </w:r>
      <w:r w:rsidR="00666718" w:rsidRPr="00AC48B6">
        <w:rPr>
          <w:rFonts w:ascii="Times New Roman" w:hAnsi="Times New Roman" w:cs="Times New Roman"/>
          <w:b/>
          <w:sz w:val="24"/>
          <w:szCs w:val="24"/>
        </w:rPr>
        <w:t xml:space="preserve"> days</w:t>
      </w:r>
      <w:r w:rsidR="001D5374" w:rsidRPr="00AC48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718" w:rsidRPr="00AC48B6">
        <w:rPr>
          <w:rFonts w:ascii="Times New Roman" w:hAnsi="Times New Roman" w:cs="Times New Roman"/>
          <w:b/>
          <w:sz w:val="24"/>
          <w:szCs w:val="24"/>
        </w:rPr>
        <w:t>Adjusted analysis using logistic regression</w:t>
      </w:r>
      <w:r w:rsidR="001D5374" w:rsidRPr="00AC48B6">
        <w:rPr>
          <w:rFonts w:ascii="Times New Roman" w:hAnsi="Times New Roman" w:cs="Times New Roman"/>
          <w:b/>
          <w:sz w:val="24"/>
          <w:szCs w:val="24"/>
        </w:rPr>
        <w:t xml:space="preserve"> with additional adjusting for ICU care</w:t>
      </w:r>
      <w:r w:rsidR="00666718" w:rsidRPr="00AC48B6">
        <w:rPr>
          <w:rFonts w:ascii="Times New Roman" w:hAnsi="Times New Roman" w:cs="Times New Roman"/>
          <w:b/>
          <w:sz w:val="24"/>
          <w:szCs w:val="24"/>
        </w:rPr>
        <w:t>.</w:t>
      </w:r>
    </w:p>
    <w:p w14:paraId="6C439B08" w14:textId="7F06904F" w:rsidR="00A235E5" w:rsidRPr="00AC48B6" w:rsidRDefault="00A235E5" w:rsidP="00AC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B6">
        <w:rPr>
          <w:rFonts w:ascii="Times New Roman" w:hAnsi="Times New Roman" w:cs="Times New Roman"/>
          <w:sz w:val="24"/>
          <w:szCs w:val="24"/>
        </w:rPr>
        <w:t>Shown are numbers with proportions and odds ratio´s (OR) with 95% confidence intervals (CI). Adjusted analyses were adjusted</w:t>
      </w:r>
      <w:r w:rsidR="000505B6" w:rsidRPr="00AC48B6">
        <w:rPr>
          <w:rFonts w:ascii="Times New Roman" w:hAnsi="Times New Roman" w:cs="Times New Roman"/>
          <w:sz w:val="24"/>
          <w:szCs w:val="24"/>
        </w:rPr>
        <w:t xml:space="preserve"> for age, history of hypertension, </w:t>
      </w:r>
      <w:r w:rsidRPr="00AC48B6">
        <w:rPr>
          <w:rFonts w:ascii="Times New Roman" w:hAnsi="Times New Roman" w:cs="Times New Roman"/>
          <w:sz w:val="24"/>
          <w:szCs w:val="24"/>
        </w:rPr>
        <w:t>diabetes</w:t>
      </w:r>
      <w:r w:rsidR="000505B6" w:rsidRPr="00AC48B6">
        <w:rPr>
          <w:rFonts w:ascii="Times New Roman" w:hAnsi="Times New Roman" w:cs="Times New Roman"/>
          <w:sz w:val="24"/>
          <w:szCs w:val="24"/>
        </w:rPr>
        <w:t>, or stroke</w:t>
      </w:r>
      <w:r w:rsidRPr="00AC48B6">
        <w:rPr>
          <w:rFonts w:ascii="Times New Roman" w:hAnsi="Times New Roman" w:cs="Times New Roman"/>
          <w:sz w:val="24"/>
          <w:szCs w:val="24"/>
        </w:rPr>
        <w:t xml:space="preserve">, national institutes of health stroke scale (NIHSS), intraventricular extension (IVE), infratentorial localization, </w:t>
      </w:r>
      <w:r w:rsidR="00D91A0B" w:rsidRPr="00AC48B6">
        <w:rPr>
          <w:rFonts w:ascii="Times New Roman" w:hAnsi="Times New Roman" w:cs="Times New Roman"/>
          <w:sz w:val="24"/>
          <w:szCs w:val="24"/>
        </w:rPr>
        <w:t>interaction of age with NIHSS, and</w:t>
      </w:r>
      <w:r w:rsidR="001447D8" w:rsidRPr="00AC48B6">
        <w:rPr>
          <w:rFonts w:ascii="Times New Roman" w:hAnsi="Times New Roman" w:cs="Times New Roman"/>
          <w:sz w:val="24"/>
          <w:szCs w:val="24"/>
        </w:rPr>
        <w:t xml:space="preserve"> </w:t>
      </w:r>
      <w:r w:rsidRPr="00AC48B6">
        <w:rPr>
          <w:rFonts w:ascii="Times New Roman" w:hAnsi="Times New Roman" w:cs="Times New Roman"/>
          <w:sz w:val="24"/>
          <w:szCs w:val="24"/>
        </w:rPr>
        <w:t>ICU care</w:t>
      </w:r>
      <w:r w:rsidR="001447D8" w:rsidRPr="00AC48B6">
        <w:rPr>
          <w:rFonts w:ascii="Times New Roman" w:hAnsi="Times New Roman" w:cs="Times New Roman"/>
          <w:sz w:val="24"/>
          <w:szCs w:val="24"/>
        </w:rPr>
        <w:t>.</w:t>
      </w:r>
      <w:r w:rsidRPr="00AC4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F669B" w14:textId="307195FE" w:rsidR="00666718" w:rsidRPr="00AC48B6" w:rsidRDefault="00666718" w:rsidP="00AC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72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549"/>
        <w:gridCol w:w="1870"/>
        <w:gridCol w:w="1870"/>
        <w:gridCol w:w="1880"/>
        <w:gridCol w:w="1901"/>
        <w:gridCol w:w="1901"/>
        <w:gridCol w:w="1901"/>
      </w:tblGrid>
      <w:tr w:rsidR="00AB29EB" w:rsidRPr="00AC48B6" w14:paraId="0DC96842" w14:textId="77777777" w:rsidTr="007F50B3">
        <w:tc>
          <w:tcPr>
            <w:tcW w:w="1549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 w14:paraId="16304D4F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bottom w:val="nil"/>
            </w:tcBorders>
          </w:tcPr>
          <w:p w14:paraId="5612930F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bottom w:val="nil"/>
            </w:tcBorders>
          </w:tcPr>
          <w:p w14:paraId="21A08B9B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Cs/>
                <w:sz w:val="24"/>
                <w:szCs w:val="24"/>
              </w:rPr>
              <w:t>Poor outcome</w:t>
            </w:r>
          </w:p>
        </w:tc>
        <w:tc>
          <w:tcPr>
            <w:tcW w:w="1880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7187507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704E5E77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2" w:space="0" w:color="000000"/>
              <w:bottom w:val="nil"/>
            </w:tcBorders>
          </w:tcPr>
          <w:p w14:paraId="098ADBAB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Cs/>
                <w:sz w:val="24"/>
                <w:szCs w:val="24"/>
              </w:rPr>
              <w:t>Mortality</w:t>
            </w:r>
          </w:p>
        </w:tc>
        <w:tc>
          <w:tcPr>
            <w:tcW w:w="1901" w:type="dxa"/>
            <w:tcBorders>
              <w:top w:val="single" w:sz="12" w:space="0" w:color="000000"/>
              <w:bottom w:val="nil"/>
            </w:tcBorders>
          </w:tcPr>
          <w:p w14:paraId="2F19D9E8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29EB" w:rsidRPr="00AC48B6" w14:paraId="6BFEB002" w14:textId="77777777" w:rsidTr="007F50B3">
        <w:tc>
          <w:tcPr>
            <w:tcW w:w="1549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2B170B1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single" w:sz="6" w:space="0" w:color="000000"/>
            </w:tcBorders>
          </w:tcPr>
          <w:p w14:paraId="6C3CD911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6045CE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 %</w:t>
            </w:r>
          </w:p>
        </w:tc>
        <w:tc>
          <w:tcPr>
            <w:tcW w:w="1870" w:type="dxa"/>
            <w:tcBorders>
              <w:top w:val="nil"/>
              <w:bottom w:val="single" w:sz="6" w:space="0" w:color="000000"/>
            </w:tcBorders>
          </w:tcPr>
          <w:p w14:paraId="0962DE82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Unadjusted</w:t>
            </w:r>
          </w:p>
          <w:p w14:paraId="30FEDFA5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  <w:tc>
          <w:tcPr>
            <w:tcW w:w="1880" w:type="dxa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3CD67C2E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Adjusted</w:t>
            </w:r>
          </w:p>
          <w:p w14:paraId="0B66D63E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  <w:r w:rsidRPr="00AC48B6" w:rsidDel="00FF32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14:paraId="0335C0B9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2F3586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 %</w:t>
            </w:r>
          </w:p>
        </w:tc>
        <w:tc>
          <w:tcPr>
            <w:tcW w:w="1901" w:type="dxa"/>
            <w:tcBorders>
              <w:top w:val="nil"/>
              <w:bottom w:val="single" w:sz="6" w:space="0" w:color="000000"/>
            </w:tcBorders>
          </w:tcPr>
          <w:p w14:paraId="6E2537FC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Unadjusted</w:t>
            </w:r>
          </w:p>
          <w:p w14:paraId="24E1BB61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  <w:tc>
          <w:tcPr>
            <w:tcW w:w="1901" w:type="dxa"/>
            <w:tcBorders>
              <w:top w:val="nil"/>
              <w:bottom w:val="single" w:sz="6" w:space="0" w:color="000000"/>
            </w:tcBorders>
          </w:tcPr>
          <w:p w14:paraId="02DE4365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Adjusted</w:t>
            </w:r>
          </w:p>
          <w:p w14:paraId="23CC344A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</w:tr>
      <w:tr w:rsidR="00AB29EB" w:rsidRPr="00AC48B6" w14:paraId="18793BAA" w14:textId="77777777" w:rsidTr="007F50B3">
        <w:tc>
          <w:tcPr>
            <w:tcW w:w="1549" w:type="dxa"/>
            <w:tcBorders>
              <w:right w:val="single" w:sz="6" w:space="0" w:color="000000"/>
            </w:tcBorders>
          </w:tcPr>
          <w:p w14:paraId="24B32541" w14:textId="24CEF9A0" w:rsidR="00AB29EB" w:rsidRPr="00AC48B6" w:rsidRDefault="001447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870" w:type="dxa"/>
          </w:tcPr>
          <w:p w14:paraId="07A8F114" w14:textId="77777777" w:rsidR="00AB29EB" w:rsidRPr="00AC48B6" w:rsidDel="00FF32B6" w:rsidRDefault="00AB29E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168, 83.6</w:t>
            </w:r>
          </w:p>
        </w:tc>
        <w:tc>
          <w:tcPr>
            <w:tcW w:w="1870" w:type="dxa"/>
          </w:tcPr>
          <w:p w14:paraId="77354429" w14:textId="26877B25" w:rsidR="00AB29EB" w:rsidRPr="00AC48B6" w:rsidDel="00FF32B6" w:rsidRDefault="0099493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3.8, 2.5 – 5.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right w:val="single" w:sz="12" w:space="0" w:color="000000"/>
            </w:tcBorders>
          </w:tcPr>
          <w:p w14:paraId="5184C610" w14:textId="55B6D088" w:rsidR="00AB29EB" w:rsidRPr="00AC48B6" w:rsidRDefault="00A235E5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937" w:rsidRPr="00AC48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994937" w:rsidRPr="00AC48B6">
              <w:rPr>
                <w:rFonts w:ascii="Times New Roman" w:hAnsi="Times New Roman" w:cs="Times New Roman"/>
                <w:sz w:val="24"/>
                <w:szCs w:val="24"/>
              </w:rPr>
              <w:t>0 – 3.8</w:t>
            </w:r>
          </w:p>
        </w:tc>
        <w:tc>
          <w:tcPr>
            <w:tcW w:w="1901" w:type="dxa"/>
            <w:tcBorders>
              <w:left w:val="single" w:sz="12" w:space="0" w:color="000000"/>
            </w:tcBorders>
          </w:tcPr>
          <w:p w14:paraId="6DAF46AD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136, 67.7</w:t>
            </w:r>
          </w:p>
        </w:tc>
        <w:tc>
          <w:tcPr>
            <w:tcW w:w="1901" w:type="dxa"/>
          </w:tcPr>
          <w:p w14:paraId="78374624" w14:textId="2E5A677D" w:rsidR="00AB29EB" w:rsidRPr="00AC48B6" w:rsidDel="00FF32B6" w:rsidRDefault="0099493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3, 2.4 – 4.8</w:t>
            </w:r>
          </w:p>
        </w:tc>
        <w:tc>
          <w:tcPr>
            <w:tcW w:w="1901" w:type="dxa"/>
          </w:tcPr>
          <w:p w14:paraId="7B8AD779" w14:textId="7D213445" w:rsidR="00AB29EB" w:rsidRPr="00AC48B6" w:rsidDel="00FF32B6" w:rsidRDefault="00B71F3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1.2, 0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 – 2.2</w:t>
            </w:r>
          </w:p>
        </w:tc>
      </w:tr>
      <w:tr w:rsidR="00AB29EB" w:rsidRPr="00AC48B6" w14:paraId="3B067BE1" w14:textId="77777777" w:rsidTr="007F50B3">
        <w:tc>
          <w:tcPr>
            <w:tcW w:w="1549" w:type="dxa"/>
            <w:tcBorders>
              <w:right w:val="single" w:sz="6" w:space="0" w:color="000000"/>
            </w:tcBorders>
          </w:tcPr>
          <w:p w14:paraId="7DF2A239" w14:textId="660E0B84" w:rsidR="00AB29EB" w:rsidRPr="00AC48B6" w:rsidRDefault="001447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VKA</w:t>
            </w:r>
          </w:p>
        </w:tc>
        <w:tc>
          <w:tcPr>
            <w:tcW w:w="1870" w:type="dxa"/>
          </w:tcPr>
          <w:p w14:paraId="6046711F" w14:textId="77777777" w:rsidR="00AB29EB" w:rsidRPr="00AC48B6" w:rsidDel="00FF32B6" w:rsidRDefault="00AB29E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128, 83.7</w:t>
            </w:r>
          </w:p>
        </w:tc>
        <w:tc>
          <w:tcPr>
            <w:tcW w:w="1870" w:type="dxa"/>
          </w:tcPr>
          <w:p w14:paraId="096E9B64" w14:textId="018526FF" w:rsidR="00AB29EB" w:rsidRPr="00AC48B6" w:rsidDel="00FF32B6" w:rsidRDefault="0099493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3.8, 2.4 – 6.1</w:t>
            </w:r>
          </w:p>
        </w:tc>
        <w:tc>
          <w:tcPr>
            <w:tcW w:w="1880" w:type="dxa"/>
            <w:tcBorders>
              <w:right w:val="single" w:sz="12" w:space="0" w:color="000000"/>
            </w:tcBorders>
          </w:tcPr>
          <w:p w14:paraId="734BF8BB" w14:textId="4AAFB8A6" w:rsidR="00AB29EB" w:rsidRPr="00AC48B6" w:rsidRDefault="000A1B92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3.1, 1.6 – 6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left w:val="single" w:sz="12" w:space="0" w:color="000000"/>
            </w:tcBorders>
          </w:tcPr>
          <w:p w14:paraId="449220FC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113, 73.9</w:t>
            </w:r>
          </w:p>
        </w:tc>
        <w:tc>
          <w:tcPr>
            <w:tcW w:w="1901" w:type="dxa"/>
          </w:tcPr>
          <w:p w14:paraId="3508318C" w14:textId="5DE86D69" w:rsidR="00AB29EB" w:rsidRPr="00AC48B6" w:rsidDel="00FF32B6" w:rsidRDefault="0099493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4.6, 3.0 – 6.9</w:t>
            </w:r>
          </w:p>
        </w:tc>
        <w:tc>
          <w:tcPr>
            <w:tcW w:w="1901" w:type="dxa"/>
          </w:tcPr>
          <w:p w14:paraId="1661A513" w14:textId="5C728B2E" w:rsidR="00AB29EB" w:rsidRPr="00AC48B6" w:rsidDel="00FF32B6" w:rsidRDefault="000A1B92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2.6, 1.3 – 5.3</w:t>
            </w:r>
          </w:p>
        </w:tc>
      </w:tr>
      <w:tr w:rsidR="00AB29EB" w:rsidRPr="00AC48B6" w14:paraId="6842C8C0" w14:textId="77777777" w:rsidTr="007F50B3">
        <w:tc>
          <w:tcPr>
            <w:tcW w:w="1549" w:type="dxa"/>
            <w:tcBorders>
              <w:right w:val="single" w:sz="6" w:space="0" w:color="000000"/>
            </w:tcBorders>
          </w:tcPr>
          <w:p w14:paraId="02CB4680" w14:textId="48685740" w:rsidR="00AB29EB" w:rsidRPr="00AC48B6" w:rsidRDefault="001447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DOAC</w:t>
            </w:r>
          </w:p>
        </w:tc>
        <w:tc>
          <w:tcPr>
            <w:tcW w:w="1870" w:type="dxa"/>
          </w:tcPr>
          <w:p w14:paraId="4B5C5538" w14:textId="77777777" w:rsidR="00AB29EB" w:rsidRPr="00AC48B6" w:rsidDel="00FF32B6" w:rsidRDefault="00AB29E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32, 84.2</w:t>
            </w:r>
          </w:p>
        </w:tc>
        <w:tc>
          <w:tcPr>
            <w:tcW w:w="1870" w:type="dxa"/>
          </w:tcPr>
          <w:p w14:paraId="303E3271" w14:textId="08E9604D" w:rsidR="00AB29EB" w:rsidRPr="00AC48B6" w:rsidDel="00FF32B6" w:rsidRDefault="00610AFA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4.0, 1.6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– 9.7</w:t>
            </w:r>
          </w:p>
        </w:tc>
        <w:tc>
          <w:tcPr>
            <w:tcW w:w="1880" w:type="dxa"/>
            <w:tcBorders>
              <w:bottom w:val="single" w:sz="12" w:space="0" w:color="000000"/>
              <w:right w:val="single" w:sz="12" w:space="0" w:color="000000"/>
            </w:tcBorders>
          </w:tcPr>
          <w:p w14:paraId="5D21F583" w14:textId="05280F71" w:rsidR="00AB29EB" w:rsidRPr="00AC48B6" w:rsidRDefault="00D91A0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B29EB" w:rsidRPr="00AC48B6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 – 6.8</w:t>
            </w:r>
          </w:p>
        </w:tc>
        <w:tc>
          <w:tcPr>
            <w:tcW w:w="1901" w:type="dxa"/>
            <w:tcBorders>
              <w:left w:val="single" w:sz="12" w:space="0" w:color="000000"/>
            </w:tcBorders>
          </w:tcPr>
          <w:p w14:paraId="7AD481F8" w14:textId="77777777" w:rsidR="00AB29EB" w:rsidRPr="00AC48B6" w:rsidRDefault="00AB29E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26, 68.4</w:t>
            </w:r>
          </w:p>
        </w:tc>
        <w:tc>
          <w:tcPr>
            <w:tcW w:w="1901" w:type="dxa"/>
          </w:tcPr>
          <w:p w14:paraId="458B1010" w14:textId="5ABCA34D" w:rsidR="00AB29EB" w:rsidRPr="00AC48B6" w:rsidDel="00FF32B6" w:rsidRDefault="00610AFA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3.5, 1.7 – 7.2</w:t>
            </w:r>
          </w:p>
        </w:tc>
        <w:tc>
          <w:tcPr>
            <w:tcW w:w="1901" w:type="dxa"/>
          </w:tcPr>
          <w:p w14:paraId="02F41127" w14:textId="416F9F78" w:rsidR="00AB29EB" w:rsidRPr="00AC48B6" w:rsidDel="00FF32B6" w:rsidRDefault="00D91A0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610AFA" w:rsidRPr="00AC48B6">
              <w:rPr>
                <w:rFonts w:ascii="Times New Roman" w:hAnsi="Times New Roman" w:cs="Times New Roman"/>
                <w:sz w:val="24"/>
                <w:szCs w:val="24"/>
              </w:rPr>
              <w:t>, 0.5 – 3.7</w:t>
            </w:r>
          </w:p>
        </w:tc>
      </w:tr>
    </w:tbl>
    <w:p w14:paraId="651C67CF" w14:textId="77777777" w:rsidR="001D5374" w:rsidRPr="00AC48B6" w:rsidRDefault="001D5374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4492B7" w14:textId="77777777" w:rsidR="00E464C4" w:rsidRPr="00AC48B6" w:rsidRDefault="00E464C4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D4D2C" w14:textId="77777777" w:rsidR="00E464C4" w:rsidRPr="00AC48B6" w:rsidRDefault="00E464C4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670E5" w14:textId="77777777" w:rsidR="00E464C4" w:rsidRPr="00AC48B6" w:rsidRDefault="00E464C4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5C7D9" w14:textId="77777777" w:rsidR="00E464C4" w:rsidRPr="00AC48B6" w:rsidRDefault="00E464C4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B0B4B0" w14:textId="77777777" w:rsidR="00E464C4" w:rsidRPr="00AC48B6" w:rsidRDefault="00E464C4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13CD8" w14:textId="77777777" w:rsidR="00AC48B6" w:rsidRDefault="00AC48B6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A3754" w14:textId="77777777" w:rsidR="00AC48B6" w:rsidRDefault="00AC48B6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08ED8" w14:textId="01A8073C" w:rsidR="001D5374" w:rsidRPr="00AC48B6" w:rsidRDefault="00555A9A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b/>
          <w:sz w:val="24"/>
          <w:szCs w:val="24"/>
        </w:rPr>
        <w:lastRenderedPageBreak/>
        <w:t>Supplemental t</w:t>
      </w:r>
      <w:r w:rsidR="009305E8" w:rsidRPr="00AC48B6">
        <w:rPr>
          <w:rFonts w:ascii="Times New Roman" w:hAnsi="Times New Roman" w:cs="Times New Roman"/>
          <w:b/>
          <w:sz w:val="24"/>
          <w:szCs w:val="24"/>
        </w:rPr>
        <w:t>able 4</w:t>
      </w:r>
      <w:r w:rsidR="001D5374" w:rsidRPr="00AC48B6">
        <w:rPr>
          <w:rFonts w:ascii="Times New Roman" w:hAnsi="Times New Roman" w:cs="Times New Roman"/>
          <w:b/>
          <w:sz w:val="24"/>
          <w:szCs w:val="24"/>
        </w:rPr>
        <w:t>:</w:t>
      </w:r>
      <w:r w:rsidR="001D5374" w:rsidRPr="00AC48B6">
        <w:rPr>
          <w:rFonts w:ascii="Times New Roman" w:hAnsi="Times New Roman" w:cs="Times New Roman"/>
          <w:sz w:val="24"/>
          <w:szCs w:val="24"/>
        </w:rPr>
        <w:t xml:space="preserve"> </w:t>
      </w:r>
      <w:r w:rsidR="0000622F" w:rsidRPr="00AC48B6">
        <w:rPr>
          <w:rFonts w:ascii="Times New Roman" w:hAnsi="Times New Roman" w:cs="Times New Roman"/>
          <w:b/>
          <w:sz w:val="24"/>
          <w:szCs w:val="24"/>
        </w:rPr>
        <w:t xml:space="preserve">Association of antiplatelet therapy (AP), vitamin K antagonist (VKA), and direct oral anticoagulant (DOAC) use with </w:t>
      </w:r>
      <w:r w:rsidR="001D5374" w:rsidRPr="00AC48B6">
        <w:rPr>
          <w:rFonts w:ascii="Times New Roman" w:hAnsi="Times New Roman" w:cs="Times New Roman"/>
          <w:b/>
          <w:sz w:val="24"/>
          <w:szCs w:val="24"/>
        </w:rPr>
        <w:t>mortality at 30 days and at discharge. Adjusted analysis using logistic regression.</w:t>
      </w:r>
    </w:p>
    <w:p w14:paraId="2DC4F9C5" w14:textId="447E34E4" w:rsidR="00A235E5" w:rsidRPr="00AC48B6" w:rsidRDefault="00A235E5" w:rsidP="00AC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8B6">
        <w:rPr>
          <w:rFonts w:ascii="Times New Roman" w:hAnsi="Times New Roman" w:cs="Times New Roman"/>
          <w:sz w:val="24"/>
          <w:szCs w:val="24"/>
        </w:rPr>
        <w:t xml:space="preserve">Shown are numbers with proportions and odds ratio´s (OR) with 95% confidence intervals (CI). Adjusted analyses were adjusted for age, </w:t>
      </w:r>
      <w:r w:rsidR="000505B6" w:rsidRPr="00AC48B6">
        <w:rPr>
          <w:rFonts w:ascii="Times New Roman" w:hAnsi="Times New Roman" w:cs="Times New Roman"/>
          <w:sz w:val="24"/>
          <w:szCs w:val="24"/>
        </w:rPr>
        <w:t xml:space="preserve">history of hypertension, </w:t>
      </w:r>
      <w:r w:rsidRPr="00AC48B6">
        <w:rPr>
          <w:rFonts w:ascii="Times New Roman" w:hAnsi="Times New Roman" w:cs="Times New Roman"/>
          <w:sz w:val="24"/>
          <w:szCs w:val="24"/>
        </w:rPr>
        <w:t>diabetes</w:t>
      </w:r>
      <w:r w:rsidR="000505B6" w:rsidRPr="00AC48B6">
        <w:rPr>
          <w:rFonts w:ascii="Times New Roman" w:hAnsi="Times New Roman" w:cs="Times New Roman"/>
          <w:sz w:val="24"/>
          <w:szCs w:val="24"/>
        </w:rPr>
        <w:t>, or stroke</w:t>
      </w:r>
      <w:r w:rsidRPr="00AC48B6">
        <w:rPr>
          <w:rFonts w:ascii="Times New Roman" w:hAnsi="Times New Roman" w:cs="Times New Roman"/>
          <w:sz w:val="24"/>
          <w:szCs w:val="24"/>
        </w:rPr>
        <w:t>, national institutes of health stroke scale (NIHSS), intraventricular extension (IVE),</w:t>
      </w:r>
      <w:r w:rsidR="00994937" w:rsidRPr="00AC48B6">
        <w:rPr>
          <w:rFonts w:ascii="Times New Roman" w:hAnsi="Times New Roman" w:cs="Times New Roman"/>
          <w:sz w:val="24"/>
          <w:szCs w:val="24"/>
        </w:rPr>
        <w:t xml:space="preserve"> infratentorial localization</w:t>
      </w:r>
      <w:r w:rsidR="00D91A0B" w:rsidRPr="00AC48B6">
        <w:rPr>
          <w:rFonts w:ascii="Times New Roman" w:hAnsi="Times New Roman" w:cs="Times New Roman"/>
          <w:sz w:val="24"/>
          <w:szCs w:val="24"/>
        </w:rPr>
        <w:t>, and interaction of age with NIHSS</w:t>
      </w:r>
      <w:r w:rsidR="00994937" w:rsidRPr="00AC48B6">
        <w:rPr>
          <w:rFonts w:ascii="Times New Roman" w:hAnsi="Times New Roman" w:cs="Times New Roman"/>
          <w:sz w:val="24"/>
          <w:szCs w:val="24"/>
        </w:rPr>
        <w:t>.</w:t>
      </w:r>
    </w:p>
    <w:p w14:paraId="78AEB36F" w14:textId="3594D12A" w:rsidR="00A235E5" w:rsidRPr="00AC48B6" w:rsidRDefault="00A235E5" w:rsidP="00AC4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72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544"/>
        <w:gridCol w:w="1862"/>
        <w:gridCol w:w="1906"/>
        <w:gridCol w:w="1875"/>
        <w:gridCol w:w="1893"/>
        <w:gridCol w:w="1897"/>
        <w:gridCol w:w="1895"/>
      </w:tblGrid>
      <w:tr w:rsidR="0089357B" w:rsidRPr="00AC48B6" w14:paraId="3D19B12E" w14:textId="77777777" w:rsidTr="0089357B">
        <w:trPr>
          <w:trHeight w:val="499"/>
        </w:trPr>
        <w:tc>
          <w:tcPr>
            <w:tcW w:w="1544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 w14:paraId="6126A45B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43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27C1ACA" w14:textId="77777777" w:rsidR="0089357B" w:rsidRPr="00AC48B6" w:rsidRDefault="0089357B" w:rsidP="00AC48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Cs/>
                <w:sz w:val="24"/>
                <w:szCs w:val="24"/>
              </w:rPr>
              <w:t>Mortality discharge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0E1C8829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nil"/>
            </w:tcBorders>
          </w:tcPr>
          <w:p w14:paraId="77A03906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Cs/>
                <w:sz w:val="24"/>
                <w:szCs w:val="24"/>
              </w:rPr>
              <w:t>Mortality 30days</w:t>
            </w:r>
          </w:p>
        </w:tc>
        <w:tc>
          <w:tcPr>
            <w:tcW w:w="1895" w:type="dxa"/>
            <w:tcBorders>
              <w:top w:val="single" w:sz="12" w:space="0" w:color="000000"/>
              <w:bottom w:val="nil"/>
            </w:tcBorders>
          </w:tcPr>
          <w:p w14:paraId="58B89ADB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357B" w:rsidRPr="00AC48B6" w14:paraId="34277841" w14:textId="77777777" w:rsidTr="0089357B">
        <w:tc>
          <w:tcPr>
            <w:tcW w:w="154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DAF0196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single" w:sz="6" w:space="0" w:color="000000"/>
            </w:tcBorders>
          </w:tcPr>
          <w:p w14:paraId="5DDCA318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69B41F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 %</w:t>
            </w:r>
          </w:p>
        </w:tc>
        <w:tc>
          <w:tcPr>
            <w:tcW w:w="1906" w:type="dxa"/>
            <w:tcBorders>
              <w:top w:val="nil"/>
              <w:bottom w:val="single" w:sz="6" w:space="0" w:color="000000"/>
            </w:tcBorders>
          </w:tcPr>
          <w:p w14:paraId="162FF264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Unadjusted</w:t>
            </w:r>
          </w:p>
          <w:p w14:paraId="487293CF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  <w:tc>
          <w:tcPr>
            <w:tcW w:w="1875" w:type="dxa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6E9D4FDA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Adjusted</w:t>
            </w:r>
          </w:p>
          <w:p w14:paraId="240D4E5D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  <w:r w:rsidRPr="00AC48B6" w:rsidDel="00FF32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14:paraId="2D841C7B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45543B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 %</w:t>
            </w:r>
          </w:p>
        </w:tc>
        <w:tc>
          <w:tcPr>
            <w:tcW w:w="1897" w:type="dxa"/>
            <w:tcBorders>
              <w:top w:val="nil"/>
              <w:bottom w:val="single" w:sz="6" w:space="0" w:color="000000"/>
            </w:tcBorders>
          </w:tcPr>
          <w:p w14:paraId="3EBD2217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Unadjusted</w:t>
            </w:r>
          </w:p>
          <w:p w14:paraId="78D1B135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  <w:tc>
          <w:tcPr>
            <w:tcW w:w="1895" w:type="dxa"/>
            <w:tcBorders>
              <w:top w:val="nil"/>
              <w:bottom w:val="single" w:sz="6" w:space="0" w:color="000000"/>
            </w:tcBorders>
          </w:tcPr>
          <w:p w14:paraId="1F882AD4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Adjusted</w:t>
            </w:r>
          </w:p>
          <w:p w14:paraId="45DFC222" w14:textId="77777777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</w:tr>
      <w:tr w:rsidR="0089357B" w:rsidRPr="00AC48B6" w14:paraId="6335840F" w14:textId="77777777" w:rsidTr="0089357B">
        <w:tc>
          <w:tcPr>
            <w:tcW w:w="1544" w:type="dxa"/>
            <w:tcBorders>
              <w:right w:val="single" w:sz="6" w:space="0" w:color="000000"/>
            </w:tcBorders>
          </w:tcPr>
          <w:p w14:paraId="693D30A6" w14:textId="0467C02A" w:rsidR="0089357B" w:rsidRPr="00AC48B6" w:rsidRDefault="00744A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862" w:type="dxa"/>
          </w:tcPr>
          <w:p w14:paraId="6B8044BE" w14:textId="77777777" w:rsidR="0089357B" w:rsidRPr="00AC48B6" w:rsidDel="00FF32B6" w:rsidRDefault="00F511A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9357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906" w:type="dxa"/>
          </w:tcPr>
          <w:p w14:paraId="32DA1134" w14:textId="3998AD1F" w:rsidR="0089357B" w:rsidRPr="00AC48B6" w:rsidDel="00FF32B6" w:rsidRDefault="0099493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2.8, 2</w:t>
            </w:r>
            <w:r w:rsidR="00B51B54" w:rsidRPr="00AC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0 – 3.9</w:t>
            </w:r>
          </w:p>
        </w:tc>
        <w:tc>
          <w:tcPr>
            <w:tcW w:w="1875" w:type="dxa"/>
            <w:tcBorders>
              <w:right w:val="single" w:sz="12" w:space="0" w:color="000000"/>
            </w:tcBorders>
          </w:tcPr>
          <w:p w14:paraId="72D2CC2F" w14:textId="02764717" w:rsidR="0089357B" w:rsidRPr="00AC48B6" w:rsidRDefault="00B71F3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1.3, 0.8 – 2.2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1BF00E2E" w14:textId="77777777" w:rsidR="0089357B" w:rsidRPr="00AC48B6" w:rsidRDefault="00F511A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121, 60.1</w:t>
            </w:r>
          </w:p>
        </w:tc>
        <w:tc>
          <w:tcPr>
            <w:tcW w:w="1897" w:type="dxa"/>
          </w:tcPr>
          <w:p w14:paraId="635CABCA" w14:textId="0BBD6427" w:rsidR="0089357B" w:rsidRPr="00AC48B6" w:rsidDel="00FF32B6" w:rsidRDefault="0099493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3.0, 2.2</w:t>
            </w:r>
            <w:r w:rsidR="0089357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9357B" w:rsidRPr="00AC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14:paraId="75373D3F" w14:textId="4C677FB9" w:rsidR="0089357B" w:rsidRPr="00AC48B6" w:rsidDel="00FF32B6" w:rsidRDefault="00B71F3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1.4, 0</w:t>
            </w:r>
            <w:r w:rsidR="0089357B" w:rsidRPr="00AC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8 – 2.4</w:t>
            </w:r>
          </w:p>
        </w:tc>
      </w:tr>
      <w:tr w:rsidR="0089357B" w:rsidRPr="00AC48B6" w14:paraId="3822D940" w14:textId="77777777" w:rsidTr="0089357B">
        <w:tc>
          <w:tcPr>
            <w:tcW w:w="1544" w:type="dxa"/>
            <w:tcBorders>
              <w:right w:val="single" w:sz="6" w:space="0" w:color="000000"/>
            </w:tcBorders>
          </w:tcPr>
          <w:p w14:paraId="17181C20" w14:textId="60AFAF0F" w:rsidR="0089357B" w:rsidRPr="00AC48B6" w:rsidRDefault="00744A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VKA</w:t>
            </w:r>
          </w:p>
        </w:tc>
        <w:tc>
          <w:tcPr>
            <w:tcW w:w="1862" w:type="dxa"/>
          </w:tcPr>
          <w:p w14:paraId="12FBC7F4" w14:textId="77777777" w:rsidR="0089357B" w:rsidRPr="00AC48B6" w:rsidDel="00FF32B6" w:rsidRDefault="00F511A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9357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1906" w:type="dxa"/>
          </w:tcPr>
          <w:p w14:paraId="60328453" w14:textId="77A0FFCD" w:rsidR="0089357B" w:rsidRPr="00AC48B6" w:rsidDel="00FF32B6" w:rsidRDefault="001447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4.1, 2.8 – 5.9</w:t>
            </w:r>
          </w:p>
        </w:tc>
        <w:tc>
          <w:tcPr>
            <w:tcW w:w="1875" w:type="dxa"/>
            <w:tcBorders>
              <w:right w:val="single" w:sz="12" w:space="0" w:color="000000"/>
            </w:tcBorders>
          </w:tcPr>
          <w:p w14:paraId="0D0B5632" w14:textId="3E278B03" w:rsidR="0089357B" w:rsidRPr="00AC48B6" w:rsidRDefault="00B71F3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3.1, 1.8</w:t>
            </w:r>
            <w:r w:rsidR="0089357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06F6812D" w14:textId="77777777" w:rsidR="0089357B" w:rsidRPr="00AC48B6" w:rsidRDefault="00F511A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105, 68.6</w:t>
            </w:r>
          </w:p>
        </w:tc>
        <w:tc>
          <w:tcPr>
            <w:tcW w:w="1897" w:type="dxa"/>
          </w:tcPr>
          <w:p w14:paraId="39C659FD" w14:textId="18BF0B6F" w:rsidR="0089357B" w:rsidRPr="00AC48B6" w:rsidDel="00FF32B6" w:rsidRDefault="001447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4.8, 3.3 – 7.9</w:t>
            </w:r>
          </w:p>
        </w:tc>
        <w:tc>
          <w:tcPr>
            <w:tcW w:w="1895" w:type="dxa"/>
          </w:tcPr>
          <w:p w14:paraId="0977130F" w14:textId="29DA367F" w:rsidR="0089357B" w:rsidRPr="00AC48B6" w:rsidDel="00FF32B6" w:rsidRDefault="0089357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3E" w:rsidRPr="00AC48B6">
              <w:rPr>
                <w:rFonts w:ascii="Times New Roman" w:hAnsi="Times New Roman" w:cs="Times New Roman"/>
                <w:sz w:val="24"/>
                <w:szCs w:val="24"/>
              </w:rPr>
              <w:t>.5, 2.0 – 6.2</w:t>
            </w:r>
          </w:p>
        </w:tc>
      </w:tr>
      <w:tr w:rsidR="0089357B" w:rsidRPr="00AC48B6" w14:paraId="45978DAA" w14:textId="77777777" w:rsidTr="0089357B">
        <w:tc>
          <w:tcPr>
            <w:tcW w:w="1544" w:type="dxa"/>
            <w:tcBorders>
              <w:right w:val="single" w:sz="6" w:space="0" w:color="000000"/>
            </w:tcBorders>
          </w:tcPr>
          <w:p w14:paraId="2BF54BEF" w14:textId="2BE45421" w:rsidR="0089357B" w:rsidRPr="00AC48B6" w:rsidRDefault="00744AD8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DOAC</w:t>
            </w:r>
          </w:p>
        </w:tc>
        <w:tc>
          <w:tcPr>
            <w:tcW w:w="1862" w:type="dxa"/>
          </w:tcPr>
          <w:p w14:paraId="7C6EE7F0" w14:textId="77777777" w:rsidR="0089357B" w:rsidRPr="00AC48B6" w:rsidDel="00FF32B6" w:rsidRDefault="00F511A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24, 63.1</w:t>
            </w:r>
          </w:p>
        </w:tc>
        <w:tc>
          <w:tcPr>
            <w:tcW w:w="1906" w:type="dxa"/>
          </w:tcPr>
          <w:p w14:paraId="45C4D367" w14:textId="18364BEF" w:rsidR="0089357B" w:rsidRPr="00AC48B6" w:rsidDel="00FF32B6" w:rsidRDefault="00610AFA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357B" w:rsidRPr="00AC4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B54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2.1 – 8.0</w:t>
            </w:r>
          </w:p>
        </w:tc>
        <w:tc>
          <w:tcPr>
            <w:tcW w:w="1875" w:type="dxa"/>
            <w:tcBorders>
              <w:bottom w:val="single" w:sz="12" w:space="0" w:color="000000"/>
              <w:right w:val="single" w:sz="12" w:space="0" w:color="000000"/>
            </w:tcBorders>
          </w:tcPr>
          <w:p w14:paraId="2AEF01F1" w14:textId="2EA01412" w:rsidR="0089357B" w:rsidRPr="00AC48B6" w:rsidRDefault="0089357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A0B" w:rsidRPr="00AC48B6">
              <w:rPr>
                <w:rFonts w:ascii="Times New Roman" w:hAnsi="Times New Roman" w:cs="Times New Roman"/>
                <w:sz w:val="24"/>
                <w:szCs w:val="24"/>
              </w:rPr>
              <w:t>.3, 0.9 – 5.7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2E2A4721" w14:textId="77777777" w:rsidR="0089357B" w:rsidRPr="00AC48B6" w:rsidRDefault="00F511AE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25, 65.8</w:t>
            </w:r>
          </w:p>
        </w:tc>
        <w:tc>
          <w:tcPr>
            <w:tcW w:w="1897" w:type="dxa"/>
          </w:tcPr>
          <w:p w14:paraId="26F788E4" w14:textId="26C81BB6" w:rsidR="0089357B" w:rsidRPr="00AC48B6" w:rsidDel="00FF32B6" w:rsidRDefault="00610AFA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4.5, 2.3 – 8.9</w:t>
            </w:r>
          </w:p>
        </w:tc>
        <w:tc>
          <w:tcPr>
            <w:tcW w:w="1895" w:type="dxa"/>
          </w:tcPr>
          <w:p w14:paraId="014B6CBF" w14:textId="442627B1" w:rsidR="0089357B" w:rsidRPr="00AC48B6" w:rsidDel="00FF32B6" w:rsidRDefault="00D91A0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2.1, 0.8 – 5.4</w:t>
            </w:r>
          </w:p>
        </w:tc>
      </w:tr>
    </w:tbl>
    <w:p w14:paraId="62228807" w14:textId="77777777" w:rsidR="0089357B" w:rsidRPr="00AC48B6" w:rsidRDefault="0089357B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69A45C" w14:textId="21D339BC" w:rsidR="00B670DB" w:rsidRPr="00AC48B6" w:rsidRDefault="00B670DB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5F4925" w14:textId="77777777" w:rsidR="00B670DB" w:rsidRPr="00AC48B6" w:rsidRDefault="00B670DB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95578C" w14:textId="77777777" w:rsidR="00B670DB" w:rsidRPr="00AC48B6" w:rsidRDefault="00B670DB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9EC713" w14:textId="77777777" w:rsidR="00B670DB" w:rsidRPr="00AC48B6" w:rsidRDefault="00B670DB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904C8D" w14:textId="77777777" w:rsidR="00AC48B6" w:rsidRDefault="00AC48B6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215A4" w14:textId="77777777" w:rsidR="00AC48B6" w:rsidRDefault="00AC48B6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78C21" w14:textId="77777777" w:rsidR="00AC48B6" w:rsidRDefault="00AC48B6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95563" w14:textId="3B55360E" w:rsidR="0000622F" w:rsidRPr="00AC48B6" w:rsidRDefault="0031138D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b/>
          <w:sz w:val="24"/>
          <w:szCs w:val="24"/>
        </w:rPr>
        <w:lastRenderedPageBreak/>
        <w:t>Supplemental t</w:t>
      </w:r>
      <w:r w:rsidR="0070067E" w:rsidRPr="00AC48B6">
        <w:rPr>
          <w:rFonts w:ascii="Times New Roman" w:hAnsi="Times New Roman" w:cs="Times New Roman"/>
          <w:b/>
          <w:sz w:val="24"/>
          <w:szCs w:val="24"/>
        </w:rPr>
        <w:t xml:space="preserve">able 5:  </w:t>
      </w:r>
      <w:r w:rsidR="0000622F" w:rsidRPr="00AC48B6">
        <w:rPr>
          <w:rFonts w:ascii="Times New Roman" w:hAnsi="Times New Roman" w:cs="Times New Roman"/>
          <w:b/>
          <w:sz w:val="24"/>
          <w:szCs w:val="24"/>
        </w:rPr>
        <w:t>Association of vitamin K antagonist (VKA) use with and without concomitant antiplatelet therapy (AP) use with poor outcome and mortality at 90 days. Adjusted analysis using logistic regression.</w:t>
      </w:r>
    </w:p>
    <w:p w14:paraId="3F5AB2BF" w14:textId="31CD6B57" w:rsidR="00B670DB" w:rsidRPr="00AC48B6" w:rsidRDefault="0000622F" w:rsidP="00AC4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8B6">
        <w:rPr>
          <w:rFonts w:ascii="Times New Roman" w:hAnsi="Times New Roman" w:cs="Times New Roman"/>
          <w:sz w:val="24"/>
          <w:szCs w:val="24"/>
        </w:rPr>
        <w:t>Shown are numbers with proportions and odds ratio´s (OR) with 95% confidence intervals (CI). Adjusted analyses were adjusted for age, history of hypertension, diabetes, or stroke, national institutes of health stroke scale (NIHSS), intraventricular extension (IVE), and infratentorial localization.</w:t>
      </w:r>
    </w:p>
    <w:tbl>
      <w:tblPr>
        <w:tblW w:w="12872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1701"/>
        <w:gridCol w:w="1705"/>
        <w:gridCol w:w="1906"/>
        <w:gridCol w:w="1875"/>
        <w:gridCol w:w="1893"/>
        <w:gridCol w:w="1897"/>
        <w:gridCol w:w="1895"/>
      </w:tblGrid>
      <w:tr w:rsidR="00B670DB" w:rsidRPr="00AC48B6" w14:paraId="33195D2D" w14:textId="77777777" w:rsidTr="00AC48B6">
        <w:trPr>
          <w:trHeight w:val="499"/>
        </w:trPr>
        <w:tc>
          <w:tcPr>
            <w:tcW w:w="1701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 w14:paraId="319B4A14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D75A168" w14:textId="1E6D03F5" w:rsidR="00B670DB" w:rsidRPr="00AC48B6" w:rsidRDefault="00B670DB" w:rsidP="00AC48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Cs/>
                <w:sz w:val="24"/>
                <w:szCs w:val="24"/>
              </w:rPr>
              <w:t>Poor outcome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14BDD8D8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bottom w:val="nil"/>
            </w:tcBorders>
          </w:tcPr>
          <w:p w14:paraId="52348393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Cs/>
                <w:sz w:val="24"/>
                <w:szCs w:val="24"/>
              </w:rPr>
              <w:t>Mortality 30days</w:t>
            </w:r>
          </w:p>
        </w:tc>
        <w:tc>
          <w:tcPr>
            <w:tcW w:w="1895" w:type="dxa"/>
            <w:tcBorders>
              <w:top w:val="single" w:sz="12" w:space="0" w:color="000000"/>
              <w:bottom w:val="nil"/>
            </w:tcBorders>
          </w:tcPr>
          <w:p w14:paraId="43A88594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70DB" w:rsidRPr="00AC48B6" w14:paraId="2C7F1ED6" w14:textId="77777777" w:rsidTr="00AC48B6">
        <w:tc>
          <w:tcPr>
            <w:tcW w:w="170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F185C17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bottom w:val="single" w:sz="6" w:space="0" w:color="000000"/>
            </w:tcBorders>
          </w:tcPr>
          <w:p w14:paraId="1491C8E8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D52B26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 %</w:t>
            </w:r>
          </w:p>
        </w:tc>
        <w:tc>
          <w:tcPr>
            <w:tcW w:w="1906" w:type="dxa"/>
            <w:tcBorders>
              <w:top w:val="nil"/>
              <w:bottom w:val="single" w:sz="6" w:space="0" w:color="000000"/>
            </w:tcBorders>
          </w:tcPr>
          <w:p w14:paraId="07E5137F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Unadjusted</w:t>
            </w:r>
          </w:p>
          <w:p w14:paraId="7A299592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  <w:tc>
          <w:tcPr>
            <w:tcW w:w="1875" w:type="dxa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14:paraId="285C0936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Adjusted</w:t>
            </w:r>
          </w:p>
          <w:p w14:paraId="6DDA2A2A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  <w:r w:rsidRPr="00AC48B6" w:rsidDel="00FF32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14:paraId="65908D62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8CD9D1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 %</w:t>
            </w:r>
          </w:p>
        </w:tc>
        <w:tc>
          <w:tcPr>
            <w:tcW w:w="1897" w:type="dxa"/>
            <w:tcBorders>
              <w:top w:val="nil"/>
              <w:bottom w:val="single" w:sz="6" w:space="0" w:color="000000"/>
            </w:tcBorders>
          </w:tcPr>
          <w:p w14:paraId="378D1260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Unadjusted</w:t>
            </w:r>
          </w:p>
          <w:p w14:paraId="3A06B2A2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  <w:tc>
          <w:tcPr>
            <w:tcW w:w="1895" w:type="dxa"/>
            <w:tcBorders>
              <w:top w:val="nil"/>
              <w:bottom w:val="single" w:sz="6" w:space="0" w:color="000000"/>
            </w:tcBorders>
          </w:tcPr>
          <w:p w14:paraId="2DFFCED0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Adjusted</w:t>
            </w:r>
          </w:p>
          <w:p w14:paraId="49ADD2DC" w14:textId="77777777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OR, 95%CI</w:t>
            </w:r>
          </w:p>
        </w:tc>
      </w:tr>
      <w:tr w:rsidR="00B670DB" w:rsidRPr="00AC48B6" w14:paraId="54138FC5" w14:textId="77777777" w:rsidTr="00AC48B6">
        <w:tc>
          <w:tcPr>
            <w:tcW w:w="1701" w:type="dxa"/>
            <w:tcBorders>
              <w:right w:val="single" w:sz="6" w:space="0" w:color="000000"/>
            </w:tcBorders>
          </w:tcPr>
          <w:p w14:paraId="23CEB436" w14:textId="07EDC8C8" w:rsidR="00B670DB" w:rsidRPr="00AC48B6" w:rsidRDefault="006541BF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VKA w/o AP</w:t>
            </w:r>
          </w:p>
        </w:tc>
        <w:tc>
          <w:tcPr>
            <w:tcW w:w="1705" w:type="dxa"/>
          </w:tcPr>
          <w:p w14:paraId="4BE4457F" w14:textId="486AED73" w:rsidR="00B670DB" w:rsidRPr="00AC48B6" w:rsidDel="00FF32B6" w:rsidRDefault="00B670D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111, 80.4</w:t>
            </w:r>
          </w:p>
        </w:tc>
        <w:tc>
          <w:tcPr>
            <w:tcW w:w="1906" w:type="dxa"/>
          </w:tcPr>
          <w:p w14:paraId="0F4AF6BA" w14:textId="7C12F2F2" w:rsidR="00B670DB" w:rsidRPr="00AC48B6" w:rsidDel="00FF32B6" w:rsidRDefault="00B670D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2.9, 1.7 – 4.8</w:t>
            </w:r>
          </w:p>
        </w:tc>
        <w:tc>
          <w:tcPr>
            <w:tcW w:w="1875" w:type="dxa"/>
            <w:tcBorders>
              <w:right w:val="single" w:sz="12" w:space="0" w:color="000000"/>
            </w:tcBorders>
          </w:tcPr>
          <w:p w14:paraId="49E7EC07" w14:textId="465951D7" w:rsidR="00B670DB" w:rsidRPr="00AC48B6" w:rsidRDefault="008F304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3.5, 1.7 – 7.4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615693B2" w14:textId="0868E9BD" w:rsidR="00B670DB" w:rsidRPr="00AC48B6" w:rsidRDefault="006541BF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670D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1897" w:type="dxa"/>
          </w:tcPr>
          <w:p w14:paraId="516CF49F" w14:textId="413736B3" w:rsidR="00B670DB" w:rsidRPr="00AC48B6" w:rsidDel="00FF32B6" w:rsidRDefault="006541BF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2.9, 2.0</w:t>
            </w:r>
            <w:r w:rsidR="00B670D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14:paraId="5BF1533F" w14:textId="17F03689" w:rsidR="00B670DB" w:rsidRPr="00AC48B6" w:rsidDel="00FF32B6" w:rsidRDefault="008F304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670DB" w:rsidRPr="00AC48B6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 – 5.1</w:t>
            </w:r>
          </w:p>
        </w:tc>
      </w:tr>
      <w:tr w:rsidR="00B670DB" w:rsidRPr="00AC48B6" w14:paraId="760906B2" w14:textId="77777777" w:rsidTr="00AC48B6">
        <w:tc>
          <w:tcPr>
            <w:tcW w:w="1701" w:type="dxa"/>
            <w:tcBorders>
              <w:right w:val="single" w:sz="6" w:space="0" w:color="000000"/>
            </w:tcBorders>
          </w:tcPr>
          <w:p w14:paraId="0D7F6A63" w14:textId="68864CB5" w:rsidR="00B670DB" w:rsidRPr="00AC48B6" w:rsidRDefault="00B670D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VKA </w:t>
            </w:r>
            <w:proofErr w:type="spellStart"/>
            <w:r w:rsidRPr="00AC48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with</w:t>
            </w:r>
            <w:proofErr w:type="spellEnd"/>
            <w:r w:rsidRPr="00AC48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AP</w:t>
            </w:r>
          </w:p>
        </w:tc>
        <w:tc>
          <w:tcPr>
            <w:tcW w:w="1705" w:type="dxa"/>
          </w:tcPr>
          <w:p w14:paraId="6C210811" w14:textId="402621BC" w:rsidR="00B670DB" w:rsidRPr="00AC48B6" w:rsidDel="00FF32B6" w:rsidRDefault="00B670DB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6541BF" w:rsidRPr="00AC48B6"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1906" w:type="dxa"/>
          </w:tcPr>
          <w:p w14:paraId="4A3F658B" w14:textId="49988620" w:rsidR="00B670DB" w:rsidRPr="00AC48B6" w:rsidDel="00FF32B6" w:rsidRDefault="006541BF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1.2, 0.5 – 3.1</w:t>
            </w:r>
          </w:p>
        </w:tc>
        <w:tc>
          <w:tcPr>
            <w:tcW w:w="1875" w:type="dxa"/>
            <w:tcBorders>
              <w:right w:val="single" w:sz="12" w:space="0" w:color="000000"/>
            </w:tcBorders>
          </w:tcPr>
          <w:p w14:paraId="7D275897" w14:textId="21F73D73" w:rsidR="00B670DB" w:rsidRPr="00AC48B6" w:rsidRDefault="008F304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541BF" w:rsidRPr="00AC48B6">
              <w:rPr>
                <w:rFonts w:ascii="Times New Roman" w:hAnsi="Times New Roman" w:cs="Times New Roman"/>
                <w:sz w:val="24"/>
                <w:szCs w:val="24"/>
              </w:rPr>
              <w:t>, 0.3</w:t>
            </w:r>
            <w:r w:rsidR="00B670D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697E838D" w14:textId="10346F25" w:rsidR="00B670DB" w:rsidRPr="00AC48B6" w:rsidRDefault="006541BF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70DB" w:rsidRPr="00AC4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670DB" w:rsidRPr="00AC48B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97" w:type="dxa"/>
          </w:tcPr>
          <w:p w14:paraId="3589AB3D" w14:textId="0B8EAC4F" w:rsidR="00B670DB" w:rsidRPr="00AC48B6" w:rsidDel="00FF32B6" w:rsidRDefault="006541BF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2.1, 0.9 – 5.3</w:t>
            </w:r>
          </w:p>
        </w:tc>
        <w:tc>
          <w:tcPr>
            <w:tcW w:w="1895" w:type="dxa"/>
          </w:tcPr>
          <w:p w14:paraId="7D7B1607" w14:textId="2A9B01BD" w:rsidR="00B670DB" w:rsidRPr="00AC48B6" w:rsidDel="00FF32B6" w:rsidRDefault="008F3047" w:rsidP="00AC4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8B6">
              <w:rPr>
                <w:rFonts w:ascii="Times New Roman" w:hAnsi="Times New Roman" w:cs="Times New Roman"/>
                <w:sz w:val="24"/>
                <w:szCs w:val="24"/>
              </w:rPr>
              <w:t>2.0, 0.7 – 6.2</w:t>
            </w:r>
          </w:p>
        </w:tc>
      </w:tr>
    </w:tbl>
    <w:p w14:paraId="537E8068" w14:textId="5FF7DA74" w:rsidR="00B670DB" w:rsidRPr="00AC48B6" w:rsidRDefault="00B670DB" w:rsidP="00AC4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70DB" w:rsidRPr="00AC48B6" w:rsidSect="00AB29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Bembo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E6"/>
    <w:rsid w:val="0000530A"/>
    <w:rsid w:val="0000622F"/>
    <w:rsid w:val="0000709C"/>
    <w:rsid w:val="0001432F"/>
    <w:rsid w:val="000505B6"/>
    <w:rsid w:val="000A1B92"/>
    <w:rsid w:val="000A1DC2"/>
    <w:rsid w:val="000C5E19"/>
    <w:rsid w:val="000C6AC3"/>
    <w:rsid w:val="00130D69"/>
    <w:rsid w:val="001447D8"/>
    <w:rsid w:val="00175D23"/>
    <w:rsid w:val="001D4E81"/>
    <w:rsid w:val="001D5374"/>
    <w:rsid w:val="00234B31"/>
    <w:rsid w:val="002B2C0F"/>
    <w:rsid w:val="002F182D"/>
    <w:rsid w:val="00306FB0"/>
    <w:rsid w:val="0031138D"/>
    <w:rsid w:val="0044636B"/>
    <w:rsid w:val="004B1637"/>
    <w:rsid w:val="004D6EA4"/>
    <w:rsid w:val="00513D7F"/>
    <w:rsid w:val="0054571A"/>
    <w:rsid w:val="00555A9A"/>
    <w:rsid w:val="0056242D"/>
    <w:rsid w:val="005C5C66"/>
    <w:rsid w:val="00610AFA"/>
    <w:rsid w:val="006541BF"/>
    <w:rsid w:val="00666718"/>
    <w:rsid w:val="00695332"/>
    <w:rsid w:val="0070067E"/>
    <w:rsid w:val="00744AD8"/>
    <w:rsid w:val="00762D45"/>
    <w:rsid w:val="008664E6"/>
    <w:rsid w:val="0089357B"/>
    <w:rsid w:val="008F3047"/>
    <w:rsid w:val="00917462"/>
    <w:rsid w:val="009305E8"/>
    <w:rsid w:val="00960103"/>
    <w:rsid w:val="00994937"/>
    <w:rsid w:val="009B02CC"/>
    <w:rsid w:val="009D6B99"/>
    <w:rsid w:val="00A235E5"/>
    <w:rsid w:val="00A76A4A"/>
    <w:rsid w:val="00AB0B4A"/>
    <w:rsid w:val="00AB29EB"/>
    <w:rsid w:val="00AC2CC2"/>
    <w:rsid w:val="00AC48B6"/>
    <w:rsid w:val="00B06F6A"/>
    <w:rsid w:val="00B50FCE"/>
    <w:rsid w:val="00B51B54"/>
    <w:rsid w:val="00B670DB"/>
    <w:rsid w:val="00B71F3E"/>
    <w:rsid w:val="00B86AAB"/>
    <w:rsid w:val="00C526EB"/>
    <w:rsid w:val="00CC26CE"/>
    <w:rsid w:val="00D91A0B"/>
    <w:rsid w:val="00E464C4"/>
    <w:rsid w:val="00EC5114"/>
    <w:rsid w:val="00EE1271"/>
    <w:rsid w:val="00EF3B5A"/>
    <w:rsid w:val="00F43601"/>
    <w:rsid w:val="00F511AE"/>
    <w:rsid w:val="00F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BEBF"/>
  <w15:chartTrackingRefBased/>
  <w15:docId w15:val="{D0C67BE2-AB13-4906-B1C8-B406EB2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B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B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1D4E81"/>
    <w:rPr>
      <w:color w:val="0563C1"/>
      <w:u w:val="single"/>
    </w:rPr>
  </w:style>
  <w:style w:type="paragraph" w:styleId="BodyText2">
    <w:name w:val="Body Text 2"/>
    <w:basedOn w:val="Normal"/>
    <w:link w:val="BodyText2Char"/>
    <w:rsid w:val="001D4E81"/>
    <w:pPr>
      <w:spacing w:after="0" w:line="240" w:lineRule="auto"/>
      <w:jc w:val="both"/>
    </w:pPr>
    <w:rPr>
      <w:rFonts w:ascii="PBembo" w:eastAsia="Times New Roman" w:hAnsi="PBembo" w:cs="Times New Roman"/>
      <w:sz w:val="26"/>
      <w:szCs w:val="20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1D4E81"/>
    <w:rPr>
      <w:rFonts w:ascii="PBembo" w:eastAsia="Times New Roman" w:hAnsi="PBembo" w:cs="Times New Roman"/>
      <w:sz w:val="2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1802-F3D9-416B-9454-4CF28FD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Baharoglu, M.I. (Irem)</dc:creator>
  <cp:keywords/>
  <dc:description/>
  <cp:lastModifiedBy>Baharoglu, M.I. (Irem)</cp:lastModifiedBy>
  <cp:revision>4</cp:revision>
  <cp:lastPrinted>2021-01-21T07:30:00Z</cp:lastPrinted>
  <dcterms:created xsi:type="dcterms:W3CDTF">2021-03-18T11:29:00Z</dcterms:created>
  <dcterms:modified xsi:type="dcterms:W3CDTF">2021-03-23T11:10:00Z</dcterms:modified>
</cp:coreProperties>
</file>