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Supplementary Table 2.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Multivariable logistic regression analysis of factors associated with linezolid resistance in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S. aureus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blood isolates</w:t>
      </w:r>
    </w:p>
    <w:tbl>
      <w:tblPr>
        <w:tblW w:w="66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3369"/>
        <w:gridCol w:w="760"/>
        <w:gridCol w:w="1387"/>
        <w:gridCol w:w="980"/>
      </w:tblGrid>
      <w:tr>
        <w:trPr>
          <w:trHeight w:val="290"/>
        </w:trPr>
        <w:tc>
          <w:tcPr>
            <w:tcW w:w="195" w:type="dxa"/>
            <w:noWrap/>
            <w:vAlign w:val="bottom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69" w:type="dxa"/>
            <w:noWrap/>
            <w:vAlign w:val="bottom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de-DE"/>
              </w:rPr>
              <w:t>Multivariable analysis</w:t>
            </w:r>
          </w:p>
        </w:tc>
      </w:tr>
      <w:tr>
        <w:trPr>
          <w:trHeight w:val="290"/>
        </w:trPr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de-DE"/>
              </w:rPr>
              <w:t xml:space="preserve">OR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de-DE"/>
              </w:rPr>
              <w:t>(95% CI)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de-DE"/>
              </w:rPr>
              <w:t>p-value</w:t>
            </w:r>
          </w:p>
        </w:tc>
      </w:tr>
      <w:tr>
        <w:trPr>
          <w:trHeight w:val="290"/>
        </w:trPr>
        <w:tc>
          <w:tcPr>
            <w:tcW w:w="3564" w:type="dxa"/>
            <w:gridSpan w:val="2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en-GB" w:eastAsia="de-DE"/>
              </w:rPr>
              <w:t>Year of sampling (per 1year increase)</w:t>
            </w:r>
          </w:p>
        </w:tc>
        <w:tc>
          <w:tcPr>
            <w:tcW w:w="76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87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>
        <w:trPr>
          <w:trHeight w:val="290"/>
        </w:trPr>
        <w:tc>
          <w:tcPr>
            <w:tcW w:w="195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69" w:type="dxa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2014-2018</w:t>
            </w:r>
          </w:p>
        </w:tc>
        <w:tc>
          <w:tcPr>
            <w:tcW w:w="76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1.05</w:t>
            </w:r>
          </w:p>
        </w:tc>
        <w:tc>
          <w:tcPr>
            <w:tcW w:w="1387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(0.90-1.23)</w:t>
            </w:r>
          </w:p>
        </w:tc>
        <w:tc>
          <w:tcPr>
            <w:tcW w:w="98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0.556</w:t>
            </w:r>
          </w:p>
        </w:tc>
      </w:tr>
      <w:tr>
        <w:trPr>
          <w:trHeight w:val="290"/>
        </w:trPr>
        <w:tc>
          <w:tcPr>
            <w:tcW w:w="3564" w:type="dxa"/>
            <w:gridSpan w:val="2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en-GB" w:eastAsia="de-DE"/>
              </w:rPr>
              <w:t>Pathogen type</w:t>
            </w:r>
          </w:p>
        </w:tc>
        <w:tc>
          <w:tcPr>
            <w:tcW w:w="760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</w:p>
        </w:tc>
        <w:tc>
          <w:tcPr>
            <w:tcW w:w="1387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</w:p>
        </w:tc>
        <w:tc>
          <w:tcPr>
            <w:tcW w:w="980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</w:p>
        </w:tc>
      </w:tr>
      <w:tr>
        <w:trPr>
          <w:trHeight w:val="290"/>
        </w:trPr>
        <w:tc>
          <w:tcPr>
            <w:tcW w:w="195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69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MSSA</w:t>
            </w:r>
          </w:p>
        </w:tc>
        <w:tc>
          <w:tcPr>
            <w:tcW w:w="760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</w:t>
            </w:r>
          </w:p>
        </w:tc>
        <w:tc>
          <w:tcPr>
            <w:tcW w:w="1387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-</w:t>
            </w:r>
          </w:p>
        </w:tc>
        <w:tc>
          <w:tcPr>
            <w:tcW w:w="980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-</w:t>
            </w:r>
          </w:p>
        </w:tc>
      </w:tr>
      <w:tr>
        <w:trPr>
          <w:trHeight w:val="290"/>
        </w:trPr>
        <w:tc>
          <w:tcPr>
            <w:tcW w:w="195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69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MRSA</w:t>
            </w:r>
          </w:p>
        </w:tc>
        <w:tc>
          <w:tcPr>
            <w:tcW w:w="760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2.74</w:t>
            </w:r>
          </w:p>
        </w:tc>
        <w:tc>
          <w:tcPr>
            <w:tcW w:w="1387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(1.98-3.78)</w:t>
            </w:r>
          </w:p>
        </w:tc>
        <w:tc>
          <w:tcPr>
            <w:tcW w:w="980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&lt;0.001</w:t>
            </w:r>
          </w:p>
        </w:tc>
      </w:tr>
      <w:tr>
        <w:trPr>
          <w:trHeight w:val="290"/>
        </w:trPr>
        <w:tc>
          <w:tcPr>
            <w:tcW w:w="6691" w:type="dxa"/>
            <w:gridSpan w:val="5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en-GB" w:eastAsia="de-DE"/>
              </w:rPr>
              <w:t>Unit type</w:t>
            </w:r>
          </w:p>
        </w:tc>
      </w:tr>
      <w:tr>
        <w:trPr>
          <w:trHeight w:val="290"/>
        </w:trPr>
        <w:tc>
          <w:tcPr>
            <w:tcW w:w="195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69" w:type="dxa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Non-ICU</w:t>
            </w:r>
          </w:p>
        </w:tc>
        <w:tc>
          <w:tcPr>
            <w:tcW w:w="76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</w:t>
            </w:r>
          </w:p>
        </w:tc>
        <w:tc>
          <w:tcPr>
            <w:tcW w:w="1387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-</w:t>
            </w:r>
          </w:p>
        </w:tc>
        <w:tc>
          <w:tcPr>
            <w:tcW w:w="98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-</w:t>
            </w:r>
          </w:p>
        </w:tc>
      </w:tr>
      <w:tr>
        <w:trPr>
          <w:trHeight w:val="290"/>
        </w:trPr>
        <w:tc>
          <w:tcPr>
            <w:tcW w:w="195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69" w:type="dxa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ICU</w:t>
            </w:r>
          </w:p>
        </w:tc>
        <w:tc>
          <w:tcPr>
            <w:tcW w:w="76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1.99</w:t>
            </w:r>
          </w:p>
        </w:tc>
        <w:tc>
          <w:tcPr>
            <w:tcW w:w="1387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(1.36-2.90)</w:t>
            </w:r>
          </w:p>
        </w:tc>
        <w:tc>
          <w:tcPr>
            <w:tcW w:w="98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&lt;0.001</w:t>
            </w:r>
          </w:p>
        </w:tc>
      </w:tr>
      <w:tr>
        <w:trPr>
          <w:trHeight w:val="290"/>
        </w:trPr>
        <w:tc>
          <w:tcPr>
            <w:tcW w:w="195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69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Unknown</w:t>
            </w:r>
          </w:p>
        </w:tc>
        <w:tc>
          <w:tcPr>
            <w:tcW w:w="760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0.99</w:t>
            </w:r>
          </w:p>
        </w:tc>
        <w:tc>
          <w:tcPr>
            <w:tcW w:w="1387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(0.56-1.73)</w:t>
            </w:r>
          </w:p>
        </w:tc>
        <w:tc>
          <w:tcPr>
            <w:tcW w:w="980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0.959</w:t>
            </w:r>
          </w:p>
        </w:tc>
      </w:tr>
      <w:tr>
        <w:trPr>
          <w:trHeight w:val="290"/>
        </w:trPr>
        <w:tc>
          <w:tcPr>
            <w:tcW w:w="3564" w:type="dxa"/>
            <w:gridSpan w:val="2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en-GB" w:eastAsia="de-DE"/>
              </w:rPr>
              <w:t>European region</w:t>
            </w:r>
          </w:p>
        </w:tc>
        <w:tc>
          <w:tcPr>
            <w:tcW w:w="76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87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>
        <w:trPr>
          <w:trHeight w:val="290"/>
        </w:trPr>
        <w:tc>
          <w:tcPr>
            <w:tcW w:w="195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69" w:type="dxa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Eastern</w:t>
            </w:r>
          </w:p>
        </w:tc>
        <w:tc>
          <w:tcPr>
            <w:tcW w:w="76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</w:t>
            </w:r>
          </w:p>
        </w:tc>
        <w:tc>
          <w:tcPr>
            <w:tcW w:w="1387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-</w:t>
            </w:r>
          </w:p>
        </w:tc>
        <w:tc>
          <w:tcPr>
            <w:tcW w:w="98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-</w:t>
            </w:r>
          </w:p>
        </w:tc>
      </w:tr>
      <w:tr>
        <w:trPr>
          <w:trHeight w:val="290"/>
        </w:trPr>
        <w:tc>
          <w:tcPr>
            <w:tcW w:w="195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69" w:type="dxa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Northern</w:t>
            </w:r>
          </w:p>
        </w:tc>
        <w:tc>
          <w:tcPr>
            <w:tcW w:w="76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1.42</w:t>
            </w:r>
          </w:p>
        </w:tc>
        <w:tc>
          <w:tcPr>
            <w:tcW w:w="1387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(0.59-3.46)</w:t>
            </w:r>
          </w:p>
        </w:tc>
        <w:tc>
          <w:tcPr>
            <w:tcW w:w="98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0.436</w:t>
            </w:r>
          </w:p>
        </w:tc>
      </w:tr>
      <w:tr>
        <w:trPr>
          <w:trHeight w:val="290"/>
        </w:trPr>
        <w:tc>
          <w:tcPr>
            <w:tcW w:w="195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69" w:type="dxa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Western</w:t>
            </w:r>
          </w:p>
        </w:tc>
        <w:tc>
          <w:tcPr>
            <w:tcW w:w="76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1.11</w:t>
            </w:r>
          </w:p>
        </w:tc>
        <w:tc>
          <w:tcPr>
            <w:tcW w:w="1387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(0.54-2.26)</w:t>
            </w:r>
          </w:p>
        </w:tc>
        <w:tc>
          <w:tcPr>
            <w:tcW w:w="98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0.774</w:t>
            </w:r>
          </w:p>
        </w:tc>
      </w:tr>
      <w:tr>
        <w:trPr>
          <w:trHeight w:val="290"/>
        </w:trPr>
        <w:tc>
          <w:tcPr>
            <w:tcW w:w="195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69" w:type="dxa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Southern</w:t>
            </w:r>
          </w:p>
        </w:tc>
        <w:tc>
          <w:tcPr>
            <w:tcW w:w="76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3.23</w:t>
            </w:r>
          </w:p>
        </w:tc>
        <w:tc>
          <w:tcPr>
            <w:tcW w:w="1387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(1.52-6.83)</w:t>
            </w:r>
          </w:p>
        </w:tc>
        <w:tc>
          <w:tcPr>
            <w:tcW w:w="98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0.002</w:t>
            </w:r>
          </w:p>
        </w:tc>
      </w:tr>
      <w:tr>
        <w:trPr>
          <w:trHeight w:val="290"/>
        </w:trPr>
        <w:tc>
          <w:tcPr>
            <w:tcW w:w="3564" w:type="dxa"/>
            <w:gridSpan w:val="2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en-GB" w:eastAsia="de-DE"/>
              </w:rPr>
              <w:t>Patient age</w:t>
            </w:r>
          </w:p>
        </w:tc>
        <w:tc>
          <w:tcPr>
            <w:tcW w:w="76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87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>
        <w:trPr>
          <w:trHeight w:val="290"/>
        </w:trPr>
        <w:tc>
          <w:tcPr>
            <w:tcW w:w="195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69" w:type="dxa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&lt;1 year</w:t>
            </w:r>
          </w:p>
        </w:tc>
        <w:tc>
          <w:tcPr>
            <w:tcW w:w="76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</w:t>
            </w:r>
          </w:p>
        </w:tc>
        <w:tc>
          <w:tcPr>
            <w:tcW w:w="1387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-</w:t>
            </w:r>
          </w:p>
        </w:tc>
        <w:tc>
          <w:tcPr>
            <w:tcW w:w="98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-</w:t>
            </w:r>
          </w:p>
        </w:tc>
      </w:tr>
      <w:tr>
        <w:trPr>
          <w:trHeight w:val="290"/>
        </w:trPr>
        <w:tc>
          <w:tcPr>
            <w:tcW w:w="195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69" w:type="dxa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1-19 years</w:t>
            </w:r>
          </w:p>
        </w:tc>
        <w:tc>
          <w:tcPr>
            <w:tcW w:w="76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0.67</w:t>
            </w:r>
          </w:p>
        </w:tc>
        <w:tc>
          <w:tcPr>
            <w:tcW w:w="1387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(0.20-2.19)</w:t>
            </w:r>
          </w:p>
        </w:tc>
        <w:tc>
          <w:tcPr>
            <w:tcW w:w="98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0.503</w:t>
            </w:r>
          </w:p>
        </w:tc>
      </w:tr>
      <w:tr>
        <w:trPr>
          <w:trHeight w:val="290"/>
        </w:trPr>
        <w:tc>
          <w:tcPr>
            <w:tcW w:w="195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69" w:type="dxa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20-64 years</w:t>
            </w:r>
          </w:p>
        </w:tc>
        <w:tc>
          <w:tcPr>
            <w:tcW w:w="76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0.60</w:t>
            </w:r>
          </w:p>
        </w:tc>
        <w:tc>
          <w:tcPr>
            <w:tcW w:w="1387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(0.25-1.41)</w:t>
            </w:r>
          </w:p>
        </w:tc>
        <w:tc>
          <w:tcPr>
            <w:tcW w:w="98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0.240</w:t>
            </w:r>
          </w:p>
        </w:tc>
      </w:tr>
      <w:tr>
        <w:trPr>
          <w:trHeight w:val="290"/>
        </w:trPr>
        <w:tc>
          <w:tcPr>
            <w:tcW w:w="195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69" w:type="dxa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≥65 years</w:t>
            </w:r>
          </w:p>
        </w:tc>
        <w:tc>
          <w:tcPr>
            <w:tcW w:w="76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0.78</w:t>
            </w:r>
          </w:p>
        </w:tc>
        <w:tc>
          <w:tcPr>
            <w:tcW w:w="1387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(0.35-1.78)</w:t>
            </w:r>
          </w:p>
        </w:tc>
        <w:tc>
          <w:tcPr>
            <w:tcW w:w="98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0.559</w:t>
            </w:r>
          </w:p>
        </w:tc>
      </w:tr>
      <w:tr>
        <w:trPr>
          <w:trHeight w:val="290"/>
        </w:trPr>
        <w:tc>
          <w:tcPr>
            <w:tcW w:w="195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69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Unknown</w:t>
            </w:r>
          </w:p>
        </w:tc>
        <w:tc>
          <w:tcPr>
            <w:tcW w:w="760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0.99</w:t>
            </w:r>
          </w:p>
        </w:tc>
        <w:tc>
          <w:tcPr>
            <w:tcW w:w="1387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(0.33-3.01)</w:t>
            </w:r>
          </w:p>
        </w:tc>
        <w:tc>
          <w:tcPr>
            <w:tcW w:w="980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0.988</w:t>
            </w:r>
          </w:p>
        </w:tc>
      </w:tr>
      <w:tr>
        <w:trPr>
          <w:trHeight w:val="290"/>
        </w:trPr>
        <w:tc>
          <w:tcPr>
            <w:tcW w:w="3564" w:type="dxa"/>
            <w:gridSpan w:val="2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en-GB" w:eastAsia="de-DE"/>
              </w:rPr>
              <w:t>Patient gender</w:t>
            </w:r>
          </w:p>
        </w:tc>
        <w:tc>
          <w:tcPr>
            <w:tcW w:w="76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87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>
        <w:trPr>
          <w:trHeight w:val="290"/>
        </w:trPr>
        <w:tc>
          <w:tcPr>
            <w:tcW w:w="195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</w:p>
        </w:tc>
        <w:tc>
          <w:tcPr>
            <w:tcW w:w="3369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Female</w:t>
            </w:r>
          </w:p>
        </w:tc>
        <w:tc>
          <w:tcPr>
            <w:tcW w:w="76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</w:t>
            </w:r>
          </w:p>
        </w:tc>
        <w:tc>
          <w:tcPr>
            <w:tcW w:w="1387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-</w:t>
            </w:r>
          </w:p>
        </w:tc>
        <w:tc>
          <w:tcPr>
            <w:tcW w:w="98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-</w:t>
            </w:r>
          </w:p>
        </w:tc>
      </w:tr>
      <w:tr>
        <w:trPr>
          <w:trHeight w:val="290"/>
        </w:trPr>
        <w:tc>
          <w:tcPr>
            <w:tcW w:w="195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</w:p>
        </w:tc>
        <w:tc>
          <w:tcPr>
            <w:tcW w:w="3369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Male</w:t>
            </w:r>
          </w:p>
        </w:tc>
        <w:tc>
          <w:tcPr>
            <w:tcW w:w="760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0.85</w:t>
            </w:r>
          </w:p>
        </w:tc>
        <w:tc>
          <w:tcPr>
            <w:tcW w:w="1387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(0.60-1.21)</w:t>
            </w:r>
          </w:p>
        </w:tc>
        <w:tc>
          <w:tcPr>
            <w:tcW w:w="980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0.361</w:t>
            </w:r>
          </w:p>
        </w:tc>
      </w:tr>
      <w:tr>
        <w:trPr>
          <w:trHeight w:val="290"/>
        </w:trPr>
        <w:tc>
          <w:tcPr>
            <w:tcW w:w="195" w:type="dxa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</w:p>
        </w:tc>
        <w:tc>
          <w:tcPr>
            <w:tcW w:w="3369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Unknown</w:t>
            </w:r>
          </w:p>
        </w:tc>
        <w:tc>
          <w:tcPr>
            <w:tcW w:w="76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1.26</w:t>
            </w:r>
          </w:p>
        </w:tc>
        <w:tc>
          <w:tcPr>
            <w:tcW w:w="1387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(0.70-2.27)</w:t>
            </w:r>
          </w:p>
        </w:tc>
        <w:tc>
          <w:tcPr>
            <w:tcW w:w="98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0.433</w:t>
            </w:r>
          </w:p>
        </w:tc>
      </w:tr>
    </w:tbl>
    <w:p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 w:eastAsia="de-DE"/>
        </w:rPr>
      </w:pPr>
    </w:p>
    <w:p>
      <w:pPr>
        <w:spacing w:line="240" w:lineRule="auto"/>
        <w:rPr>
          <w:rFonts w:ascii="Times New Roman" w:hAnsi="Times New Roman" w:cs="Times New Roman"/>
          <w:b/>
          <w:sz w:val="20"/>
          <w:lang w:val="en-GB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 w:eastAsia="de-DE"/>
        </w:rPr>
        <w:t>OR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GB" w:eastAsia="de-DE"/>
        </w:rPr>
        <w:t xml:space="preserve">: Odds Ratio;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 w:eastAsia="de-DE"/>
        </w:rPr>
        <w:t>CI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GB" w:eastAsia="de-DE"/>
        </w:rPr>
        <w:t xml:space="preserve">: Confidence Interval;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 w:eastAsia="de-DE"/>
        </w:rPr>
        <w:t>ICU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GB" w:eastAsia="de-DE"/>
        </w:rPr>
        <w:t>: Intensive Care Unit</w:t>
      </w:r>
    </w:p>
    <w:p>
      <w:pPr>
        <w:rPr>
          <w:lang w:val="en-GB"/>
        </w:rPr>
      </w:pPr>
      <w:bookmarkStart w:id="0" w:name="_GoBack"/>
      <w:bookmarkEnd w:id="0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7AF32-EB97-4605-8555-1A9D5FE1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Ayobami, Olaniyi</dc:creator>
  <cp:keywords/>
  <dc:description/>
  <cp:lastModifiedBy>Ayobami, Olaniyi</cp:lastModifiedBy>
  <cp:revision>1</cp:revision>
  <dcterms:created xsi:type="dcterms:W3CDTF">2021-05-18T09:10:00Z</dcterms:created>
  <dcterms:modified xsi:type="dcterms:W3CDTF">2021-05-18T09:11:00Z</dcterms:modified>
</cp:coreProperties>
</file>