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6561" w14:textId="6345133A" w:rsidR="00B97315" w:rsidRPr="001120FB" w:rsidRDefault="00326F93" w:rsidP="00B65A79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eastAsiaTheme="minorHAnsi" w:hAnsi="Times New Roman" w:cs="Times New Roman"/>
          <w:b/>
          <w:iCs/>
          <w:sz w:val="32"/>
          <w:szCs w:val="24"/>
          <w:lang w:eastAsia="en-US"/>
        </w:rPr>
        <w:t>Immunosuppressive PLGA TGF-β1 Microparticles Induce Polyclonal and Antigen-Specific Regulatory T Cells for Local Immunomodulation of Allogeneic Islet Transplants</w:t>
      </w:r>
    </w:p>
    <w:p w14:paraId="41EAEC65" w14:textId="77777777" w:rsidR="00326F93" w:rsidRPr="001120FB" w:rsidRDefault="00326F93" w:rsidP="00B65A79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sz w:val="24"/>
          <w:szCs w:val="24"/>
        </w:rPr>
        <w:t>Ying Li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#1-2</w:t>
      </w:r>
      <w:r w:rsidRPr="001120FB">
        <w:rPr>
          <w:rFonts w:ascii="Times New Roman" w:hAnsi="Times New Roman" w:cs="Times New Roman"/>
          <w:sz w:val="24"/>
          <w:szCs w:val="24"/>
        </w:rPr>
        <w:t>, Anthony W. Frei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#1</w:t>
      </w:r>
      <w:r w:rsidRPr="001120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FB">
        <w:rPr>
          <w:rFonts w:ascii="Times New Roman" w:hAnsi="Times New Roman" w:cs="Times New Roman"/>
          <w:sz w:val="24"/>
          <w:szCs w:val="24"/>
        </w:rPr>
        <w:t>Irayme</w:t>
      </w:r>
      <w:proofErr w:type="spellEnd"/>
      <w:r w:rsidRPr="001120FB">
        <w:rPr>
          <w:rFonts w:ascii="Times New Roman" w:hAnsi="Times New Roman" w:cs="Times New Roman"/>
          <w:sz w:val="24"/>
          <w:szCs w:val="24"/>
        </w:rPr>
        <w:t xml:space="preserve"> M. Labrada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FB">
        <w:rPr>
          <w:rFonts w:ascii="Times New Roman" w:hAnsi="Times New Roman" w:cs="Times New Roman"/>
          <w:sz w:val="24"/>
          <w:szCs w:val="24"/>
        </w:rPr>
        <w:t>Yanan</w:t>
      </w:r>
      <w:proofErr w:type="spellEnd"/>
      <w:r w:rsidRPr="001120FB">
        <w:rPr>
          <w:rFonts w:ascii="Times New Roman" w:hAnsi="Times New Roman" w:cs="Times New Roman"/>
          <w:sz w:val="24"/>
          <w:szCs w:val="24"/>
        </w:rPr>
        <w:t xml:space="preserve"> Rong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>, Jia-Pu Liang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>, Magdalena M. Samojlik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20FB">
        <w:rPr>
          <w:rFonts w:ascii="Times New Roman" w:hAnsi="Times New Roman" w:cs="Times New Roman"/>
          <w:sz w:val="24"/>
          <w:szCs w:val="24"/>
        </w:rPr>
        <w:t>Chuqiao</w:t>
      </w:r>
      <w:proofErr w:type="spellEnd"/>
      <w:r w:rsidRPr="001120FB">
        <w:rPr>
          <w:rFonts w:ascii="Times New Roman" w:hAnsi="Times New Roman" w:cs="Times New Roman"/>
          <w:sz w:val="24"/>
          <w:szCs w:val="24"/>
        </w:rPr>
        <w:t xml:space="preserve"> Sun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>, Steven Barash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120FB">
        <w:rPr>
          <w:rFonts w:ascii="Times New Roman" w:hAnsi="Times New Roman" w:cs="Times New Roman"/>
          <w:sz w:val="24"/>
          <w:szCs w:val="24"/>
        </w:rPr>
        <w:t>, Benjamin G. Keselowsky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1-3</w:t>
      </w:r>
      <w:r w:rsidRPr="001120FB">
        <w:rPr>
          <w:rFonts w:ascii="Times New Roman" w:hAnsi="Times New Roman" w:cs="Times New Roman"/>
          <w:sz w:val="24"/>
          <w:szCs w:val="24"/>
        </w:rPr>
        <w:t>, Allison L. Bayer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4-5</w:t>
      </w:r>
      <w:r w:rsidRPr="001120FB">
        <w:rPr>
          <w:rFonts w:ascii="Times New Roman" w:hAnsi="Times New Roman" w:cs="Times New Roman"/>
          <w:sz w:val="24"/>
          <w:szCs w:val="24"/>
        </w:rPr>
        <w:t>, Cherie L. Stabler*</w:t>
      </w:r>
      <w:r w:rsidRPr="001120FB">
        <w:rPr>
          <w:rFonts w:ascii="Times New Roman" w:hAnsi="Times New Roman" w:cs="Times New Roman"/>
          <w:sz w:val="24"/>
          <w:szCs w:val="24"/>
          <w:vertAlign w:val="superscript"/>
        </w:rPr>
        <w:t>1-3</w:t>
      </w:r>
      <w:r w:rsidRPr="001120FB">
        <w:rPr>
          <w:rFonts w:ascii="Times New Roman" w:hAnsi="Times New Roman" w:cs="Times New Roman"/>
          <w:sz w:val="24"/>
          <w:szCs w:val="24"/>
        </w:rPr>
        <w:t>.</w:t>
      </w:r>
    </w:p>
    <w:p w14:paraId="6C7BC352" w14:textId="77777777" w:rsidR="00326F93" w:rsidRPr="001120FB" w:rsidRDefault="00326F93" w:rsidP="00B65A79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010F75" w14:textId="77777777" w:rsidR="00326F93" w:rsidRPr="001120FB" w:rsidRDefault="00326F93" w:rsidP="00B65A79">
      <w:pPr>
        <w:pStyle w:val="Paragraph"/>
        <w:ind w:firstLine="0"/>
        <w:contextualSpacing/>
        <w:rPr>
          <w:sz w:val="22"/>
        </w:rPr>
      </w:pPr>
      <w:r w:rsidRPr="001120FB">
        <w:rPr>
          <w:sz w:val="22"/>
          <w:vertAlign w:val="superscript"/>
        </w:rPr>
        <w:t>1</w:t>
      </w:r>
      <w:r w:rsidRPr="001120FB">
        <w:rPr>
          <w:sz w:val="22"/>
        </w:rPr>
        <w:t>J. Crayton Pruitt Family Department of Biomedical Engineering, University of Florida, Gainesville, FL, USA.</w:t>
      </w:r>
    </w:p>
    <w:p w14:paraId="3ABAE048" w14:textId="77777777" w:rsidR="00326F93" w:rsidRPr="001120FB" w:rsidRDefault="00326F93" w:rsidP="00B65A79">
      <w:pPr>
        <w:pStyle w:val="Paragraph"/>
        <w:ind w:firstLine="0"/>
        <w:contextualSpacing/>
        <w:rPr>
          <w:sz w:val="22"/>
        </w:rPr>
      </w:pPr>
      <w:r w:rsidRPr="001120FB">
        <w:rPr>
          <w:sz w:val="22"/>
          <w:vertAlign w:val="superscript"/>
        </w:rPr>
        <w:t>2</w:t>
      </w:r>
      <w:r w:rsidRPr="001120FB">
        <w:rPr>
          <w:sz w:val="22"/>
        </w:rPr>
        <w:t>Graduate Program in Biomedical Sciences, College of Medicine, University of Florida, Gainesville, FL, USA.</w:t>
      </w:r>
    </w:p>
    <w:p w14:paraId="2E3B0FC3" w14:textId="77777777" w:rsidR="00326F93" w:rsidRPr="001120FB" w:rsidRDefault="00326F93" w:rsidP="00B65A79">
      <w:pPr>
        <w:pStyle w:val="Paragraph"/>
        <w:ind w:firstLine="0"/>
        <w:contextualSpacing/>
        <w:rPr>
          <w:sz w:val="22"/>
        </w:rPr>
      </w:pPr>
      <w:r w:rsidRPr="001120FB">
        <w:rPr>
          <w:sz w:val="22"/>
          <w:vertAlign w:val="superscript"/>
        </w:rPr>
        <w:t>3</w:t>
      </w:r>
      <w:r w:rsidRPr="001120FB">
        <w:rPr>
          <w:sz w:val="22"/>
        </w:rPr>
        <w:t>University of Florida Diabetes Institute, Gainesville, FL, USA.</w:t>
      </w:r>
    </w:p>
    <w:p w14:paraId="2AD86B02" w14:textId="77777777" w:rsidR="00326F93" w:rsidRPr="001120FB" w:rsidRDefault="00326F93" w:rsidP="00B65A79">
      <w:pPr>
        <w:pStyle w:val="Paragraph"/>
        <w:ind w:firstLine="0"/>
        <w:contextualSpacing/>
        <w:rPr>
          <w:sz w:val="22"/>
        </w:rPr>
      </w:pPr>
      <w:r w:rsidRPr="001120FB">
        <w:rPr>
          <w:sz w:val="22"/>
          <w:vertAlign w:val="superscript"/>
        </w:rPr>
        <w:t>4</w:t>
      </w:r>
      <w:r w:rsidRPr="001120FB">
        <w:rPr>
          <w:sz w:val="22"/>
        </w:rPr>
        <w:t>Diabetes Research Institute, University of Miami, Miami, FL, USA.</w:t>
      </w:r>
    </w:p>
    <w:p w14:paraId="4B8DE3EC" w14:textId="77777777" w:rsidR="00326F93" w:rsidRPr="001120FB" w:rsidRDefault="00326F93" w:rsidP="00B65A79">
      <w:pPr>
        <w:pStyle w:val="Paragraph"/>
        <w:ind w:firstLine="0"/>
        <w:contextualSpacing/>
        <w:rPr>
          <w:sz w:val="22"/>
        </w:rPr>
      </w:pPr>
      <w:r w:rsidRPr="001120FB">
        <w:rPr>
          <w:sz w:val="22"/>
          <w:vertAlign w:val="superscript"/>
        </w:rPr>
        <w:t>5</w:t>
      </w:r>
      <w:r w:rsidRPr="001120FB">
        <w:rPr>
          <w:sz w:val="22"/>
        </w:rPr>
        <w:t>Department of Microbiology and Immunology, University of Miami, Miami, FL, USA.</w:t>
      </w:r>
    </w:p>
    <w:p w14:paraId="398BB955" w14:textId="4051CBCB" w:rsidR="00B97315" w:rsidRPr="001120FB" w:rsidRDefault="00B97315" w:rsidP="00B65A79">
      <w:pPr>
        <w:pStyle w:val="Paragraph"/>
        <w:spacing w:before="0"/>
        <w:ind w:firstLine="0"/>
        <w:contextualSpacing/>
        <w:jc w:val="both"/>
      </w:pPr>
    </w:p>
    <w:p w14:paraId="1D040364" w14:textId="77777777" w:rsidR="00B97315" w:rsidRPr="001120FB" w:rsidRDefault="00B97315" w:rsidP="00B65A79">
      <w:pPr>
        <w:pStyle w:val="Paragraph"/>
        <w:spacing w:before="0"/>
        <w:ind w:firstLine="0"/>
        <w:contextualSpacing/>
        <w:jc w:val="both"/>
      </w:pPr>
    </w:p>
    <w:p w14:paraId="35937BAC" w14:textId="77777777" w:rsidR="00152053" w:rsidRPr="001120FB" w:rsidRDefault="00152053" w:rsidP="00B65A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EC66CC" w14:textId="77777777" w:rsidR="00152053" w:rsidRPr="001120FB" w:rsidRDefault="00152053" w:rsidP="00B65A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DA58A1" w14:textId="75FC44E8" w:rsidR="00B97315" w:rsidRPr="001120FB" w:rsidRDefault="0008353B" w:rsidP="00B65A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t>SUPPLEMENTAL</w:t>
      </w:r>
      <w:r w:rsidR="00B97315" w:rsidRPr="001120FB">
        <w:rPr>
          <w:rFonts w:ascii="Times New Roman" w:hAnsi="Times New Roman" w:cs="Times New Roman"/>
          <w:b/>
          <w:sz w:val="24"/>
          <w:szCs w:val="24"/>
        </w:rPr>
        <w:t xml:space="preserve"> DOCUMENTS</w:t>
      </w:r>
    </w:p>
    <w:p w14:paraId="7D935892" w14:textId="77777777" w:rsidR="00B97315" w:rsidRPr="001120FB" w:rsidRDefault="00B97315" w:rsidP="00B65A7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15B160" w14:textId="3D167501" w:rsidR="008B6474" w:rsidRPr="001120FB" w:rsidRDefault="0008353B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lastRenderedPageBreak/>
        <w:t>Supplemental</w:t>
      </w:r>
      <w:r w:rsidR="008B6474" w:rsidRPr="001120FB">
        <w:rPr>
          <w:rFonts w:ascii="Times New Roman" w:hAnsi="Times New Roman" w:cs="Times New Roman"/>
          <w:b/>
          <w:sz w:val="24"/>
          <w:szCs w:val="24"/>
        </w:rPr>
        <w:t xml:space="preserve"> Methods</w:t>
      </w:r>
    </w:p>
    <w:p w14:paraId="7742951A" w14:textId="77777777" w:rsidR="008B6474" w:rsidRPr="001120FB" w:rsidRDefault="008B6474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EEF7E" w14:textId="77777777" w:rsidR="008B6474" w:rsidRPr="001120FB" w:rsidRDefault="008B6474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120FB">
        <w:rPr>
          <w:rFonts w:ascii="Times New Roman" w:hAnsi="Times New Roman" w:cs="Times New Roman"/>
          <w:b/>
          <w:i/>
          <w:iCs/>
          <w:sz w:val="24"/>
          <w:szCs w:val="24"/>
        </w:rPr>
        <w:t>Endotoxin Quantification</w:t>
      </w:r>
    </w:p>
    <w:p w14:paraId="00891E5D" w14:textId="4C4BC981" w:rsidR="008B6474" w:rsidRPr="001120FB" w:rsidRDefault="008B6474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sz w:val="24"/>
          <w:szCs w:val="24"/>
        </w:rPr>
        <w:t>Endotoxin levels of TGF-</w:t>
      </w:r>
      <w:r w:rsidR="00945779" w:rsidRPr="001120FB">
        <w:rPr>
          <w:rFonts w:ascii="Times New Roman" w:hAnsi="Times New Roman" w:cs="Times New Roman"/>
          <w:sz w:val="24"/>
          <w:szCs w:val="24"/>
        </w:rPr>
        <w:t>β1/</w:t>
      </w:r>
      <w:r w:rsidRPr="001120FB">
        <w:rPr>
          <w:rFonts w:ascii="Times New Roman" w:hAnsi="Times New Roman" w:cs="Times New Roman"/>
          <w:sz w:val="24"/>
          <w:szCs w:val="24"/>
        </w:rPr>
        <w:t>PLGA MPs were tested on the supernatant of the particles. Briefly, 1</w:t>
      </w:r>
      <w:r w:rsidR="00DB143E" w:rsidRPr="001120FB">
        <w:rPr>
          <w:rFonts w:ascii="Times New Roman" w:hAnsi="Times New Roman" w:cs="Times New Roman"/>
          <w:sz w:val="24"/>
          <w:szCs w:val="24"/>
        </w:rPr>
        <w:t xml:space="preserve"> </w:t>
      </w:r>
      <w:r w:rsidRPr="001120FB">
        <w:rPr>
          <w:rFonts w:ascii="Times New Roman" w:hAnsi="Times New Roman" w:cs="Times New Roman"/>
          <w:sz w:val="24"/>
          <w:szCs w:val="24"/>
        </w:rPr>
        <w:t>mg particles were incubated in 200 µL sterile cell culture water (Corning) in a 96-well plate for 48 hours, after which the water supernatant was collected via centrifugation at 500×g for 5min. The supernatant was tested for endotoxin via LAL Chromogenic Endotoxin Quantitation Kit following the manufacturer's instructions (</w:t>
      </w:r>
      <w:proofErr w:type="spellStart"/>
      <w:r w:rsidRPr="001120FB">
        <w:rPr>
          <w:rFonts w:ascii="Times New Roman" w:hAnsi="Times New Roman" w:cs="Times New Roman"/>
          <w:sz w:val="24"/>
          <w:szCs w:val="24"/>
        </w:rPr>
        <w:t>ThermoFisher</w:t>
      </w:r>
      <w:proofErr w:type="spellEnd"/>
      <w:r w:rsidRPr="001120FB">
        <w:rPr>
          <w:rFonts w:ascii="Times New Roman" w:hAnsi="Times New Roman" w:cs="Times New Roman"/>
          <w:sz w:val="24"/>
          <w:szCs w:val="24"/>
        </w:rPr>
        <w:t>).</w:t>
      </w:r>
    </w:p>
    <w:p w14:paraId="78FB10AC" w14:textId="130C21FA" w:rsidR="00F76C83" w:rsidRPr="001120FB" w:rsidRDefault="00F76C83" w:rsidP="0009784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DF7FFA" w14:textId="39E80918" w:rsidR="009574DF" w:rsidRPr="001120FB" w:rsidRDefault="0008353B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9574DF" w:rsidRPr="001120FB">
        <w:rPr>
          <w:rFonts w:ascii="Times New Roman" w:hAnsi="Times New Roman" w:cs="Times New Roman"/>
          <w:b/>
          <w:sz w:val="24"/>
          <w:szCs w:val="24"/>
        </w:rPr>
        <w:t>Tables</w:t>
      </w:r>
    </w:p>
    <w:p w14:paraId="15B1B84F" w14:textId="77777777" w:rsidR="0008353B" w:rsidRPr="001120FB" w:rsidRDefault="0008353B" w:rsidP="0009784C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6FFAA" w14:textId="303BCE84" w:rsidR="00075775" w:rsidRPr="001120FB" w:rsidRDefault="00075775" w:rsidP="0009784C">
      <w:pPr>
        <w:pStyle w:val="013TableCaption"/>
        <w:ind w:left="0" w:firstLine="0"/>
        <w:contextualSpacing/>
        <w:jc w:val="both"/>
        <w:rPr>
          <w:rFonts w:ascii="Times New Roman" w:hAnsi="Times New Roman"/>
        </w:rPr>
      </w:pPr>
      <w:bookmarkStart w:id="0" w:name="_Toc484004268"/>
      <w:r w:rsidRPr="001120FB">
        <w:rPr>
          <w:rFonts w:ascii="Times New Roman" w:hAnsi="Times New Roman"/>
          <w:b/>
        </w:rPr>
        <w:t>Table S1</w:t>
      </w:r>
      <w:r w:rsidR="0008353B" w:rsidRPr="001120FB">
        <w:rPr>
          <w:rFonts w:ascii="Times New Roman" w:hAnsi="Times New Roman"/>
        </w:rPr>
        <w:t>. Variations in P</w:t>
      </w:r>
      <w:r w:rsidRPr="001120FB">
        <w:rPr>
          <w:rFonts w:ascii="Times New Roman" w:hAnsi="Times New Roman"/>
        </w:rPr>
        <w:t xml:space="preserve">LGA Microparticle Formulation </w:t>
      </w:r>
      <w:bookmarkEnd w:id="0"/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070"/>
        <w:gridCol w:w="2250"/>
        <w:gridCol w:w="1890"/>
        <w:gridCol w:w="1265"/>
      </w:tblGrid>
      <w:tr w:rsidR="001C317D" w:rsidRPr="001120FB" w14:paraId="545B13B2" w14:textId="77777777" w:rsidTr="001C317D">
        <w:trPr>
          <w:trHeight w:val="391"/>
          <w:jc w:val="center"/>
        </w:trPr>
        <w:tc>
          <w:tcPr>
            <w:tcW w:w="1885" w:type="dxa"/>
            <w:shd w:val="clear" w:color="auto" w:fill="D9D9D9" w:themeFill="background1" w:themeFillShade="D9"/>
            <w:vAlign w:val="center"/>
            <w:hideMark/>
          </w:tcPr>
          <w:p w14:paraId="2F0AEDAF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Formulation ID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  <w:hideMark/>
          </w:tcPr>
          <w:p w14:paraId="514D0CA5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Polymer Viscosity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  <w:hideMark/>
          </w:tcPr>
          <w:p w14:paraId="7E896025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Polymer </w:t>
            </w:r>
          </w:p>
          <w:p w14:paraId="13EAE704" w14:textId="5E47AB74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L:G</w:t>
            </w:r>
            <w:proofErr w:type="gramEnd"/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Ratio)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14:paraId="1917D57B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TGF-beta1</w:t>
            </w:r>
          </w:p>
          <w:p w14:paraId="68A3737D" w14:textId="370FE4C5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1053A"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g/mg PLGA)</w:t>
            </w:r>
          </w:p>
        </w:tc>
        <w:tc>
          <w:tcPr>
            <w:tcW w:w="1265" w:type="dxa"/>
            <w:shd w:val="clear" w:color="auto" w:fill="D9D9D9" w:themeFill="background1" w:themeFillShade="D9"/>
            <w:vAlign w:val="center"/>
            <w:hideMark/>
          </w:tcPr>
          <w:p w14:paraId="35AD4C76" w14:textId="6C53DF1E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b/>
                <w:sz w:val="24"/>
                <w:szCs w:val="24"/>
              </w:rPr>
              <w:t>Additives</w:t>
            </w:r>
          </w:p>
        </w:tc>
      </w:tr>
      <w:tr w:rsidR="001C317D" w:rsidRPr="001120FB" w14:paraId="1A0D68AF" w14:textId="77777777" w:rsidTr="001C317D">
        <w:trPr>
          <w:trHeight w:val="372"/>
          <w:jc w:val="center"/>
        </w:trPr>
        <w:tc>
          <w:tcPr>
            <w:tcW w:w="1885" w:type="dxa"/>
            <w:vAlign w:val="center"/>
            <w:hideMark/>
          </w:tcPr>
          <w:p w14:paraId="450F82C8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70" w:type="dxa"/>
            <w:vAlign w:val="center"/>
            <w:hideMark/>
          </w:tcPr>
          <w:p w14:paraId="7F191ACE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0.45 dL/g</w:t>
            </w:r>
          </w:p>
        </w:tc>
        <w:tc>
          <w:tcPr>
            <w:tcW w:w="2250" w:type="dxa"/>
            <w:vAlign w:val="center"/>
            <w:hideMark/>
          </w:tcPr>
          <w:p w14:paraId="01263D1D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50:50</w:t>
            </w:r>
          </w:p>
        </w:tc>
        <w:tc>
          <w:tcPr>
            <w:tcW w:w="1890" w:type="dxa"/>
            <w:vAlign w:val="center"/>
          </w:tcPr>
          <w:p w14:paraId="49063C9C" w14:textId="368B775E" w:rsidR="001C317D" w:rsidRPr="001120FB" w:rsidRDefault="003C257E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053A" w:rsidRPr="001120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vAlign w:val="center"/>
            <w:hideMark/>
          </w:tcPr>
          <w:p w14:paraId="330320C8" w14:textId="61926A55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17D" w:rsidRPr="001120FB" w14:paraId="5A531EFA" w14:textId="77777777" w:rsidTr="001C317D">
        <w:trPr>
          <w:trHeight w:val="391"/>
          <w:jc w:val="center"/>
        </w:trPr>
        <w:tc>
          <w:tcPr>
            <w:tcW w:w="1885" w:type="dxa"/>
            <w:vAlign w:val="center"/>
            <w:hideMark/>
          </w:tcPr>
          <w:p w14:paraId="0F75C041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70" w:type="dxa"/>
            <w:vAlign w:val="center"/>
            <w:hideMark/>
          </w:tcPr>
          <w:p w14:paraId="335D4210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0.2 dL/g</w:t>
            </w:r>
          </w:p>
        </w:tc>
        <w:tc>
          <w:tcPr>
            <w:tcW w:w="2250" w:type="dxa"/>
            <w:vAlign w:val="center"/>
            <w:hideMark/>
          </w:tcPr>
          <w:p w14:paraId="1BBC23BD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100:0</w:t>
            </w:r>
          </w:p>
        </w:tc>
        <w:tc>
          <w:tcPr>
            <w:tcW w:w="1890" w:type="dxa"/>
            <w:vAlign w:val="center"/>
          </w:tcPr>
          <w:p w14:paraId="0AE5EEF9" w14:textId="1F6F2359" w:rsidR="001C317D" w:rsidRPr="001120FB" w:rsidRDefault="003C257E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053A" w:rsidRPr="001120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vAlign w:val="center"/>
            <w:hideMark/>
          </w:tcPr>
          <w:p w14:paraId="1BB3C32C" w14:textId="0F4FFE92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17D" w:rsidRPr="001120FB" w14:paraId="039C3500" w14:textId="77777777" w:rsidTr="001C317D">
        <w:trPr>
          <w:trHeight w:val="391"/>
          <w:jc w:val="center"/>
        </w:trPr>
        <w:tc>
          <w:tcPr>
            <w:tcW w:w="1885" w:type="dxa"/>
            <w:vAlign w:val="center"/>
            <w:hideMark/>
          </w:tcPr>
          <w:p w14:paraId="41D8308E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70" w:type="dxa"/>
            <w:vAlign w:val="center"/>
            <w:hideMark/>
          </w:tcPr>
          <w:p w14:paraId="1DCB7D92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0.2 dL/g</w:t>
            </w:r>
          </w:p>
        </w:tc>
        <w:tc>
          <w:tcPr>
            <w:tcW w:w="2250" w:type="dxa"/>
            <w:vAlign w:val="center"/>
            <w:hideMark/>
          </w:tcPr>
          <w:p w14:paraId="229D168B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50:50</w:t>
            </w:r>
          </w:p>
        </w:tc>
        <w:tc>
          <w:tcPr>
            <w:tcW w:w="1890" w:type="dxa"/>
            <w:vAlign w:val="center"/>
          </w:tcPr>
          <w:p w14:paraId="4C337EAA" w14:textId="05ABCAC7" w:rsidR="001C317D" w:rsidRPr="001120FB" w:rsidRDefault="003C257E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053A" w:rsidRPr="001120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vAlign w:val="center"/>
            <w:hideMark/>
          </w:tcPr>
          <w:p w14:paraId="7F76976D" w14:textId="320D8852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17D" w:rsidRPr="001120FB" w14:paraId="7E2128EA" w14:textId="77777777" w:rsidTr="001C317D">
        <w:trPr>
          <w:trHeight w:val="391"/>
          <w:jc w:val="center"/>
        </w:trPr>
        <w:tc>
          <w:tcPr>
            <w:tcW w:w="1885" w:type="dxa"/>
            <w:vAlign w:val="center"/>
            <w:hideMark/>
          </w:tcPr>
          <w:p w14:paraId="1AA9F2FB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70" w:type="dxa"/>
            <w:vAlign w:val="center"/>
            <w:hideMark/>
          </w:tcPr>
          <w:p w14:paraId="04DB4095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0.2 dL/g</w:t>
            </w:r>
          </w:p>
        </w:tc>
        <w:tc>
          <w:tcPr>
            <w:tcW w:w="2250" w:type="dxa"/>
            <w:vAlign w:val="center"/>
            <w:hideMark/>
          </w:tcPr>
          <w:p w14:paraId="6A494CD9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75:25</w:t>
            </w:r>
          </w:p>
        </w:tc>
        <w:tc>
          <w:tcPr>
            <w:tcW w:w="1890" w:type="dxa"/>
            <w:vAlign w:val="center"/>
          </w:tcPr>
          <w:p w14:paraId="04EC7C34" w14:textId="2A8EE5AC" w:rsidR="001C317D" w:rsidRPr="001120FB" w:rsidRDefault="003C257E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053A" w:rsidRPr="001120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vAlign w:val="center"/>
            <w:hideMark/>
          </w:tcPr>
          <w:p w14:paraId="19160DEE" w14:textId="6E8F2788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317D" w:rsidRPr="001120FB" w14:paraId="5C738AE2" w14:textId="77777777" w:rsidTr="001C317D">
        <w:trPr>
          <w:trHeight w:val="372"/>
          <w:jc w:val="center"/>
        </w:trPr>
        <w:tc>
          <w:tcPr>
            <w:tcW w:w="1885" w:type="dxa"/>
            <w:vAlign w:val="center"/>
            <w:hideMark/>
          </w:tcPr>
          <w:p w14:paraId="592BA7D2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070" w:type="dxa"/>
            <w:vAlign w:val="center"/>
            <w:hideMark/>
          </w:tcPr>
          <w:p w14:paraId="7AD20538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0.45 dL/g</w:t>
            </w:r>
          </w:p>
        </w:tc>
        <w:tc>
          <w:tcPr>
            <w:tcW w:w="2250" w:type="dxa"/>
            <w:vAlign w:val="center"/>
            <w:hideMark/>
          </w:tcPr>
          <w:p w14:paraId="661F1EB1" w14:textId="77777777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50:50</w:t>
            </w:r>
          </w:p>
        </w:tc>
        <w:tc>
          <w:tcPr>
            <w:tcW w:w="1890" w:type="dxa"/>
            <w:vAlign w:val="center"/>
          </w:tcPr>
          <w:p w14:paraId="7585894D" w14:textId="470DC5DC" w:rsidR="001C317D" w:rsidRPr="001120FB" w:rsidRDefault="003C257E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053A" w:rsidRPr="001120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vAlign w:val="center"/>
            <w:hideMark/>
          </w:tcPr>
          <w:p w14:paraId="52E95520" w14:textId="7F658AAA" w:rsidR="001C317D" w:rsidRPr="001120FB" w:rsidRDefault="001C317D" w:rsidP="001C317D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0FB">
              <w:rPr>
                <w:rFonts w:ascii="Times New Roman" w:hAnsi="Times New Roman" w:cs="Times New Roman"/>
                <w:sz w:val="24"/>
                <w:szCs w:val="24"/>
              </w:rPr>
              <w:t>2% NaCl</w:t>
            </w:r>
          </w:p>
        </w:tc>
      </w:tr>
    </w:tbl>
    <w:p w14:paraId="51EEB356" w14:textId="2C892F15" w:rsidR="00075775" w:rsidRPr="001120FB" w:rsidRDefault="00075775" w:rsidP="00962A45">
      <w:pPr>
        <w:pStyle w:val="013Tabl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</w:rPr>
        <w:lastRenderedPageBreak/>
        <w:t>Table S2</w:t>
      </w:r>
      <w:r w:rsidRPr="001120FB">
        <w:rPr>
          <w:rFonts w:ascii="Times New Roman" w:hAnsi="Times New Roman"/>
        </w:rPr>
        <w:t>. List of Antibodies</w:t>
      </w:r>
    </w:p>
    <w:p w14:paraId="600D8CE9" w14:textId="7A716D3A" w:rsidR="00E5288A" w:rsidRPr="001120FB" w:rsidRDefault="00B17D91" w:rsidP="00962A45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C78452D" wp14:editId="5D02B9F8">
            <wp:extent cx="5743575" cy="566809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"/>
                    <a:stretch/>
                  </pic:blipFill>
                  <pic:spPr bwMode="auto">
                    <a:xfrm>
                      <a:off x="0" y="0"/>
                      <a:ext cx="5747009" cy="56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3047C" w14:textId="66C703D7" w:rsidR="00E5288A" w:rsidRPr="001120FB" w:rsidRDefault="00E5288A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5615B3" w14:textId="5B8B294D" w:rsidR="007961CD" w:rsidRPr="001120FB" w:rsidRDefault="007961CD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BC4E6F" w14:textId="4719BB89" w:rsidR="007961CD" w:rsidRPr="001120FB" w:rsidRDefault="007961CD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6D6B27" w14:textId="127E2971" w:rsidR="00075775" w:rsidRPr="001120FB" w:rsidRDefault="00075775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t xml:space="preserve">Table S3. </w:t>
      </w:r>
      <w:r w:rsidRPr="001120FB">
        <w:rPr>
          <w:rFonts w:ascii="Times New Roman" w:hAnsi="Times New Roman" w:cs="Times New Roman"/>
          <w:sz w:val="24"/>
          <w:szCs w:val="24"/>
        </w:rPr>
        <w:t>Endotoxin Quantification of TGF-</w:t>
      </w:r>
      <w:r w:rsidR="00945779" w:rsidRPr="001120FB">
        <w:rPr>
          <w:rFonts w:ascii="Times New Roman" w:hAnsi="Times New Roman" w:cs="Times New Roman"/>
          <w:sz w:val="24"/>
          <w:szCs w:val="24"/>
        </w:rPr>
        <w:t>β1/</w:t>
      </w:r>
      <w:r w:rsidRPr="001120FB">
        <w:rPr>
          <w:rFonts w:ascii="Times New Roman" w:hAnsi="Times New Roman" w:cs="Times New Roman"/>
          <w:sz w:val="24"/>
          <w:szCs w:val="24"/>
        </w:rPr>
        <w:t>PLGA Microparticles</w:t>
      </w:r>
    </w:p>
    <w:p w14:paraId="5D3FC148" w14:textId="07F80F3E" w:rsidR="00332A8D" w:rsidRPr="001120FB" w:rsidRDefault="00E5288A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4527DFF6" wp14:editId="2C3C5BDC">
            <wp:extent cx="5943600" cy="942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6"/>
                    <a:stretch/>
                  </pic:blipFill>
                  <pic:spPr bwMode="auto">
                    <a:xfrm>
                      <a:off x="0" y="0"/>
                      <a:ext cx="59436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381D9" w14:textId="11220308" w:rsidR="00075775" w:rsidRPr="001120FB" w:rsidRDefault="00075775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DAF284" w14:textId="3A393E9F" w:rsidR="00B65A79" w:rsidRPr="001120FB" w:rsidRDefault="00B65A79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D8A2F1" w14:textId="77777777" w:rsidR="007961CD" w:rsidRPr="001120FB" w:rsidRDefault="007961CD" w:rsidP="00962A4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2EA78" w14:textId="6882805B" w:rsidR="00075775" w:rsidRPr="001120FB" w:rsidRDefault="00075775" w:rsidP="00B17D91">
      <w:pPr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S4. </w:t>
      </w:r>
      <w:r w:rsidRPr="001120FB">
        <w:rPr>
          <w:rFonts w:ascii="Times New Roman" w:hAnsi="Times New Roman" w:cs="Times New Roman"/>
          <w:sz w:val="24"/>
          <w:szCs w:val="24"/>
        </w:rPr>
        <w:t>TGF-β1 Quantification in Treg Conversion Assay</w:t>
      </w:r>
      <w:r w:rsidR="00C85FA6" w:rsidRPr="001120F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DF2E7" w14:textId="68E50ED0" w:rsidR="00A8455C" w:rsidRPr="001120FB" w:rsidRDefault="007961CD" w:rsidP="00C85FA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75A31197" wp14:editId="44EB5441">
            <wp:extent cx="5942813" cy="1434465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7"/>
                    <a:stretch/>
                  </pic:blipFill>
                  <pic:spPr bwMode="auto">
                    <a:xfrm>
                      <a:off x="0" y="0"/>
                      <a:ext cx="5943600" cy="143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55C36" w14:textId="2EF37B69" w:rsidR="007961CD" w:rsidRPr="001120FB" w:rsidRDefault="00C85FA6" w:rsidP="00C85FA6">
      <w:pPr>
        <w:jc w:val="both"/>
        <w:rPr>
          <w:rFonts w:ascii="Times New Roman" w:hAnsi="Times New Roman" w:cs="Times New Roman"/>
          <w:szCs w:val="24"/>
        </w:rPr>
      </w:pPr>
      <w:r w:rsidRPr="001120FB">
        <w:rPr>
          <w:rFonts w:ascii="Times New Roman" w:hAnsi="Times New Roman" w:cs="Times New Roman"/>
          <w:szCs w:val="24"/>
        </w:rPr>
        <w:t>Note</w:t>
      </w:r>
      <w:proofErr w:type="gramStart"/>
      <w:r w:rsidRPr="001120FB">
        <w:rPr>
          <w:rFonts w:ascii="Times New Roman" w:hAnsi="Times New Roman" w:cs="Times New Roman"/>
          <w:szCs w:val="24"/>
        </w:rPr>
        <w:t>: ”Estimated</w:t>
      </w:r>
      <w:proofErr w:type="gramEnd"/>
      <w:r w:rsidRPr="001120FB">
        <w:rPr>
          <w:rFonts w:ascii="Times New Roman" w:hAnsi="Times New Roman" w:cs="Times New Roman"/>
          <w:szCs w:val="24"/>
        </w:rPr>
        <w:t xml:space="preserve">” TGF-β1 released values are theoretical levels based off of kinetic release curves. “Residual” TGF-β1 values are experimentally measured levels within TGF-β1-MP or </w:t>
      </w:r>
      <w:proofErr w:type="spellStart"/>
      <w:r w:rsidRPr="001120FB">
        <w:rPr>
          <w:rFonts w:ascii="Times New Roman" w:hAnsi="Times New Roman" w:cs="Times New Roman"/>
          <w:szCs w:val="24"/>
        </w:rPr>
        <w:t>sTGF</w:t>
      </w:r>
      <w:proofErr w:type="spellEnd"/>
      <w:r w:rsidRPr="001120FB">
        <w:rPr>
          <w:rFonts w:ascii="Times New Roman" w:hAnsi="Times New Roman" w:cs="Times New Roman"/>
          <w:szCs w:val="24"/>
        </w:rPr>
        <w:t xml:space="preserve">-β1 control wells that contained only T cell </w:t>
      </w:r>
      <w:proofErr w:type="gramStart"/>
      <w:r w:rsidRPr="001120FB">
        <w:rPr>
          <w:rFonts w:ascii="Times New Roman" w:hAnsi="Times New Roman" w:cs="Times New Roman"/>
          <w:szCs w:val="24"/>
        </w:rPr>
        <w:t>media</w:t>
      </w:r>
      <w:proofErr w:type="gramEnd"/>
    </w:p>
    <w:p w14:paraId="4AAE03E6" w14:textId="77777777" w:rsidR="00C85FA6" w:rsidRPr="001120FB" w:rsidRDefault="00C85FA6">
      <w:pPr>
        <w:rPr>
          <w:rFonts w:ascii="Times New Roman" w:hAnsi="Times New Roman" w:cs="Times New Roman"/>
          <w:b/>
          <w:sz w:val="24"/>
          <w:szCs w:val="24"/>
        </w:rPr>
      </w:pPr>
    </w:p>
    <w:p w14:paraId="3C73C098" w14:textId="36C63902" w:rsidR="00A8455C" w:rsidRPr="001120FB" w:rsidRDefault="0008353B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20FB">
        <w:rPr>
          <w:rFonts w:ascii="Times New Roman" w:hAnsi="Times New Roman" w:cs="Times New Roman"/>
          <w:b/>
          <w:sz w:val="24"/>
          <w:szCs w:val="24"/>
          <w:u w:val="single"/>
        </w:rPr>
        <w:t>Supplemental</w:t>
      </w:r>
      <w:r w:rsidR="00075775" w:rsidRPr="001120F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574DF" w:rsidRPr="001120FB">
        <w:rPr>
          <w:rFonts w:ascii="Times New Roman" w:hAnsi="Times New Roman" w:cs="Times New Roman"/>
          <w:b/>
          <w:sz w:val="24"/>
          <w:szCs w:val="24"/>
          <w:u w:val="single"/>
        </w:rPr>
        <w:t>Figures</w:t>
      </w:r>
    </w:p>
    <w:p w14:paraId="4023B0F1" w14:textId="31173EB2" w:rsidR="00534CE0" w:rsidRPr="001120FB" w:rsidRDefault="00534CE0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BDEA4" w14:textId="64AD4B07" w:rsidR="0082646C" w:rsidRPr="001120FB" w:rsidRDefault="00404C9A" w:rsidP="00962A45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20F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D92FF4C" wp14:editId="344AC85F">
            <wp:extent cx="5058824" cy="46545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03" cy="466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0B8E" w14:textId="145FC925" w:rsidR="00450FFD" w:rsidRPr="001120FB" w:rsidRDefault="00450FFD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20FB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bookmarkStart w:id="1" w:name="_Toc478835418"/>
      <w:bookmarkStart w:id="2" w:name="_Toc484004354"/>
      <w:r w:rsidRPr="001120FB">
        <w:rPr>
          <w:rFonts w:ascii="Times New Roman" w:hAnsi="Times New Roman" w:cs="Times New Roman"/>
          <w:b/>
          <w:bCs/>
          <w:sz w:val="24"/>
          <w:szCs w:val="24"/>
        </w:rPr>
        <w:t>Size Distribution of modified formulations of TGF-</w:t>
      </w:r>
      <w:r w:rsidR="00945779" w:rsidRPr="001120FB">
        <w:rPr>
          <w:rFonts w:ascii="Times New Roman" w:hAnsi="Times New Roman" w:cs="Times New Roman"/>
          <w:b/>
          <w:bCs/>
          <w:sz w:val="24"/>
          <w:szCs w:val="24"/>
        </w:rPr>
        <w:t>β1/</w:t>
      </w:r>
      <w:r w:rsidRPr="001120FB">
        <w:rPr>
          <w:rFonts w:ascii="Times New Roman" w:hAnsi="Times New Roman" w:cs="Times New Roman"/>
          <w:b/>
          <w:bCs/>
          <w:sz w:val="24"/>
          <w:szCs w:val="24"/>
        </w:rPr>
        <w:t xml:space="preserve">PLGA microparticles. </w:t>
      </w:r>
      <w:r w:rsidRPr="001120FB">
        <w:rPr>
          <w:rFonts w:ascii="Times New Roman" w:hAnsi="Times New Roman" w:cs="Times New Roman"/>
          <w:bCs/>
          <w:sz w:val="24"/>
          <w:szCs w:val="24"/>
        </w:rPr>
        <w:t xml:space="preserve">Particle diameter was determined by laser diffraction. Differential volume % from 0 to 2000 µm </w:t>
      </w:r>
      <w:r w:rsidRPr="001120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shown for 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>A</w:t>
      </w:r>
      <w:r w:rsidRPr="001120FB">
        <w:rPr>
          <w:rFonts w:ascii="Times New Roman" w:hAnsi="Times New Roman" w:cs="Times New Roman"/>
          <w:bCs/>
          <w:sz w:val="24"/>
          <w:szCs w:val="24"/>
        </w:rPr>
        <w:t xml:space="preserve">) Formulation B, 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>B</w:t>
      </w:r>
      <w:r w:rsidRPr="001120FB">
        <w:rPr>
          <w:rFonts w:ascii="Times New Roman" w:hAnsi="Times New Roman" w:cs="Times New Roman"/>
          <w:bCs/>
          <w:sz w:val="24"/>
          <w:szCs w:val="24"/>
        </w:rPr>
        <w:t xml:space="preserve">) Formulation C, 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>C</w:t>
      </w:r>
      <w:r w:rsidRPr="001120FB">
        <w:rPr>
          <w:rFonts w:ascii="Times New Roman" w:hAnsi="Times New Roman" w:cs="Times New Roman"/>
          <w:bCs/>
          <w:sz w:val="24"/>
          <w:szCs w:val="24"/>
        </w:rPr>
        <w:t xml:space="preserve">) Formulation D, and 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>E</w:t>
      </w:r>
      <w:r w:rsidRPr="001120FB">
        <w:rPr>
          <w:rFonts w:ascii="Times New Roman" w:hAnsi="Times New Roman" w:cs="Times New Roman"/>
          <w:bCs/>
          <w:sz w:val="24"/>
          <w:szCs w:val="24"/>
        </w:rPr>
        <w:t xml:space="preserve">) Formulation E microparticles. </w:t>
      </w:r>
      <w:bookmarkEnd w:id="1"/>
      <w:r w:rsidR="00E438D8" w:rsidRPr="001120FB">
        <w:rPr>
          <w:rFonts w:ascii="Times New Roman" w:hAnsi="Times New Roman" w:cs="Times New Roman"/>
          <w:bCs/>
          <w:sz w:val="24"/>
          <w:szCs w:val="24"/>
        </w:rPr>
        <w:t>E) P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 xml:space="preserve">olydispersity index </w:t>
      </w:r>
      <w:r w:rsidR="00E438D8" w:rsidRPr="001120FB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="00404C9A" w:rsidRPr="001120FB">
        <w:rPr>
          <w:rFonts w:ascii="Times New Roman" w:hAnsi="Times New Roman" w:cs="Times New Roman"/>
          <w:bCs/>
          <w:sz w:val="24"/>
          <w:szCs w:val="24"/>
        </w:rPr>
        <w:t xml:space="preserve">particles of different formulations. </w:t>
      </w:r>
      <w:r w:rsidRPr="001120FB">
        <w:rPr>
          <w:rFonts w:ascii="Times New Roman" w:hAnsi="Times New Roman" w:cs="Times New Roman"/>
          <w:bCs/>
          <w:sz w:val="24"/>
          <w:szCs w:val="24"/>
        </w:rPr>
        <w:t>Compilation of n = 3 runs per formulation shown.</w:t>
      </w:r>
      <w:bookmarkEnd w:id="2"/>
      <w:r w:rsidRPr="001120F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17EA0F9" w14:textId="26B7DC40" w:rsidR="00450FFD" w:rsidRPr="001120FB" w:rsidRDefault="00450FFD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895BE3" w14:textId="377E7E4D" w:rsidR="0071591F" w:rsidRPr="001120FB" w:rsidRDefault="00D55411" w:rsidP="00962A45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20FB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4194A643" wp14:editId="233CC4F2">
            <wp:extent cx="5693103" cy="5556250"/>
            <wp:effectExtent l="0" t="0" r="317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61" cy="556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43C6" w14:textId="0EFF2917" w:rsidR="00450FFD" w:rsidRPr="001120FB" w:rsidRDefault="006266BF" w:rsidP="00962A45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84004355"/>
      <w:r w:rsidRPr="001120FB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1120FB">
        <w:rPr>
          <w:rFonts w:ascii="Times New Roman" w:hAnsi="Times New Roman" w:cs="Times New Roman"/>
          <w:b/>
          <w:sz w:val="24"/>
          <w:szCs w:val="24"/>
        </w:rPr>
        <w:t xml:space="preserve"> Kinetic Release Profiles </w:t>
      </w:r>
      <w:r w:rsidR="00816219" w:rsidRPr="001120FB">
        <w:rPr>
          <w:rFonts w:ascii="Times New Roman" w:hAnsi="Times New Roman" w:cs="Times New Roman"/>
          <w:b/>
          <w:sz w:val="24"/>
          <w:szCs w:val="24"/>
        </w:rPr>
        <w:t xml:space="preserve">and Drug Encapsulation Efficiency </w:t>
      </w:r>
      <w:r w:rsidRPr="001120FB">
        <w:rPr>
          <w:rFonts w:ascii="Times New Roman" w:hAnsi="Times New Roman" w:cs="Times New Roman"/>
          <w:b/>
          <w:sz w:val="24"/>
          <w:szCs w:val="24"/>
        </w:rPr>
        <w:t xml:space="preserve">of </w:t>
      </w:r>
      <w:r w:rsidR="00816219" w:rsidRPr="001120FB">
        <w:rPr>
          <w:rFonts w:ascii="Times New Roman" w:hAnsi="Times New Roman" w:cs="Times New Roman"/>
          <w:b/>
          <w:sz w:val="24"/>
          <w:szCs w:val="24"/>
        </w:rPr>
        <w:t>M</w:t>
      </w:r>
      <w:r w:rsidRPr="001120FB">
        <w:rPr>
          <w:rFonts w:ascii="Times New Roman" w:hAnsi="Times New Roman" w:cs="Times New Roman"/>
          <w:b/>
          <w:sz w:val="24"/>
          <w:szCs w:val="24"/>
        </w:rPr>
        <w:t>odified TGF-β1 Microparticle</w:t>
      </w:r>
      <w:r w:rsidR="00816219" w:rsidRPr="001120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20FB">
        <w:rPr>
          <w:rFonts w:ascii="Times New Roman" w:hAnsi="Times New Roman" w:cs="Times New Roman"/>
          <w:b/>
          <w:sz w:val="24"/>
          <w:szCs w:val="24"/>
        </w:rPr>
        <w:t xml:space="preserve">Formulations, compared to baseline Formulation A. </w:t>
      </w:r>
      <w:r w:rsidRPr="001120FB">
        <w:rPr>
          <w:rFonts w:ascii="Times New Roman" w:hAnsi="Times New Roman" w:cs="Times New Roman"/>
          <w:sz w:val="24"/>
          <w:szCs w:val="24"/>
        </w:rPr>
        <w:t xml:space="preserve">TGF-β1 release profiles of formulation B (a), formulation C (b), formulation D (c), and formulation E (d). All profiles are normalized to total TGF-β1 release over 60 d, with release compared to baseline formulation A (blue dashed line). n=3 per time point. </w:t>
      </w:r>
      <w:bookmarkEnd w:id="3"/>
      <w:r w:rsidR="00945779" w:rsidRPr="001120FB">
        <w:rPr>
          <w:rFonts w:ascii="Times New Roman" w:hAnsi="Times New Roman" w:cs="Times New Roman"/>
          <w:sz w:val="24"/>
          <w:szCs w:val="24"/>
        </w:rPr>
        <w:t>ns = not significant.</w:t>
      </w:r>
      <w:r w:rsidR="00816219" w:rsidRPr="001120FB">
        <w:rPr>
          <w:rFonts w:ascii="Times New Roman" w:hAnsi="Times New Roman" w:cs="Times New Roman"/>
          <w:sz w:val="24"/>
          <w:szCs w:val="24"/>
        </w:rPr>
        <w:t xml:space="preserve"> (e) </w:t>
      </w:r>
      <w:r w:rsidR="007D6EA9" w:rsidRPr="001120FB">
        <w:rPr>
          <w:rFonts w:ascii="Times New Roman" w:hAnsi="Times New Roman" w:cs="Times New Roman"/>
          <w:sz w:val="24"/>
          <w:szCs w:val="24"/>
        </w:rPr>
        <w:t xml:space="preserve">Summary of </w:t>
      </w:r>
      <w:r w:rsidR="00816219" w:rsidRPr="001120FB">
        <w:rPr>
          <w:rFonts w:ascii="Times New Roman" w:hAnsi="Times New Roman" w:cs="Times New Roman"/>
          <w:sz w:val="24"/>
          <w:szCs w:val="24"/>
        </w:rPr>
        <w:t xml:space="preserve">TGF-β1 encapsulation efficiency </w:t>
      </w:r>
      <w:r w:rsidR="007961CD" w:rsidRPr="001120FB">
        <w:rPr>
          <w:rFonts w:ascii="Times New Roman" w:hAnsi="Times New Roman" w:cs="Times New Roman"/>
          <w:sz w:val="24"/>
          <w:szCs w:val="24"/>
        </w:rPr>
        <w:t>for</w:t>
      </w:r>
      <w:r w:rsidR="00816219" w:rsidRPr="001120FB">
        <w:rPr>
          <w:rFonts w:ascii="Times New Roman" w:hAnsi="Times New Roman" w:cs="Times New Roman"/>
          <w:sz w:val="24"/>
          <w:szCs w:val="24"/>
        </w:rPr>
        <w:t xml:space="preserve"> all five PLGA microparticle formulations.</w:t>
      </w:r>
      <w:r w:rsidR="00D55411" w:rsidRPr="001120FB">
        <w:rPr>
          <w:rFonts w:ascii="Times New Roman" w:hAnsi="Times New Roman" w:cs="Times New Roman"/>
        </w:rPr>
        <w:t xml:space="preserve"> (</w:t>
      </w:r>
      <w:r w:rsidR="00D55411" w:rsidRPr="001120FB">
        <w:rPr>
          <w:rFonts w:ascii="Times New Roman" w:hAnsi="Times New Roman" w:cs="Times New Roman"/>
          <w:sz w:val="24"/>
          <w:szCs w:val="24"/>
        </w:rPr>
        <w:t>f) Cumulative release of TGF-β1 ng normalized to particle weight. Mean TGF-β1 release curve (black line) was acquired by averaging four independent (N=4, n=13) studies with particles of different batches, with standard deviation (</w:t>
      </w:r>
      <w:r w:rsidR="00E438D8" w:rsidRPr="001120FB">
        <w:rPr>
          <w:rFonts w:ascii="Times New Roman" w:hAnsi="Times New Roman" w:cs="Times New Roman"/>
          <w:sz w:val="24"/>
          <w:szCs w:val="24"/>
        </w:rPr>
        <w:t>shading</w:t>
      </w:r>
      <w:r w:rsidR="00D55411" w:rsidRPr="001120FB">
        <w:rPr>
          <w:rFonts w:ascii="Times New Roman" w:hAnsi="Times New Roman" w:cs="Times New Roman"/>
          <w:sz w:val="24"/>
          <w:szCs w:val="24"/>
        </w:rPr>
        <w:t>) as shown.</w:t>
      </w:r>
    </w:p>
    <w:p w14:paraId="600DCA77" w14:textId="77242249" w:rsidR="00493163" w:rsidRPr="001120FB" w:rsidRDefault="00493163" w:rsidP="00962A4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D02C17E" wp14:editId="6F770F8E">
            <wp:extent cx="5943600" cy="3531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20C6" w14:textId="6485745E" w:rsidR="00C40CB8" w:rsidRPr="001120FB" w:rsidRDefault="00493163" w:rsidP="00962A45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bookmarkStart w:id="4" w:name="F32"/>
      <w:r w:rsidRPr="001120FB">
        <w:rPr>
          <w:rFonts w:ascii="Times New Roman" w:hAnsi="Times New Roman"/>
          <w:b/>
          <w:bCs/>
        </w:rPr>
        <w:t xml:space="preserve">Figure </w:t>
      </w:r>
      <w:bookmarkEnd w:id="4"/>
      <w:r w:rsidR="00091CD6" w:rsidRPr="001120FB">
        <w:rPr>
          <w:rFonts w:ascii="Times New Roman" w:hAnsi="Times New Roman"/>
          <w:b/>
          <w:bCs/>
        </w:rPr>
        <w:t>S3</w:t>
      </w:r>
      <w:r w:rsidRPr="001120FB">
        <w:rPr>
          <w:rFonts w:ascii="Times New Roman" w:hAnsi="Times New Roman"/>
          <w:b/>
          <w:bCs/>
        </w:rPr>
        <w:t xml:space="preserve">. Representative Flow Cytometry </w:t>
      </w:r>
      <w:r w:rsidR="0008353B" w:rsidRPr="001120FB">
        <w:rPr>
          <w:rFonts w:ascii="Times New Roman" w:hAnsi="Times New Roman"/>
          <w:b/>
          <w:bCs/>
        </w:rPr>
        <w:t>Gating</w:t>
      </w:r>
      <w:r w:rsidRPr="001120FB">
        <w:rPr>
          <w:rFonts w:ascii="Times New Roman" w:hAnsi="Times New Roman"/>
          <w:b/>
          <w:bCs/>
        </w:rPr>
        <w:t xml:space="preserve"> for Enumeration of </w:t>
      </w:r>
      <w:proofErr w:type="spellStart"/>
      <w:r w:rsidR="0019275B" w:rsidRPr="001120FB">
        <w:rPr>
          <w:rFonts w:ascii="Times New Roman" w:hAnsi="Times New Roman"/>
          <w:b/>
          <w:bCs/>
        </w:rPr>
        <w:t>iTregs</w:t>
      </w:r>
      <w:proofErr w:type="spellEnd"/>
      <w:r w:rsidRPr="001120FB">
        <w:rPr>
          <w:rFonts w:ascii="Times New Roman" w:hAnsi="Times New Roman"/>
          <w:b/>
          <w:bCs/>
        </w:rPr>
        <w:t>.</w:t>
      </w:r>
      <w:r w:rsidRPr="001120FB">
        <w:rPr>
          <w:rFonts w:ascii="Times New Roman" w:hAnsi="Times New Roman"/>
        </w:rPr>
        <w:t xml:space="preserve"> Sequential gating strategies were applied to quantify the frequency of </w:t>
      </w:r>
      <w:r w:rsidR="0019275B" w:rsidRPr="001120FB">
        <w:rPr>
          <w:rFonts w:ascii="Times New Roman" w:hAnsi="Times New Roman"/>
        </w:rPr>
        <w:t xml:space="preserve">Tregs </w:t>
      </w:r>
      <w:r w:rsidRPr="001120FB">
        <w:rPr>
          <w:rFonts w:ascii="Times New Roman" w:hAnsi="Times New Roman"/>
        </w:rPr>
        <w:t>induced by PLGA MPs released or soluble TGF-β1. (A) Set a polygon gate to identify the lymphocyte population and exclude debris. (B) Exclusion of cell doublets and aggregation. (C) Viable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 were identified as CD4 positive and Live/Dead </w:t>
      </w:r>
      <w:r w:rsidR="0008353B" w:rsidRPr="001120FB">
        <w:rPr>
          <w:rFonts w:ascii="Times New Roman" w:hAnsi="Times New Roman"/>
        </w:rPr>
        <w:t>negative</w:t>
      </w:r>
      <w:r w:rsidRPr="001120FB">
        <w:rPr>
          <w:rFonts w:ascii="Times New Roman" w:hAnsi="Times New Roman"/>
        </w:rPr>
        <w:t>. (D) Proliferating (excluding generation 0) FoxP3 expression on viable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cells; (E) Proliferation analysis on viable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cells, where black line = histogram contour of raw data; orange line = fitted data; light blue = noise events; green shaded area = area under the fitted curve; green marker = undivided marker and red marker = background marker. The analysis was performed using FCS Express 6.05 software. The boundary of the gates is determined by isotype controls, fluorescence-minus-one (FMO) controls and the unstimulated control.</w:t>
      </w:r>
    </w:p>
    <w:p w14:paraId="073F8F03" w14:textId="77777777" w:rsidR="00C40CB8" w:rsidRPr="001120FB" w:rsidRDefault="00C40CB8" w:rsidP="00962A45">
      <w:pPr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1120FB">
        <w:rPr>
          <w:rFonts w:ascii="Times New Roman" w:hAnsi="Times New Roman" w:cs="Times New Roman"/>
          <w:sz w:val="24"/>
          <w:szCs w:val="24"/>
        </w:rPr>
        <w:br w:type="page"/>
      </w:r>
    </w:p>
    <w:p w14:paraId="7DC5EC20" w14:textId="77777777" w:rsidR="00493163" w:rsidRPr="001120FB" w:rsidRDefault="00493163" w:rsidP="00962A45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</w:p>
    <w:p w14:paraId="722A2300" w14:textId="1C1F9B89" w:rsidR="008B6474" w:rsidRPr="001120FB" w:rsidRDefault="00AC2CA4" w:rsidP="00962A4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120F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9424AEA" wp14:editId="6F5EF269">
            <wp:extent cx="5943600" cy="2138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7507" w14:textId="454E212F" w:rsidR="0015036D" w:rsidRPr="001120FB" w:rsidRDefault="00AC2CA4" w:rsidP="00962A45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bookmarkStart w:id="5" w:name="F56"/>
      <w:bookmarkStart w:id="6" w:name="_Toc57910793"/>
      <w:r w:rsidRPr="001120FB">
        <w:rPr>
          <w:rFonts w:ascii="Times New Roman" w:hAnsi="Times New Roman"/>
          <w:b/>
          <w:bCs/>
        </w:rPr>
        <w:t xml:space="preserve">Figure </w:t>
      </w:r>
      <w:bookmarkEnd w:id="5"/>
      <w:r w:rsidR="00091CD6" w:rsidRPr="001120FB">
        <w:rPr>
          <w:rFonts w:ascii="Times New Roman" w:hAnsi="Times New Roman"/>
          <w:b/>
          <w:bCs/>
        </w:rPr>
        <w:t>S4</w:t>
      </w:r>
      <w:r w:rsidRPr="001120FB">
        <w:rPr>
          <w:rFonts w:ascii="Times New Roman" w:hAnsi="Times New Roman"/>
          <w:b/>
          <w:bCs/>
        </w:rPr>
        <w:t>. Representative Flow Cytometric Sorting to Purify FoxP3+ Regulatory T Cells and FoxP3- Responder T cells.</w:t>
      </w:r>
      <w:r w:rsidRPr="001120FB">
        <w:rPr>
          <w:rFonts w:ascii="Times New Roman" w:hAnsi="Times New Roman"/>
        </w:rPr>
        <w:t xml:space="preserve"> Freshly isolated </w:t>
      </w:r>
      <w:bookmarkStart w:id="7" w:name="OLE_LINK2"/>
      <w:bookmarkStart w:id="8" w:name="OLE_LINK3"/>
      <w:r w:rsidRPr="001120FB">
        <w:rPr>
          <w:rFonts w:ascii="Times New Roman" w:hAnsi="Times New Roman"/>
        </w:rPr>
        <w:t xml:space="preserve">B6-FIR </w:t>
      </w:r>
      <w:bookmarkEnd w:id="7"/>
      <w:bookmarkEnd w:id="8"/>
      <w:r w:rsidR="008F6613" w:rsidRPr="001120FB">
        <w:rPr>
          <w:rFonts w:ascii="Times New Roman" w:hAnsi="Times New Roman"/>
        </w:rPr>
        <w:t>lymphocyte</w:t>
      </w:r>
      <w:r w:rsidRPr="001120FB">
        <w:rPr>
          <w:rFonts w:ascii="Times New Roman" w:hAnsi="Times New Roman"/>
        </w:rPr>
        <w:t xml:space="preserve">s and </w:t>
      </w:r>
      <w:r w:rsidR="008F6613" w:rsidRPr="001120FB">
        <w:rPr>
          <w:rFonts w:ascii="Times New Roman" w:hAnsi="Times New Roman"/>
        </w:rPr>
        <w:t>B6-FIR naïve CD4</w:t>
      </w:r>
      <w:r w:rsidR="008F6613" w:rsidRPr="001120FB">
        <w:rPr>
          <w:rFonts w:ascii="Times New Roman" w:hAnsi="Times New Roman"/>
          <w:vertAlign w:val="superscript"/>
        </w:rPr>
        <w:t>+</w:t>
      </w:r>
      <w:r w:rsidR="008F6613" w:rsidRPr="001120FB">
        <w:rPr>
          <w:rFonts w:ascii="Times New Roman" w:hAnsi="Times New Roman"/>
        </w:rPr>
        <w:t xml:space="preserve"> T cell</w:t>
      </w:r>
      <w:r w:rsidR="00217E37" w:rsidRPr="001120FB">
        <w:rPr>
          <w:rFonts w:ascii="Times New Roman" w:hAnsi="Times New Roman"/>
        </w:rPr>
        <w:t>s</w:t>
      </w:r>
      <w:r w:rsidR="008F6613" w:rsidRPr="001120FB">
        <w:rPr>
          <w:rFonts w:ascii="Times New Roman" w:hAnsi="Times New Roman"/>
        </w:rPr>
        <w:t xml:space="preserve"> post Treg conversion </w:t>
      </w:r>
      <w:r w:rsidRPr="001120FB">
        <w:rPr>
          <w:rFonts w:ascii="Times New Roman" w:hAnsi="Times New Roman"/>
        </w:rPr>
        <w:t xml:space="preserve">were used for sorting. Cell debris and aggregates were excluded by serial </w:t>
      </w:r>
      <w:r w:rsidR="0008353B" w:rsidRPr="001120FB">
        <w:rPr>
          <w:rFonts w:ascii="Times New Roman" w:hAnsi="Times New Roman"/>
        </w:rPr>
        <w:t>gating</w:t>
      </w:r>
      <w:r w:rsidRPr="001120FB">
        <w:rPr>
          <w:rFonts w:ascii="Times New Roman" w:hAnsi="Times New Roman"/>
        </w:rPr>
        <w:t>. Then viable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 were identified </w:t>
      </w:r>
      <w:proofErr w:type="gramStart"/>
      <w:r w:rsidRPr="001120FB">
        <w:rPr>
          <w:rFonts w:ascii="Times New Roman" w:hAnsi="Times New Roman"/>
        </w:rPr>
        <w:t>base</w:t>
      </w:r>
      <w:proofErr w:type="gramEnd"/>
      <w:r w:rsidRPr="001120FB">
        <w:rPr>
          <w:rFonts w:ascii="Times New Roman" w:hAnsi="Times New Roman"/>
        </w:rPr>
        <w:t xml:space="preserve"> on signals of CD4-FITC and Live/Dead IR dye staining. FoxP3 expression was identified by the endogenous </w:t>
      </w:r>
      <w:proofErr w:type="spellStart"/>
      <w:r w:rsidRPr="001120FB">
        <w:rPr>
          <w:rFonts w:ascii="Times New Roman" w:hAnsi="Times New Roman"/>
        </w:rPr>
        <w:t>mRFP</w:t>
      </w:r>
      <w:proofErr w:type="spellEnd"/>
      <w:r w:rsidRPr="001120FB">
        <w:rPr>
          <w:rFonts w:ascii="Times New Roman" w:hAnsi="Times New Roman"/>
        </w:rPr>
        <w:t xml:space="preserve"> signal.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>FoxP3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cells of the different sources (as noted) were sorted out as </w:t>
      </w:r>
      <w:r w:rsidR="008F6613" w:rsidRPr="001120FB">
        <w:rPr>
          <w:rFonts w:ascii="Times New Roman" w:hAnsi="Times New Roman"/>
        </w:rPr>
        <w:t>suppressors</w:t>
      </w:r>
      <w:r w:rsidRPr="001120FB">
        <w:rPr>
          <w:rFonts w:ascii="Times New Roman" w:hAnsi="Times New Roman"/>
        </w:rPr>
        <w:t>, while the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>FoxP3</w:t>
      </w:r>
      <w:r w:rsidRPr="001120FB">
        <w:rPr>
          <w:rFonts w:ascii="Times New Roman" w:hAnsi="Times New Roman"/>
          <w:vertAlign w:val="superscript"/>
        </w:rPr>
        <w:t>-</w:t>
      </w:r>
      <w:r w:rsidRPr="001120FB">
        <w:rPr>
          <w:rFonts w:ascii="Times New Roman" w:hAnsi="Times New Roman"/>
        </w:rPr>
        <w:t xml:space="preserve"> cells were used for responder cells. Gating boundaries were determined based on fluorescence-minus-one (FMO) controls and the unstimulated control with proper compensation. Three independent </w:t>
      </w:r>
      <w:r w:rsidR="0008353B" w:rsidRPr="001120FB">
        <w:rPr>
          <w:rFonts w:ascii="Times New Roman" w:hAnsi="Times New Roman"/>
        </w:rPr>
        <w:t>sorts</w:t>
      </w:r>
      <w:r w:rsidRPr="001120FB">
        <w:rPr>
          <w:rFonts w:ascii="Times New Roman" w:hAnsi="Times New Roman"/>
        </w:rPr>
        <w:t xml:space="preserve"> were performed using BD </w:t>
      </w:r>
      <w:proofErr w:type="spellStart"/>
      <w:r w:rsidRPr="001120FB">
        <w:rPr>
          <w:rFonts w:ascii="Times New Roman" w:hAnsi="Times New Roman"/>
        </w:rPr>
        <w:t>FACSAria</w:t>
      </w:r>
      <w:proofErr w:type="spellEnd"/>
      <w:r w:rsidRPr="001120FB">
        <w:rPr>
          <w:rFonts w:ascii="Times New Roman" w:hAnsi="Times New Roman"/>
        </w:rPr>
        <w:t xml:space="preserve"> II</w:t>
      </w:r>
      <w:r w:rsidR="00CC3841" w:rsidRPr="001120FB">
        <w:rPr>
          <w:rFonts w:ascii="Times New Roman" w:hAnsi="Times New Roman"/>
        </w:rPr>
        <w:t xml:space="preserve"> </w:t>
      </w:r>
      <w:r w:rsidRPr="001120FB">
        <w:rPr>
          <w:rFonts w:ascii="Times New Roman" w:hAnsi="Times New Roman"/>
        </w:rPr>
        <w:t>Sorter with an efficiency of over 98%.</w:t>
      </w:r>
      <w:bookmarkEnd w:id="6"/>
    </w:p>
    <w:p w14:paraId="4CA6041B" w14:textId="77777777" w:rsidR="0015036D" w:rsidRPr="001120FB" w:rsidRDefault="0015036D" w:rsidP="00962A45">
      <w:pPr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1120FB">
        <w:rPr>
          <w:rFonts w:ascii="Times New Roman" w:hAnsi="Times New Roman" w:cs="Times New Roman"/>
          <w:sz w:val="24"/>
          <w:szCs w:val="24"/>
        </w:rPr>
        <w:br w:type="page"/>
      </w:r>
    </w:p>
    <w:p w14:paraId="1769B80C" w14:textId="68E24B51" w:rsidR="00AC2CA4" w:rsidRPr="001120FB" w:rsidRDefault="0015036D" w:rsidP="00962A45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noProof/>
        </w:rPr>
        <w:lastRenderedPageBreak/>
        <w:drawing>
          <wp:inline distT="0" distB="0" distL="0" distR="0" wp14:anchorId="3A9EB358" wp14:editId="674EA032">
            <wp:extent cx="5943600" cy="3475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2887" w14:textId="6ECE1BB4" w:rsidR="0048157B" w:rsidRPr="001120FB" w:rsidRDefault="0015036D" w:rsidP="00962A45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  <w:bCs/>
        </w:rPr>
        <w:t>Figure S</w:t>
      </w:r>
      <w:r w:rsidR="00091CD6" w:rsidRPr="001120FB">
        <w:rPr>
          <w:rFonts w:ascii="Times New Roman" w:hAnsi="Times New Roman"/>
          <w:b/>
          <w:bCs/>
        </w:rPr>
        <w:t>5</w:t>
      </w:r>
      <w:r w:rsidRPr="001120FB">
        <w:rPr>
          <w:rFonts w:ascii="Times New Roman" w:hAnsi="Times New Roman"/>
          <w:b/>
          <w:bCs/>
        </w:rPr>
        <w:t xml:space="preserve">. Representative Flow Cytometry </w:t>
      </w:r>
      <w:r w:rsidR="0008353B" w:rsidRPr="001120FB">
        <w:rPr>
          <w:rFonts w:ascii="Times New Roman" w:hAnsi="Times New Roman"/>
          <w:b/>
          <w:bCs/>
        </w:rPr>
        <w:t>Gating</w:t>
      </w:r>
      <w:r w:rsidRPr="001120FB">
        <w:rPr>
          <w:rFonts w:ascii="Times New Roman" w:hAnsi="Times New Roman"/>
          <w:b/>
          <w:bCs/>
        </w:rPr>
        <w:t xml:space="preserve"> for Treg Suppression Assay.</w:t>
      </w:r>
      <w:r w:rsidRPr="001120FB">
        <w:rPr>
          <w:rFonts w:ascii="Times New Roman" w:hAnsi="Times New Roman"/>
        </w:rPr>
        <w:t xml:space="preserve"> Sequential gating strategies were applied to assess the suppressive function of </w:t>
      </w:r>
      <w:r w:rsidR="0019275B" w:rsidRPr="001120FB">
        <w:rPr>
          <w:rFonts w:ascii="Times New Roman" w:hAnsi="Times New Roman"/>
        </w:rPr>
        <w:t xml:space="preserve">Tregs </w:t>
      </w:r>
      <w:r w:rsidRPr="001120FB">
        <w:rPr>
          <w:rFonts w:ascii="Times New Roman" w:hAnsi="Times New Roman"/>
        </w:rPr>
        <w:t>induced by PLGA MPs released or soluble TGF-β1, compared to natural Tregs. (A) Set a polygon gate to identify the lymphocyte population and exclude debris. (B) Exclusion of cell doublets and aggregation. (C) Viable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 were identified as CD4 positive and Live/Dead </w:t>
      </w:r>
      <w:r w:rsidR="0008353B" w:rsidRPr="001120FB">
        <w:rPr>
          <w:rFonts w:ascii="Times New Roman" w:hAnsi="Times New Roman"/>
        </w:rPr>
        <w:t>negative</w:t>
      </w:r>
      <w:r w:rsidRPr="001120FB">
        <w:rPr>
          <w:rFonts w:ascii="Times New Roman" w:hAnsi="Times New Roman"/>
        </w:rPr>
        <w:t>. (D)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responder cells were identified as CD4 and </w:t>
      </w:r>
      <w:proofErr w:type="spellStart"/>
      <w:r w:rsidRPr="001120FB">
        <w:rPr>
          <w:rFonts w:ascii="Times New Roman" w:hAnsi="Times New Roman"/>
        </w:rPr>
        <w:t>CellTrace</w:t>
      </w:r>
      <w:proofErr w:type="spellEnd"/>
      <w:r w:rsidRPr="001120FB">
        <w:rPr>
          <w:rFonts w:ascii="Times New Roman" w:hAnsi="Times New Roman"/>
        </w:rPr>
        <w:t xml:space="preserve"> Violet double positive. (E) Frequency of proliferating (excluding generation 0)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responder cells </w:t>
      </w:r>
      <w:r w:rsidR="0008353B" w:rsidRPr="001120FB">
        <w:rPr>
          <w:rFonts w:ascii="Times New Roman" w:hAnsi="Times New Roman"/>
        </w:rPr>
        <w:t>were</w:t>
      </w:r>
      <w:r w:rsidRPr="001120FB">
        <w:rPr>
          <w:rFonts w:ascii="Times New Roman" w:hAnsi="Times New Roman"/>
        </w:rPr>
        <w:t xml:space="preserve"> quantified using histogram. The analysis was performed using FCS Express 6.05 software. The boundary of the gates is determined by isotype controls, fluorescence-minus-one (FMO) controls.</w:t>
      </w:r>
    </w:p>
    <w:p w14:paraId="29AE9E32" w14:textId="77777777" w:rsidR="0048157B" w:rsidRPr="001120FB" w:rsidRDefault="0048157B" w:rsidP="00962A45">
      <w:pPr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1120FB">
        <w:rPr>
          <w:rFonts w:ascii="Times New Roman" w:hAnsi="Times New Roman" w:cs="Times New Roman"/>
          <w:sz w:val="24"/>
          <w:szCs w:val="24"/>
        </w:rPr>
        <w:br w:type="page"/>
      </w:r>
    </w:p>
    <w:p w14:paraId="11FA3A4C" w14:textId="6AC72296" w:rsidR="0015036D" w:rsidRPr="001120FB" w:rsidRDefault="00B5774B">
      <w:pPr>
        <w:pStyle w:val="014FigureCaption"/>
        <w:ind w:left="0" w:firstLine="0"/>
        <w:contextualSpacing/>
        <w:jc w:val="center"/>
        <w:rPr>
          <w:rFonts w:ascii="Times New Roman" w:hAnsi="Times New Roman"/>
        </w:rPr>
      </w:pPr>
      <w:r w:rsidRPr="001120FB">
        <w:rPr>
          <w:rFonts w:ascii="Times New Roman" w:hAnsi="Times New Roman"/>
        </w:rPr>
        <w:lastRenderedPageBreak/>
        <w:t xml:space="preserve"> </w:t>
      </w:r>
      <w:r w:rsidRPr="001120FB">
        <w:rPr>
          <w:rFonts w:ascii="Times New Roman" w:hAnsi="Times New Roman"/>
          <w:noProof/>
        </w:rPr>
        <w:drawing>
          <wp:inline distT="0" distB="0" distL="0" distR="0" wp14:anchorId="0E039A3F" wp14:editId="0347A4A3">
            <wp:extent cx="4585460" cy="692467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0" cy="69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9D6E4" w14:textId="5AAF64C9" w:rsidR="00734FFC" w:rsidRPr="001120FB" w:rsidRDefault="00C714C6" w:rsidP="00CC4E68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  <w:bCs/>
        </w:rPr>
        <w:t>Figure S</w:t>
      </w:r>
      <w:r w:rsidR="00091CD6" w:rsidRPr="001120FB">
        <w:rPr>
          <w:rFonts w:ascii="Times New Roman" w:hAnsi="Times New Roman"/>
          <w:b/>
          <w:bCs/>
        </w:rPr>
        <w:t>6</w:t>
      </w:r>
      <w:r w:rsidRPr="001120FB">
        <w:rPr>
          <w:rFonts w:ascii="Times New Roman" w:hAnsi="Times New Roman"/>
          <w:b/>
          <w:bCs/>
        </w:rPr>
        <w:t>. Purity of Magnetically Sorted Naïve CD4</w:t>
      </w:r>
      <w:r w:rsidRPr="001120FB">
        <w:rPr>
          <w:rFonts w:ascii="Times New Roman" w:hAnsi="Times New Roman"/>
          <w:b/>
          <w:bCs/>
          <w:vertAlign w:val="superscript"/>
        </w:rPr>
        <w:t>+</w:t>
      </w:r>
      <w:r w:rsidRPr="001120FB">
        <w:rPr>
          <w:rFonts w:ascii="Times New Roman" w:hAnsi="Times New Roman"/>
          <w:b/>
          <w:bCs/>
        </w:rPr>
        <w:t xml:space="preserve"> T Cells for Treg Conversion Assay.</w:t>
      </w:r>
      <w:r w:rsidRPr="001120FB">
        <w:rPr>
          <w:rFonts w:ascii="Times New Roman" w:hAnsi="Times New Roman"/>
        </w:rPr>
        <w:t xml:space="preserve"> (A) Frequency of naïve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 (LiveDead</w:t>
      </w:r>
      <w:r w:rsidRPr="001120FB">
        <w:rPr>
          <w:rFonts w:ascii="Times New Roman" w:hAnsi="Times New Roman"/>
          <w:vertAlign w:val="superscript"/>
        </w:rPr>
        <w:t>-</w:t>
      </w:r>
      <w:r w:rsidRPr="001120FB">
        <w:rPr>
          <w:rFonts w:ascii="Times New Roman" w:hAnsi="Times New Roman"/>
        </w:rPr>
        <w:t>CD4</w:t>
      </w:r>
      <w:r w:rsidR="004532A5"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>CD62L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) before (pink bar) and after (blue bar) </w:t>
      </w:r>
      <w:r w:rsidR="0008353B" w:rsidRPr="001120FB">
        <w:rPr>
          <w:rFonts w:ascii="Times New Roman" w:hAnsi="Times New Roman"/>
        </w:rPr>
        <w:t>magnetic</w:t>
      </w:r>
      <w:r w:rsidRPr="001120FB">
        <w:rPr>
          <w:rFonts w:ascii="Times New Roman" w:hAnsi="Times New Roman"/>
        </w:rPr>
        <w:t xml:space="preserve"> purification with </w:t>
      </w:r>
      <w:proofErr w:type="spellStart"/>
      <w:r w:rsidRPr="001120FB">
        <w:rPr>
          <w:rFonts w:ascii="Times New Roman" w:hAnsi="Times New Roman"/>
        </w:rPr>
        <w:t>StemCell</w:t>
      </w:r>
      <w:proofErr w:type="spellEnd"/>
      <w:r w:rsidRPr="001120FB">
        <w:rPr>
          <w:rFonts w:ascii="Times New Roman" w:hAnsi="Times New Roman"/>
        </w:rPr>
        <w:t xml:space="preserve"> negative selection kit</w:t>
      </w:r>
      <w:r w:rsidR="00206260" w:rsidRPr="001120FB">
        <w:rPr>
          <w:rFonts w:ascii="Times New Roman" w:hAnsi="Times New Roman"/>
        </w:rPr>
        <w:t>, with r</w:t>
      </w:r>
      <w:r w:rsidRPr="001120FB">
        <w:rPr>
          <w:rFonts w:ascii="Times New Roman" w:hAnsi="Times New Roman"/>
        </w:rPr>
        <w:t xml:space="preserve">epresentative cytometric </w:t>
      </w:r>
      <w:r w:rsidR="00CC3841" w:rsidRPr="001120FB">
        <w:rPr>
          <w:rFonts w:ascii="Times New Roman" w:hAnsi="Times New Roman"/>
        </w:rPr>
        <w:t xml:space="preserve">density </w:t>
      </w:r>
      <w:r w:rsidRPr="001120FB">
        <w:rPr>
          <w:rFonts w:ascii="Times New Roman" w:hAnsi="Times New Roman"/>
        </w:rPr>
        <w:t xml:space="preserve">plots. </w:t>
      </w:r>
      <w:r w:rsidR="00F326B6" w:rsidRPr="001120FB">
        <w:rPr>
          <w:rFonts w:ascii="Times New Roman" w:hAnsi="Times New Roman"/>
        </w:rPr>
        <w:t xml:space="preserve">(B) Representative gating </w:t>
      </w:r>
      <w:r w:rsidR="00206260" w:rsidRPr="001120FB">
        <w:rPr>
          <w:rFonts w:ascii="Times New Roman" w:hAnsi="Times New Roman"/>
        </w:rPr>
        <w:t xml:space="preserve">of </w:t>
      </w:r>
      <w:r w:rsidR="000F7F62" w:rsidRPr="001120FB">
        <w:rPr>
          <w:rFonts w:ascii="Times New Roman" w:hAnsi="Times New Roman"/>
        </w:rPr>
        <w:t>CD4</w:t>
      </w:r>
      <w:r w:rsidR="000F7F62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F03FC8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206260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673761" w:rsidRPr="001120FB">
        <w:rPr>
          <w:rFonts w:ascii="Times New Roman" w:hAnsi="Times New Roman"/>
        </w:rPr>
        <w:t xml:space="preserve">, </w:t>
      </w:r>
      <w:r w:rsidR="000F7F62" w:rsidRPr="001120FB">
        <w:rPr>
          <w:rFonts w:ascii="Times New Roman" w:hAnsi="Times New Roman"/>
        </w:rPr>
        <w:t>CD4</w:t>
      </w:r>
      <w:r w:rsidR="000F7F62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F03FC8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 xml:space="preserve">, </w:t>
      </w:r>
      <w:r w:rsidR="00206260" w:rsidRPr="001120FB">
        <w:rPr>
          <w:rFonts w:ascii="Times New Roman" w:hAnsi="Times New Roman"/>
        </w:rPr>
        <w:t xml:space="preserve">and </w:t>
      </w:r>
      <w:r w:rsidR="000F7F62" w:rsidRPr="001120FB">
        <w:rPr>
          <w:rFonts w:ascii="Times New Roman" w:hAnsi="Times New Roman"/>
        </w:rPr>
        <w:t>CD4</w:t>
      </w:r>
      <w:r w:rsidR="000F7F62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F03FC8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cells </w:t>
      </w:r>
      <w:r w:rsidR="00206260" w:rsidRPr="001120FB">
        <w:rPr>
          <w:rFonts w:ascii="Times New Roman" w:hAnsi="Times New Roman"/>
        </w:rPr>
        <w:t xml:space="preserve">before (pink </w:t>
      </w:r>
      <w:r w:rsidR="00F326B6" w:rsidRPr="001120FB">
        <w:rPr>
          <w:rFonts w:ascii="Times New Roman" w:hAnsi="Times New Roman"/>
        </w:rPr>
        <w:t>box</w:t>
      </w:r>
      <w:r w:rsidR="00206260" w:rsidRPr="001120FB">
        <w:rPr>
          <w:rFonts w:ascii="Times New Roman" w:hAnsi="Times New Roman"/>
        </w:rPr>
        <w:t xml:space="preserve">) and after (blue </w:t>
      </w:r>
      <w:r w:rsidR="00F326B6" w:rsidRPr="001120FB">
        <w:rPr>
          <w:rFonts w:ascii="Times New Roman" w:hAnsi="Times New Roman"/>
        </w:rPr>
        <w:t>box</w:t>
      </w:r>
      <w:r w:rsidR="00206260" w:rsidRPr="001120FB">
        <w:rPr>
          <w:rFonts w:ascii="Times New Roman" w:hAnsi="Times New Roman"/>
        </w:rPr>
        <w:t xml:space="preserve">) magnetic purification with </w:t>
      </w:r>
      <w:r w:rsidR="00F326B6" w:rsidRPr="001120FB">
        <w:rPr>
          <w:rFonts w:ascii="Times New Roman" w:hAnsi="Times New Roman"/>
        </w:rPr>
        <w:t>(C) summarized quantification</w:t>
      </w:r>
      <w:r w:rsidR="009A0DBE" w:rsidRPr="001120FB">
        <w:rPr>
          <w:rFonts w:ascii="Times New Roman" w:hAnsi="Times New Roman"/>
        </w:rPr>
        <w:t xml:space="preserve"> (n=6)</w:t>
      </w:r>
      <w:r w:rsidR="00F326B6" w:rsidRPr="001120FB">
        <w:rPr>
          <w:rFonts w:ascii="Times New Roman" w:hAnsi="Times New Roman"/>
        </w:rPr>
        <w:t>. (D) Ratio between Foxp3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and Fox</w:t>
      </w:r>
      <w:r w:rsidR="00F03FC8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CD4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 xml:space="preserve"> T cells before and after magnetic purification</w:t>
      </w:r>
      <w:r w:rsidR="009A0DBE" w:rsidRPr="001120FB">
        <w:rPr>
          <w:rFonts w:ascii="Times New Roman" w:hAnsi="Times New Roman"/>
        </w:rPr>
        <w:t xml:space="preserve"> (n=6)</w:t>
      </w:r>
      <w:r w:rsidR="00F326B6" w:rsidRPr="001120FB">
        <w:rPr>
          <w:rFonts w:ascii="Times New Roman" w:hAnsi="Times New Roman"/>
        </w:rPr>
        <w:t>.</w:t>
      </w:r>
    </w:p>
    <w:p w14:paraId="1939D6FE" w14:textId="0D8253ED" w:rsidR="00734FFC" w:rsidRPr="001120FB" w:rsidRDefault="00734FFC" w:rsidP="00673761">
      <w:pPr>
        <w:pStyle w:val="014FigureCaption"/>
        <w:ind w:left="0" w:firstLine="0"/>
        <w:contextualSpacing/>
        <w:jc w:val="center"/>
        <w:rPr>
          <w:rFonts w:ascii="Times New Roman" w:hAnsi="Times New Roman"/>
          <w:b/>
          <w:bCs/>
        </w:rPr>
      </w:pPr>
      <w:r w:rsidRPr="001120FB">
        <w:rPr>
          <w:rFonts w:ascii="Times New Roman" w:hAnsi="Times New Roman"/>
          <w:noProof/>
        </w:rPr>
        <w:lastRenderedPageBreak/>
        <w:drawing>
          <wp:inline distT="0" distB="0" distL="0" distR="0" wp14:anchorId="3C120C0F" wp14:editId="1A5FBAF4">
            <wp:extent cx="2994247" cy="669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4" cy="670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479E" w14:textId="08B033FD" w:rsidR="00CC4E68" w:rsidRPr="001120FB" w:rsidRDefault="00CC4E68" w:rsidP="00CC4E68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  <w:bCs/>
        </w:rPr>
        <w:t xml:space="preserve">Figure S7. </w:t>
      </w:r>
      <w:r w:rsidR="00F326B6" w:rsidRPr="001120FB">
        <w:rPr>
          <w:rFonts w:ascii="Times New Roman" w:hAnsi="Times New Roman"/>
          <w:b/>
          <w:bCs/>
        </w:rPr>
        <w:t>Fox</w:t>
      </w:r>
      <w:r w:rsidR="00A15EBA" w:rsidRPr="001120FB">
        <w:rPr>
          <w:rFonts w:ascii="Times New Roman" w:hAnsi="Times New Roman"/>
          <w:b/>
          <w:bCs/>
        </w:rPr>
        <w:t>P</w:t>
      </w:r>
      <w:r w:rsidR="00F326B6" w:rsidRPr="001120FB">
        <w:rPr>
          <w:rFonts w:ascii="Times New Roman" w:hAnsi="Times New Roman"/>
          <w:b/>
          <w:bCs/>
        </w:rPr>
        <w:t xml:space="preserve">3 and </w:t>
      </w:r>
      <w:proofErr w:type="spellStart"/>
      <w:r w:rsidR="00F326B6" w:rsidRPr="001120FB">
        <w:rPr>
          <w:rFonts w:ascii="Times New Roman" w:hAnsi="Times New Roman"/>
          <w:b/>
          <w:bCs/>
        </w:rPr>
        <w:t>h</w:t>
      </w:r>
      <w:r w:rsidRPr="001120FB">
        <w:rPr>
          <w:rFonts w:ascii="Times New Roman" w:hAnsi="Times New Roman"/>
          <w:b/>
          <w:bCs/>
          <w:lang w:eastAsia="zh-CN"/>
        </w:rPr>
        <w:t>elios</w:t>
      </w:r>
      <w:proofErr w:type="spellEnd"/>
      <w:r w:rsidRPr="001120FB">
        <w:rPr>
          <w:rFonts w:ascii="Times New Roman" w:hAnsi="Times New Roman"/>
          <w:b/>
          <w:bCs/>
        </w:rPr>
        <w:t xml:space="preserve"> Expression on </w:t>
      </w:r>
      <w:r w:rsidR="00F326B6" w:rsidRPr="001120FB">
        <w:rPr>
          <w:rFonts w:ascii="Times New Roman" w:hAnsi="Times New Roman"/>
          <w:b/>
          <w:bCs/>
        </w:rPr>
        <w:t xml:space="preserve">CD4+ T cells post in vitro </w:t>
      </w:r>
      <w:r w:rsidRPr="001120FB">
        <w:rPr>
          <w:rFonts w:ascii="Times New Roman" w:hAnsi="Times New Roman"/>
          <w:b/>
          <w:bCs/>
        </w:rPr>
        <w:t>Tregs Conver</w:t>
      </w:r>
      <w:r w:rsidR="00F326B6" w:rsidRPr="001120FB">
        <w:rPr>
          <w:rFonts w:ascii="Times New Roman" w:hAnsi="Times New Roman"/>
          <w:b/>
          <w:bCs/>
        </w:rPr>
        <w:t xml:space="preserve">sion using </w:t>
      </w:r>
      <w:r w:rsidRPr="001120FB">
        <w:rPr>
          <w:rFonts w:ascii="Times New Roman" w:hAnsi="Times New Roman"/>
          <w:b/>
          <w:bCs/>
        </w:rPr>
        <w:t>PLGA MPs Releasing or Soluble TGF-β1.</w:t>
      </w:r>
      <w:r w:rsidR="00F326B6" w:rsidRPr="001120FB">
        <w:rPr>
          <w:rFonts w:ascii="Times New Roman" w:hAnsi="Times New Roman"/>
        </w:rPr>
        <w:t xml:space="preserve"> S</w:t>
      </w:r>
      <w:r w:rsidRPr="001120FB">
        <w:rPr>
          <w:rFonts w:ascii="Times New Roman" w:hAnsi="Times New Roman"/>
        </w:rPr>
        <w:t xml:space="preserve">ummary of the frequency of </w:t>
      </w:r>
      <w:r w:rsidR="00F326B6" w:rsidRPr="001120FB">
        <w:rPr>
          <w:rFonts w:ascii="Times New Roman" w:hAnsi="Times New Roman"/>
        </w:rPr>
        <w:t>OTII (A) CD4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A15EBA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-</w:t>
      </w:r>
      <w:r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>, (B) CD4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A15EBA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and (C) CD4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Fox</w:t>
      </w:r>
      <w:r w:rsidR="00A15EBA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 xml:space="preserve"> </w:t>
      </w:r>
      <w:r w:rsidRPr="001120FB">
        <w:rPr>
          <w:rFonts w:ascii="Times New Roman" w:hAnsi="Times New Roman"/>
        </w:rPr>
        <w:t>cells post in vitro conversion by TGF-β1 PLGA MPs (n=3) or soluble TGF-β1 (n=3). Paired Tukey’s test was conducted for mean comparison, with * is used when compared to control group (OVA</w:t>
      </w:r>
      <w:r w:rsidRPr="001120FB">
        <w:rPr>
          <w:rFonts w:ascii="Times New Roman" w:hAnsi="Times New Roman"/>
          <w:vertAlign w:val="subscript"/>
        </w:rPr>
        <w:t>323-339</w:t>
      </w:r>
      <w:r w:rsidRPr="001120FB">
        <w:rPr>
          <w:rFonts w:ascii="Times New Roman" w:hAnsi="Times New Roman"/>
        </w:rPr>
        <w:t xml:space="preserve"> peptide and APCs only). Statistical significance was determined as ****p &lt; 0.0001, ***p &lt; 0.001, **p &lt; 0.01 and </w:t>
      </w:r>
      <w:proofErr w:type="spellStart"/>
      <w:r w:rsidRPr="001120FB">
        <w:rPr>
          <w:rFonts w:ascii="Times New Roman" w:hAnsi="Times New Roman"/>
        </w:rPr>
        <w:t>n.s</w:t>
      </w:r>
      <w:proofErr w:type="spellEnd"/>
      <w:r w:rsidRPr="001120FB">
        <w:rPr>
          <w:rFonts w:ascii="Times New Roman" w:hAnsi="Times New Roman"/>
        </w:rPr>
        <w:t>. = not significant.</w:t>
      </w:r>
      <w:r w:rsidR="00F326B6" w:rsidRPr="001120FB">
        <w:rPr>
          <w:rFonts w:ascii="Times New Roman" w:hAnsi="Times New Roman"/>
        </w:rPr>
        <w:t xml:space="preserve"> (D) Ratio between Fox</w:t>
      </w:r>
      <w:r w:rsidR="00A15EBA" w:rsidRPr="001120FB">
        <w:rPr>
          <w:rFonts w:ascii="Times New Roman" w:hAnsi="Times New Roman"/>
        </w:rPr>
        <w:t>P</w:t>
      </w:r>
      <w:r w:rsidR="00F326B6" w:rsidRPr="001120FB">
        <w:rPr>
          <w:rFonts w:ascii="Times New Roman" w:hAnsi="Times New Roman"/>
        </w:rPr>
        <w:t>3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and Foxp3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>helios</w:t>
      </w:r>
      <w:r w:rsidR="00F326B6" w:rsidRPr="001120FB">
        <w:rPr>
          <w:rFonts w:ascii="Times New Roman" w:hAnsi="Times New Roman"/>
          <w:vertAlign w:val="superscript"/>
        </w:rPr>
        <w:t>-</w:t>
      </w:r>
      <w:r w:rsidR="00F326B6" w:rsidRPr="001120FB">
        <w:rPr>
          <w:rFonts w:ascii="Times New Roman" w:hAnsi="Times New Roman"/>
        </w:rPr>
        <w:t xml:space="preserve"> CD4</w:t>
      </w:r>
      <w:r w:rsidR="00F326B6" w:rsidRPr="001120FB">
        <w:rPr>
          <w:rFonts w:ascii="Times New Roman" w:hAnsi="Times New Roman"/>
          <w:vertAlign w:val="superscript"/>
        </w:rPr>
        <w:t>+</w:t>
      </w:r>
      <w:r w:rsidR="00F326B6" w:rsidRPr="001120FB">
        <w:rPr>
          <w:rFonts w:ascii="Times New Roman" w:hAnsi="Times New Roman"/>
        </w:rPr>
        <w:t xml:space="preserve"> T cells before and after the three-day in vitro Treg conversion.</w:t>
      </w:r>
    </w:p>
    <w:p w14:paraId="6E28C043" w14:textId="77777777" w:rsidR="00CC4E68" w:rsidRPr="001120FB" w:rsidRDefault="00CC4E68" w:rsidP="00DB143E">
      <w:pPr>
        <w:rPr>
          <w:rFonts w:ascii="Times New Roman" w:hAnsi="Times New Roman" w:cs="Times New Roman"/>
          <w:lang w:eastAsia="en-US"/>
        </w:rPr>
      </w:pPr>
    </w:p>
    <w:p w14:paraId="1D9DFA83" w14:textId="1C137B7B" w:rsidR="00C714C6" w:rsidRPr="001120FB" w:rsidRDefault="00303768" w:rsidP="00DB143E">
      <w:pPr>
        <w:pStyle w:val="014FigureCaption"/>
        <w:ind w:left="0" w:firstLine="0"/>
        <w:contextualSpacing/>
        <w:jc w:val="center"/>
        <w:rPr>
          <w:rFonts w:ascii="Times New Roman" w:hAnsi="Times New Roman"/>
          <w:b/>
          <w:bCs/>
        </w:rPr>
      </w:pPr>
      <w:r w:rsidRPr="001120FB">
        <w:rPr>
          <w:rFonts w:ascii="Times New Roman" w:hAnsi="Times New Roman"/>
          <w:noProof/>
        </w:rPr>
        <w:drawing>
          <wp:inline distT="0" distB="0" distL="0" distR="0" wp14:anchorId="684E3883" wp14:editId="5ED0E500">
            <wp:extent cx="5638800" cy="3085677"/>
            <wp:effectExtent l="19050" t="19050" r="1905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28" cy="31003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84A92" w14:textId="118DA5FD" w:rsidR="00A95BA6" w:rsidRPr="001120FB" w:rsidRDefault="00303768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  <w:bCs/>
        </w:rPr>
        <w:t>Figure S</w:t>
      </w:r>
      <w:r w:rsidR="00C23F94" w:rsidRPr="001120FB">
        <w:rPr>
          <w:rFonts w:ascii="Times New Roman" w:hAnsi="Times New Roman"/>
          <w:b/>
          <w:bCs/>
        </w:rPr>
        <w:t>8</w:t>
      </w:r>
      <w:r w:rsidRPr="001120FB">
        <w:rPr>
          <w:rFonts w:ascii="Times New Roman" w:hAnsi="Times New Roman"/>
          <w:b/>
          <w:bCs/>
        </w:rPr>
        <w:t xml:space="preserve">. </w:t>
      </w:r>
      <w:proofErr w:type="spellStart"/>
      <w:r w:rsidRPr="001120FB">
        <w:rPr>
          <w:rFonts w:ascii="Times New Roman" w:hAnsi="Times New Roman"/>
          <w:b/>
          <w:bCs/>
        </w:rPr>
        <w:t>iTreg</w:t>
      </w:r>
      <w:proofErr w:type="spellEnd"/>
      <w:r w:rsidRPr="001120FB">
        <w:rPr>
          <w:rFonts w:ascii="Times New Roman" w:hAnsi="Times New Roman"/>
          <w:b/>
          <w:bCs/>
        </w:rPr>
        <w:t xml:space="preserve"> Conversion by PLGA MPs is TGF-β1 Specific.</w:t>
      </w:r>
      <w:r w:rsidRPr="001120FB">
        <w:rPr>
          <w:rFonts w:ascii="Times New Roman" w:hAnsi="Times New Roman"/>
        </w:rPr>
        <w:t xml:space="preserve"> Frequency of OTII 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>FoxP3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</w:t>
      </w:r>
      <w:proofErr w:type="spellStart"/>
      <w:r w:rsidR="0019275B" w:rsidRPr="001120FB">
        <w:rPr>
          <w:rFonts w:ascii="Times New Roman" w:hAnsi="Times New Roman"/>
        </w:rPr>
        <w:t>iTreg</w:t>
      </w:r>
      <w:proofErr w:type="spellEnd"/>
      <w:r w:rsidR="0019275B" w:rsidRPr="001120FB">
        <w:rPr>
          <w:rFonts w:ascii="Times New Roman" w:hAnsi="Times New Roman"/>
        </w:rPr>
        <w:t xml:space="preserve"> </w:t>
      </w:r>
      <w:r w:rsidRPr="001120FB">
        <w:rPr>
          <w:rFonts w:ascii="Times New Roman" w:hAnsi="Times New Roman"/>
        </w:rPr>
        <w:t>conversion by BSA PLGA MPs vehicle controls compared to TGF-β1 PLGA MPs (n=4).</w:t>
      </w:r>
    </w:p>
    <w:p w14:paraId="590C71B0" w14:textId="771202C9" w:rsidR="004627DA" w:rsidRPr="001120FB" w:rsidRDefault="004627DA" w:rsidP="00CE1982">
      <w:pPr>
        <w:contextualSpacing/>
        <w:jc w:val="both"/>
        <w:rPr>
          <w:rFonts w:ascii="Times New Roman" w:eastAsia="SimSun" w:hAnsi="Times New Roman" w:cs="Times New Roman"/>
          <w:sz w:val="24"/>
          <w:szCs w:val="24"/>
          <w:lang w:eastAsia="en-US"/>
        </w:rPr>
      </w:pPr>
    </w:p>
    <w:p w14:paraId="0360E364" w14:textId="4A149260" w:rsidR="0015036D" w:rsidRPr="001120FB" w:rsidRDefault="004627DA" w:rsidP="00CE1982">
      <w:pPr>
        <w:pStyle w:val="014FigureCaption"/>
        <w:ind w:left="0" w:firstLine="0"/>
        <w:contextualSpacing/>
        <w:jc w:val="center"/>
        <w:rPr>
          <w:rFonts w:ascii="Times New Roman" w:hAnsi="Times New Roman"/>
        </w:rPr>
      </w:pPr>
      <w:r w:rsidRPr="001120FB">
        <w:rPr>
          <w:rFonts w:ascii="Times New Roman" w:hAnsi="Times New Roman"/>
          <w:noProof/>
        </w:rPr>
        <w:lastRenderedPageBreak/>
        <w:drawing>
          <wp:inline distT="0" distB="0" distL="0" distR="0" wp14:anchorId="06789DD6" wp14:editId="27BD0976">
            <wp:extent cx="3800475" cy="6311364"/>
            <wp:effectExtent l="19050" t="19050" r="9525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3897" r="10559" b="1900"/>
                    <a:stretch/>
                  </pic:blipFill>
                  <pic:spPr bwMode="auto">
                    <a:xfrm>
                      <a:off x="0" y="0"/>
                      <a:ext cx="3823057" cy="63488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310B0" w14:textId="7317CA89" w:rsidR="0008353B" w:rsidRPr="00C85FA6" w:rsidRDefault="004627DA" w:rsidP="00CE1982">
      <w:pPr>
        <w:pStyle w:val="014FigureCaption"/>
        <w:ind w:left="0" w:firstLine="0"/>
        <w:contextualSpacing/>
        <w:jc w:val="both"/>
        <w:rPr>
          <w:rFonts w:ascii="Times New Roman" w:hAnsi="Times New Roman"/>
        </w:rPr>
      </w:pPr>
      <w:r w:rsidRPr="001120FB">
        <w:rPr>
          <w:rFonts w:ascii="Times New Roman" w:hAnsi="Times New Roman"/>
          <w:b/>
          <w:bCs/>
        </w:rPr>
        <w:t>Figure S</w:t>
      </w:r>
      <w:r w:rsidR="00C23F94" w:rsidRPr="001120FB">
        <w:rPr>
          <w:rFonts w:ascii="Times New Roman" w:hAnsi="Times New Roman"/>
          <w:b/>
          <w:bCs/>
        </w:rPr>
        <w:t>9</w:t>
      </w:r>
      <w:r w:rsidRPr="001120FB">
        <w:rPr>
          <w:rFonts w:ascii="Times New Roman" w:hAnsi="Times New Roman"/>
          <w:b/>
          <w:bCs/>
        </w:rPr>
        <w:t>. Phenotype of CD4</w:t>
      </w:r>
      <w:r w:rsidRPr="001120FB">
        <w:rPr>
          <w:rFonts w:ascii="Times New Roman" w:hAnsi="Times New Roman"/>
          <w:b/>
          <w:bCs/>
          <w:vertAlign w:val="superscript"/>
        </w:rPr>
        <w:t>+</w:t>
      </w:r>
      <w:r w:rsidRPr="001120FB">
        <w:rPr>
          <w:rFonts w:ascii="Times New Roman" w:hAnsi="Times New Roman"/>
          <w:b/>
          <w:bCs/>
        </w:rPr>
        <w:t xml:space="preserve"> T Cells in Spleens and LNs Harvest from Long-term Allogeneic Islet Graft Recipients</w:t>
      </w:r>
      <w:r w:rsidR="009302A2" w:rsidRPr="001120FB">
        <w:rPr>
          <w:rFonts w:ascii="Times New Roman" w:hAnsi="Times New Roman"/>
          <w:b/>
          <w:bCs/>
        </w:rPr>
        <w:t xml:space="preserve"> treated with </w:t>
      </w:r>
      <w:r w:rsidR="009302A2" w:rsidRPr="001120FB">
        <w:rPr>
          <w:rFonts w:ascii="Times New Roman" w:hAnsi="Times New Roman"/>
          <w:b/>
        </w:rPr>
        <w:t>TGF-β1 PLGA MPs</w:t>
      </w:r>
      <w:r w:rsidRPr="001120FB">
        <w:rPr>
          <w:rFonts w:ascii="Times New Roman" w:hAnsi="Times New Roman"/>
          <w:b/>
          <w:bCs/>
        </w:rPr>
        <w:t>.</w:t>
      </w:r>
      <w:r w:rsidRPr="001120FB">
        <w:rPr>
          <w:rFonts w:ascii="Times New Roman" w:hAnsi="Times New Roman"/>
        </w:rPr>
        <w:t xml:space="preserve"> Frequency of (A) </w:t>
      </w:r>
      <w:proofErr w:type="spellStart"/>
      <w:r w:rsidRPr="001120FB">
        <w:rPr>
          <w:rFonts w:ascii="Times New Roman" w:hAnsi="Times New Roman"/>
        </w:rPr>
        <w:t>Tbet</w:t>
      </w:r>
      <w:proofErr w:type="spellEnd"/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>, (B) GATA3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and </w:t>
      </w:r>
      <w:r w:rsidRPr="001120FB">
        <w:rPr>
          <w:rFonts w:ascii="Times New Roman" w:hAnsi="Times New Roman"/>
          <w:lang w:eastAsia="zh-CN"/>
        </w:rPr>
        <w:t xml:space="preserve">(C) </w:t>
      </w:r>
      <w:proofErr w:type="spellStart"/>
      <w:r w:rsidRPr="001120FB">
        <w:rPr>
          <w:rFonts w:ascii="Times New Roman" w:hAnsi="Times New Roman"/>
          <w:lang w:eastAsia="zh-CN"/>
        </w:rPr>
        <w:t>RORγt</w:t>
      </w:r>
      <w:proofErr w:type="spellEnd"/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  <w:lang w:eastAsia="zh-CN"/>
        </w:rPr>
        <w:t xml:space="preserve"> </w:t>
      </w:r>
      <w:r w:rsidRPr="001120FB">
        <w:rPr>
          <w:rFonts w:ascii="Times New Roman" w:hAnsi="Times New Roman"/>
        </w:rPr>
        <w:t>CD4</w:t>
      </w:r>
      <w:r w:rsidRPr="001120FB">
        <w:rPr>
          <w:rFonts w:ascii="Times New Roman" w:hAnsi="Times New Roman"/>
          <w:vertAlign w:val="superscript"/>
        </w:rPr>
        <w:t>+</w:t>
      </w:r>
      <w:r w:rsidRPr="001120FB">
        <w:rPr>
          <w:rFonts w:ascii="Times New Roman" w:hAnsi="Times New Roman"/>
        </w:rPr>
        <w:t xml:space="preserve"> T cells in spleens and lymph nodes of non-transplanted controls (black, n=3) and the long-term allogeneic islet graft survivors (blue, n=</w:t>
      </w:r>
      <w:r w:rsidR="00F06288" w:rsidRPr="001120FB">
        <w:rPr>
          <w:rFonts w:ascii="Times New Roman" w:hAnsi="Times New Roman"/>
        </w:rPr>
        <w:t>2</w:t>
      </w:r>
      <w:r w:rsidRPr="001120FB">
        <w:rPr>
          <w:rFonts w:ascii="Times New Roman" w:hAnsi="Times New Roman"/>
        </w:rPr>
        <w:t>) treated with TGF-β1 PLGA MPs.</w:t>
      </w:r>
    </w:p>
    <w:sectPr w:rsidR="0008353B" w:rsidRPr="00C85F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5273A"/>
    <w:multiLevelType w:val="hybridMultilevel"/>
    <w:tmpl w:val="F6F499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0NjA0Mjc0sbQwMDNX0lEKTi0uzszPAykwMq0FAO/iVbYtAAAA"/>
  </w:docVars>
  <w:rsids>
    <w:rsidRoot w:val="0086183E"/>
    <w:rsid w:val="000031DA"/>
    <w:rsid w:val="000065E9"/>
    <w:rsid w:val="000101AF"/>
    <w:rsid w:val="00075775"/>
    <w:rsid w:val="0008353B"/>
    <w:rsid w:val="00091CD6"/>
    <w:rsid w:val="00095A08"/>
    <w:rsid w:val="000975CB"/>
    <w:rsid w:val="0009784C"/>
    <w:rsid w:val="000A37EE"/>
    <w:rsid w:val="000A41AB"/>
    <w:rsid w:val="000A67BD"/>
    <w:rsid w:val="000C7471"/>
    <w:rsid w:val="000D05C8"/>
    <w:rsid w:val="000F7F62"/>
    <w:rsid w:val="001120FB"/>
    <w:rsid w:val="0015036D"/>
    <w:rsid w:val="00152053"/>
    <w:rsid w:val="00186BA8"/>
    <w:rsid w:val="0019275B"/>
    <w:rsid w:val="00197ACC"/>
    <w:rsid w:val="001A48ED"/>
    <w:rsid w:val="001C317D"/>
    <w:rsid w:val="00206260"/>
    <w:rsid w:val="00217E37"/>
    <w:rsid w:val="002B74B9"/>
    <w:rsid w:val="00303768"/>
    <w:rsid w:val="003217D1"/>
    <w:rsid w:val="00326F93"/>
    <w:rsid w:val="00332A8D"/>
    <w:rsid w:val="0033720C"/>
    <w:rsid w:val="003379E3"/>
    <w:rsid w:val="0036449C"/>
    <w:rsid w:val="00370507"/>
    <w:rsid w:val="0037055B"/>
    <w:rsid w:val="00375AA3"/>
    <w:rsid w:val="00385E73"/>
    <w:rsid w:val="00386214"/>
    <w:rsid w:val="003B49D3"/>
    <w:rsid w:val="003C257E"/>
    <w:rsid w:val="003C5BFE"/>
    <w:rsid w:val="003D046B"/>
    <w:rsid w:val="003F37CB"/>
    <w:rsid w:val="00404C9A"/>
    <w:rsid w:val="004164A9"/>
    <w:rsid w:val="00450FFD"/>
    <w:rsid w:val="004532A5"/>
    <w:rsid w:val="004627DA"/>
    <w:rsid w:val="00472ADB"/>
    <w:rsid w:val="004739BD"/>
    <w:rsid w:val="004769B7"/>
    <w:rsid w:val="0048157B"/>
    <w:rsid w:val="00493163"/>
    <w:rsid w:val="004A35C1"/>
    <w:rsid w:val="004A4273"/>
    <w:rsid w:val="0051053A"/>
    <w:rsid w:val="0051675B"/>
    <w:rsid w:val="0053263F"/>
    <w:rsid w:val="00534CE0"/>
    <w:rsid w:val="00535A4E"/>
    <w:rsid w:val="00537772"/>
    <w:rsid w:val="00551CD1"/>
    <w:rsid w:val="00597DEA"/>
    <w:rsid w:val="005A6D05"/>
    <w:rsid w:val="005B44D6"/>
    <w:rsid w:val="005B74FB"/>
    <w:rsid w:val="005D7F8D"/>
    <w:rsid w:val="005E02FC"/>
    <w:rsid w:val="005E36CE"/>
    <w:rsid w:val="0060539D"/>
    <w:rsid w:val="00623E65"/>
    <w:rsid w:val="006266BF"/>
    <w:rsid w:val="00673761"/>
    <w:rsid w:val="00677F36"/>
    <w:rsid w:val="00685AE7"/>
    <w:rsid w:val="006D5705"/>
    <w:rsid w:val="006E5B80"/>
    <w:rsid w:val="006F04D9"/>
    <w:rsid w:val="00713434"/>
    <w:rsid w:val="0071403E"/>
    <w:rsid w:val="0071591F"/>
    <w:rsid w:val="00722F84"/>
    <w:rsid w:val="007251E0"/>
    <w:rsid w:val="00726D7C"/>
    <w:rsid w:val="00734FFC"/>
    <w:rsid w:val="00755DC6"/>
    <w:rsid w:val="00794288"/>
    <w:rsid w:val="007961CD"/>
    <w:rsid w:val="007D6EA9"/>
    <w:rsid w:val="007F24E0"/>
    <w:rsid w:val="00816219"/>
    <w:rsid w:val="0082646C"/>
    <w:rsid w:val="0084378E"/>
    <w:rsid w:val="0086183E"/>
    <w:rsid w:val="00864711"/>
    <w:rsid w:val="00875770"/>
    <w:rsid w:val="008A372F"/>
    <w:rsid w:val="008B6474"/>
    <w:rsid w:val="008D2CF6"/>
    <w:rsid w:val="008D6032"/>
    <w:rsid w:val="008E57FF"/>
    <w:rsid w:val="008F6613"/>
    <w:rsid w:val="009030AA"/>
    <w:rsid w:val="009302A2"/>
    <w:rsid w:val="00945179"/>
    <w:rsid w:val="00945779"/>
    <w:rsid w:val="009574DF"/>
    <w:rsid w:val="00962A45"/>
    <w:rsid w:val="009747E6"/>
    <w:rsid w:val="009812F9"/>
    <w:rsid w:val="009A0DBE"/>
    <w:rsid w:val="009E0C29"/>
    <w:rsid w:val="009F3EC3"/>
    <w:rsid w:val="00A142F7"/>
    <w:rsid w:val="00A15EBA"/>
    <w:rsid w:val="00A22EEB"/>
    <w:rsid w:val="00A473A4"/>
    <w:rsid w:val="00A8455C"/>
    <w:rsid w:val="00A95BA6"/>
    <w:rsid w:val="00AB1919"/>
    <w:rsid w:val="00AC2B38"/>
    <w:rsid w:val="00AC2CA4"/>
    <w:rsid w:val="00AE1213"/>
    <w:rsid w:val="00AE5E96"/>
    <w:rsid w:val="00B01AE0"/>
    <w:rsid w:val="00B06777"/>
    <w:rsid w:val="00B17D91"/>
    <w:rsid w:val="00B5774B"/>
    <w:rsid w:val="00B65A79"/>
    <w:rsid w:val="00B97315"/>
    <w:rsid w:val="00BC2C32"/>
    <w:rsid w:val="00BD08F8"/>
    <w:rsid w:val="00BD1FEC"/>
    <w:rsid w:val="00BF07DA"/>
    <w:rsid w:val="00C20903"/>
    <w:rsid w:val="00C21872"/>
    <w:rsid w:val="00C23F94"/>
    <w:rsid w:val="00C337D6"/>
    <w:rsid w:val="00C40CB8"/>
    <w:rsid w:val="00C55FA3"/>
    <w:rsid w:val="00C714C6"/>
    <w:rsid w:val="00C85FA6"/>
    <w:rsid w:val="00C913A3"/>
    <w:rsid w:val="00CA66BE"/>
    <w:rsid w:val="00CC10EE"/>
    <w:rsid w:val="00CC1518"/>
    <w:rsid w:val="00CC3841"/>
    <w:rsid w:val="00CC4E68"/>
    <w:rsid w:val="00CE1982"/>
    <w:rsid w:val="00D21BAE"/>
    <w:rsid w:val="00D55411"/>
    <w:rsid w:val="00D77159"/>
    <w:rsid w:val="00D8058B"/>
    <w:rsid w:val="00D91357"/>
    <w:rsid w:val="00DB143E"/>
    <w:rsid w:val="00DC68CE"/>
    <w:rsid w:val="00DF531F"/>
    <w:rsid w:val="00E043E5"/>
    <w:rsid w:val="00E0746F"/>
    <w:rsid w:val="00E438D8"/>
    <w:rsid w:val="00E5288A"/>
    <w:rsid w:val="00E63096"/>
    <w:rsid w:val="00E92133"/>
    <w:rsid w:val="00EA7F34"/>
    <w:rsid w:val="00EC06D6"/>
    <w:rsid w:val="00ED2797"/>
    <w:rsid w:val="00EE3A6A"/>
    <w:rsid w:val="00F03FC8"/>
    <w:rsid w:val="00F06288"/>
    <w:rsid w:val="00F326B6"/>
    <w:rsid w:val="00F356E3"/>
    <w:rsid w:val="00F36E3F"/>
    <w:rsid w:val="00F76C83"/>
    <w:rsid w:val="00F948C4"/>
    <w:rsid w:val="00FB33D4"/>
    <w:rsid w:val="00FE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C1359"/>
  <w15:chartTrackingRefBased/>
  <w15:docId w15:val="{AD02CF93-6B30-4A9E-9538-7C587784C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3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973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15"/>
    <w:rPr>
      <w:sz w:val="20"/>
      <w:szCs w:val="20"/>
    </w:rPr>
  </w:style>
  <w:style w:type="paragraph" w:customStyle="1" w:styleId="Paragraph">
    <w:name w:val="Paragraph"/>
    <w:basedOn w:val="Normal"/>
    <w:link w:val="ParagraphChar"/>
    <w:rsid w:val="00B97315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ParagraphChar">
    <w:name w:val="Paragraph Char"/>
    <w:basedOn w:val="DefaultParagraphFont"/>
    <w:link w:val="Paragraph"/>
    <w:rsid w:val="00B97315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31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6474"/>
    <w:pPr>
      <w:ind w:left="720"/>
      <w:contextualSpacing/>
    </w:pPr>
    <w:rPr>
      <w:rFonts w:eastAsia="SimSun"/>
      <w:lang w:eastAsia="en-US"/>
    </w:rPr>
  </w:style>
  <w:style w:type="paragraph" w:customStyle="1" w:styleId="013TableCaption">
    <w:name w:val="013 Table Caption"/>
    <w:basedOn w:val="Normal"/>
    <w:next w:val="Normal"/>
    <w:rsid w:val="00AC2CA4"/>
    <w:pPr>
      <w:keepNext/>
      <w:spacing w:after="0" w:line="240" w:lineRule="auto"/>
      <w:ind w:left="1080" w:hanging="1080"/>
    </w:pPr>
    <w:rPr>
      <w:rFonts w:ascii="Arial" w:eastAsia="SimSun" w:hAnsi="Arial" w:cs="Times New Roman"/>
      <w:sz w:val="24"/>
      <w:szCs w:val="24"/>
      <w:lang w:eastAsia="en-US"/>
    </w:rPr>
  </w:style>
  <w:style w:type="table" w:styleId="TableGrid">
    <w:name w:val="Table Grid"/>
    <w:basedOn w:val="TableNormal"/>
    <w:rsid w:val="00AC2CA4"/>
    <w:pPr>
      <w:spacing w:after="0" w:line="240" w:lineRule="auto"/>
    </w:pPr>
    <w:rPr>
      <w:rFonts w:ascii="Arial" w:eastAsia="SimSun" w:hAnsi="Arial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4FigureCaption">
    <w:name w:val="014 Figure Caption"/>
    <w:basedOn w:val="Normal"/>
    <w:next w:val="Normal"/>
    <w:rsid w:val="00AC2CA4"/>
    <w:pPr>
      <w:spacing w:after="240" w:line="240" w:lineRule="auto"/>
      <w:ind w:left="1080" w:hanging="1080"/>
    </w:pPr>
    <w:rPr>
      <w:rFonts w:ascii="Arial" w:eastAsia="SimSun" w:hAnsi="Arial" w:cs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7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Li,Ying</dc:creator>
  <cp:keywords/>
  <dc:description/>
  <cp:lastModifiedBy>Eleanor Masterman</cp:lastModifiedBy>
  <cp:revision>6</cp:revision>
  <dcterms:created xsi:type="dcterms:W3CDTF">2021-03-30T00:24:00Z</dcterms:created>
  <dcterms:modified xsi:type="dcterms:W3CDTF">2021-04-12T15:29:00Z</dcterms:modified>
</cp:coreProperties>
</file>