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60" w:lineRule="auto"/>
        <w:jc w:val="center"/>
        <w:outlineLvl w:val="1"/>
        <w:rPr>
          <w:rFonts w:hint="default" w:ascii="Arial" w:hAnsi="Arial" w:cs="Arial"/>
          <w:b/>
          <w:bCs/>
          <w:sz w:val="44"/>
          <w:szCs w:val="44"/>
        </w:rPr>
      </w:pPr>
      <w:bookmarkStart w:id="0" w:name="_Hlk65931288"/>
      <w:r>
        <w:rPr>
          <w:rFonts w:ascii="Arial" w:hAnsi="Arial" w:cs="Arial"/>
          <w:b/>
          <w:bCs/>
          <w:sz w:val="44"/>
          <w:szCs w:val="44"/>
        </w:rPr>
        <w:t xml:space="preserve">A pan-cancer analysis of the oncogenic role of Twinfilin Actin Binding Protein 1 in </w:t>
      </w:r>
      <w:bookmarkStart w:id="1" w:name="OLE_LINK2"/>
      <w:r>
        <w:rPr>
          <w:rFonts w:hint="default" w:ascii="Arial" w:hAnsi="Arial" w:cs="Arial"/>
          <w:b/>
          <w:bCs/>
          <w:sz w:val="44"/>
          <w:szCs w:val="44"/>
        </w:rPr>
        <w:t>human</w:t>
      </w:r>
      <w:r>
        <w:rPr>
          <w:rFonts w:ascii="Arial" w:hAnsi="Arial" w:cs="Arial"/>
          <w:b/>
          <w:bCs/>
          <w:sz w:val="44"/>
          <w:szCs w:val="44"/>
        </w:rPr>
        <w:t xml:space="preserve"> tumors </w:t>
      </w:r>
      <w:bookmarkEnd w:id="1"/>
    </w:p>
    <w:bookmarkEnd w:id="0"/>
    <w:p>
      <w:pPr>
        <w:keepNext/>
        <w:keepLines/>
        <w:spacing w:before="260" w:after="260" w:line="360" w:lineRule="auto"/>
        <w:jc w:val="left"/>
        <w:outlineLvl w:val="1"/>
        <w:rPr>
          <w:rFonts w:ascii="Arial" w:hAnsi="Arial" w:cs="Arial"/>
          <w:b/>
          <w:bCs/>
          <w:sz w:val="44"/>
          <w:szCs w:val="44"/>
        </w:rPr>
      </w:pPr>
    </w:p>
    <w:p>
      <w:pPr>
        <w:keepNext/>
        <w:keepLines/>
        <w:spacing w:before="260" w:after="260" w:line="360" w:lineRule="auto"/>
        <w:jc w:val="lef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Supplementary data</w:t>
      </w:r>
    </w:p>
    <w:p>
      <w:pPr>
        <w:pStyle w:val="7"/>
        <w:keepNext/>
        <w:keepLines/>
        <w:numPr>
          <w:numId w:val="0"/>
        </w:numPr>
        <w:spacing w:before="260" w:after="260" w:line="360" w:lineRule="auto"/>
        <w:ind w:leftChars="0"/>
        <w:outlineLvl w:val="1"/>
        <w:rPr>
          <w:rFonts w:ascii="Arial" w:hAnsi="Arial" w:eastAsia="宋体" w:cs="Arial"/>
          <w:b/>
          <w:bCs/>
          <w:sz w:val="32"/>
          <w:szCs w:val="32"/>
        </w:rPr>
      </w:pPr>
      <w:r>
        <w:rPr>
          <w:rFonts w:ascii="Arial" w:hAnsi="Arial" w:eastAsia="宋体" w:cs="Arial"/>
          <w:b/>
          <w:bCs/>
          <w:sz w:val="32"/>
          <w:szCs w:val="32"/>
        </w:rPr>
        <w:t>Supplementary materials and methods</w:t>
      </w:r>
    </w:p>
    <w:p>
      <w:pPr>
        <w:pStyle w:val="7"/>
        <w:keepNext/>
        <w:keepLines/>
        <w:numPr>
          <w:numId w:val="0"/>
        </w:numPr>
        <w:spacing w:before="260" w:after="260" w:line="360" w:lineRule="auto"/>
        <w:ind w:leftChars="0"/>
        <w:outlineLvl w:val="1"/>
        <w:rPr>
          <w:rFonts w:ascii="Arial" w:hAnsi="Arial" w:eastAsia="宋体" w:cs="Arial"/>
          <w:b/>
          <w:bCs/>
          <w:sz w:val="32"/>
          <w:szCs w:val="32"/>
        </w:rPr>
      </w:pPr>
    </w:p>
    <w:p>
      <w:pPr>
        <w:pStyle w:val="7"/>
        <w:keepNext/>
        <w:keepLines/>
        <w:numPr>
          <w:numId w:val="0"/>
        </w:numPr>
        <w:spacing w:before="260" w:after="260" w:line="360" w:lineRule="auto"/>
        <w:ind w:leftChars="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hint="eastAsia" w:ascii="Arial" w:hAnsi="Arial" w:cs="Arial"/>
          <w:b/>
          <w:bCs/>
          <w:i/>
          <w:sz w:val="24"/>
          <w:szCs w:val="24"/>
          <w:lang w:val="en-US" w:eastAsia="zh-CN"/>
        </w:rPr>
        <w:t xml:space="preserve">1. </w:t>
      </w:r>
      <w:r>
        <w:rPr>
          <w:rFonts w:ascii="Arial" w:hAnsi="Arial" w:cs="Arial"/>
          <w:b/>
          <w:bCs/>
          <w:i/>
          <w:sz w:val="24"/>
          <w:szCs w:val="24"/>
        </w:rPr>
        <w:t>Gene mapping and protein structure analysis</w:t>
      </w:r>
    </w:p>
    <w:p>
      <w:pPr>
        <w:widowControl w:val="0"/>
        <w:spacing w:line="360" w:lineRule="auto"/>
        <w:ind w:firstLine="400" w:firstLineChars="200"/>
        <w:jc w:val="both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hint="eastAsia" w:ascii="Arial" w:hAnsi="Arial" w:cs="Arial"/>
          <w:i/>
          <w:iCs/>
          <w:sz w:val="20"/>
          <w:szCs w:val="20"/>
        </w:rPr>
        <w:t xml:space="preserve">TWF1 </w:t>
      </w:r>
      <w:r>
        <w:rPr>
          <w:rFonts w:ascii="Arial" w:hAnsi="Arial" w:cs="Arial"/>
          <w:sz w:val="20"/>
          <w:szCs w:val="20"/>
        </w:rPr>
        <w:t>genome location information</w:t>
      </w:r>
      <w:r>
        <w:rPr>
          <w:rFonts w:hint="eastAsia" w:ascii="Arial" w:hAnsi="Arial" w:cs="Arial"/>
          <w:sz w:val="20"/>
          <w:szCs w:val="20"/>
        </w:rPr>
        <w:t xml:space="preserve"> was obtained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UCSC human genome browser (GRCh38/hg38) (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"http://genome.ucsc.edu/"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http://genome.ucsc.edu/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  <w:r>
        <w:rPr>
          <w:rFonts w:hint="eastAsia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instrText xml:space="preserve"> ADDIN  ADDIN KYMRREF{DCD9B2CA-5BF8-4E35-B26B-C539F1E8E110}31 </w:instrTex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separate"/>
      </w:r>
      <w:r>
        <w:rPr>
          <w:rFonts w:hint="eastAsia" w:ascii="Times New Roman" w:hAnsi="Arial" w:eastAsia="宋体" w:cs="Arial"/>
          <w:b w:val="0"/>
          <w:i w:val="0"/>
          <w:color w:val="FF0000"/>
          <w:sz w:val="20"/>
          <w:szCs w:val="20"/>
          <w:u w:val="none"/>
          <w:vertAlign w:val="baseline"/>
          <w:lang w:eastAsia="zh-CN"/>
        </w:rPr>
        <w:t>(1)</w: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end"/>
      </w:r>
      <w:r>
        <w:rPr>
          <w:rFonts w:ascii="Arial" w:hAnsi="Arial" w:cs="Arial"/>
          <w:sz w:val="20"/>
          <w:szCs w:val="20"/>
        </w:rPr>
        <w:t>. Conserved functional domain analysis</w:t>
      </w:r>
      <w:r>
        <w:rPr>
          <w:rFonts w:hint="eastAsia"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the phylogenetic tree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hint="eastAsia" w:ascii="Arial" w:hAnsi="Arial" w:cs="Arial"/>
          <w:sz w:val="20"/>
          <w:szCs w:val="20"/>
        </w:rPr>
        <w:t>TWF1</w:t>
      </w:r>
      <w:r>
        <w:rPr>
          <w:rFonts w:ascii="Arial" w:hAnsi="Arial" w:cs="Arial"/>
          <w:sz w:val="20"/>
          <w:szCs w:val="20"/>
        </w:rPr>
        <w:t xml:space="preserve"> in different species</w:t>
      </w:r>
      <w:r>
        <w:rPr>
          <w:rFonts w:hint="eastAsia" w:ascii="Arial" w:hAnsi="Arial" w:cs="Arial"/>
          <w:sz w:val="20"/>
          <w:szCs w:val="20"/>
        </w:rPr>
        <w:t xml:space="preserve"> was conduct in</w:t>
      </w:r>
      <w:r>
        <w:rPr>
          <w:rFonts w:ascii="Arial" w:hAnsi="Arial" w:cs="Arial"/>
          <w:sz w:val="20"/>
          <w:szCs w:val="20"/>
        </w:rPr>
        <w:t xml:space="preserve"> NCBI (National Center for Biotechnology Information)</w:t>
      </w:r>
      <w:r>
        <w:rPr>
          <w:rFonts w:hint="eastAsia" w:ascii="Arial" w:hAnsi="Arial" w:cs="Arial"/>
          <w:sz w:val="20"/>
          <w:szCs w:val="20"/>
        </w:rPr>
        <w:t xml:space="preserve"> (https://www.ncbi.nlm.nih.gov/)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pStyle w:val="7"/>
        <w:keepNext/>
        <w:keepLines/>
        <w:numPr>
          <w:numId w:val="0"/>
        </w:numPr>
        <w:spacing w:before="260" w:after="260" w:line="360" w:lineRule="auto"/>
        <w:ind w:leftChars="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hint="eastAsia" w:ascii="Arial" w:hAnsi="Arial" w:cs="Arial"/>
          <w:b/>
          <w:bCs/>
          <w:i/>
          <w:sz w:val="24"/>
          <w:szCs w:val="24"/>
          <w:lang w:val="en-US" w:eastAsia="zh-CN"/>
        </w:rPr>
        <w:t xml:space="preserve">2. </w:t>
      </w:r>
      <w:r>
        <w:rPr>
          <w:rFonts w:ascii="Arial" w:hAnsi="Arial" w:cs="Arial"/>
          <w:b/>
          <w:bCs/>
          <w:i/>
          <w:sz w:val="24"/>
          <w:szCs w:val="24"/>
        </w:rPr>
        <w:t>Gene expression analysis of HPA</w:t>
      </w:r>
    </w:p>
    <w:p>
      <w:pPr>
        <w:spacing w:line="360" w:lineRule="auto"/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expression level of the </w:t>
      </w:r>
      <w:r>
        <w:rPr>
          <w:rFonts w:hint="eastAsia" w:ascii="Arial" w:hAnsi="Arial" w:cs="Arial"/>
          <w:i/>
          <w:iCs/>
          <w:sz w:val="20"/>
          <w:szCs w:val="20"/>
        </w:rPr>
        <w:t>TWF1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physiological conditions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different cell- and tissue types</w:t>
      </w:r>
      <w:r>
        <w:rPr>
          <w:rFonts w:hint="eastAsia" w:ascii="Arial" w:hAnsi="Arial" w:cs="Arial"/>
          <w:sz w:val="20"/>
          <w:szCs w:val="20"/>
        </w:rPr>
        <w:t xml:space="preserve"> was analyzed </w:t>
      </w:r>
      <w:r>
        <w:rPr>
          <w:rFonts w:ascii="Arial" w:hAnsi="Arial" w:cs="Arial"/>
          <w:sz w:val="20"/>
          <w:szCs w:val="20"/>
        </w:rPr>
        <w:t>using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HPA (Human Protein Atlas) database (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"https://www.proteinatlas.org/humanproteome/pathology"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https://www.proteinatlas.org/humanproteome/pathology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). “</w:t>
      </w:r>
      <w:r>
        <w:rPr>
          <w:rFonts w:hint="eastAsia" w:ascii="Arial" w:hAnsi="Arial" w:cs="Arial"/>
          <w:sz w:val="20"/>
          <w:szCs w:val="20"/>
        </w:rPr>
        <w:t>Low specificity</w:t>
      </w:r>
      <w:r>
        <w:rPr>
          <w:rFonts w:ascii="Arial" w:hAnsi="Arial" w:cs="Arial"/>
          <w:sz w:val="20"/>
          <w:szCs w:val="20"/>
        </w:rPr>
        <w:t>”</w:t>
      </w:r>
      <w:r>
        <w:rPr>
          <w:rFonts w:hint="eastAsia" w:ascii="Arial" w:hAnsi="Arial" w:cs="Arial"/>
          <w:sz w:val="20"/>
          <w:szCs w:val="20"/>
        </w:rPr>
        <w:t xml:space="preserve"> was defined by </w:t>
      </w:r>
      <w:r>
        <w:rPr>
          <w:rFonts w:ascii="Arial" w:hAnsi="Arial" w:cs="Arial"/>
          <w:sz w:val="20"/>
          <w:szCs w:val="20"/>
        </w:rPr>
        <w:t>“</w:t>
      </w:r>
      <w:r>
        <w:rPr>
          <w:rFonts w:hint="eastAsia" w:ascii="Arial" w:hAnsi="Arial" w:cs="Arial"/>
          <w:sz w:val="20"/>
          <w:szCs w:val="20"/>
        </w:rPr>
        <w:t>NX (Normalized expression) ≥1 in at least one tissue/region/cell type but not elevated in any tissue/region/cell type</w:t>
      </w:r>
      <w:r>
        <w:rPr>
          <w:rFonts w:ascii="Arial" w:hAnsi="Arial" w:cs="Arial"/>
          <w:sz w:val="20"/>
          <w:szCs w:val="20"/>
        </w:rPr>
        <w:t>”</w:t>
      </w:r>
      <w:r>
        <w:rPr>
          <w:rFonts w:hint="eastAsia"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detailed information can be found </w:t>
      </w:r>
      <w:r>
        <w:rPr>
          <w:rFonts w:hint="eastAsia" w:ascii="Arial" w:hAnsi="Arial" w:cs="Arial"/>
          <w:sz w:val="20"/>
          <w:szCs w:val="20"/>
        </w:rPr>
        <w:t xml:space="preserve">in </w:t>
      </w:r>
      <w:r>
        <w:fldChar w:fldCharType="begin"/>
      </w:r>
      <w:r>
        <w:instrText xml:space="preserve"> HYPERLINK "https://www.proteinatlas.org/ENSG00000197157-SND1"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https://www.proteinatlas.org/ENSG00000197157-</w:t>
      </w:r>
      <w:r>
        <w:rPr>
          <w:rFonts w:hint="eastAsia" w:ascii="Arial" w:hAnsi="Arial" w:cs="Arial"/>
          <w:sz w:val="20"/>
          <w:szCs w:val="20"/>
        </w:rPr>
        <w:t>TWF1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>.</w:t>
      </w:r>
    </w:p>
    <w:p>
      <w:pPr>
        <w:pStyle w:val="7"/>
        <w:keepNext/>
        <w:keepLines/>
        <w:numPr>
          <w:ilvl w:val="0"/>
          <w:numId w:val="1"/>
        </w:numPr>
        <w:spacing w:before="260" w:after="260" w:line="360" w:lineRule="auto"/>
        <w:ind w:left="66" w:leftChars="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Survival prognosis analysis of Kaplan-Meier plotter</w:t>
      </w:r>
    </w:p>
    <w:p>
      <w:pPr>
        <w:spacing w:line="360" w:lineRule="auto"/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Kaplan-Meier plotter (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"http://kmplot.com/analysis/"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http://kmplot.com/analysis/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hint="eastAsia"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used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pool the different GEO datasets for a series of analyses of OS, DMFS (distant metastasis-free survival), RFS (relapse-free survival), PPS (</w:t>
      </w:r>
      <w:r>
        <w:rPr>
          <w:rFonts w:ascii="Arial" w:hAnsi="Arial" w:cs="Arial"/>
          <w:sz w:val="20"/>
          <w:szCs w:val="20"/>
          <w:shd w:val="clear" w:color="auto" w:fill="FFFFFF"/>
        </w:rPr>
        <w:t>post-progression survival</w:t>
      </w:r>
      <w:r>
        <w:rPr>
          <w:rFonts w:ascii="Arial" w:hAnsi="Arial" w:cs="Arial"/>
          <w:sz w:val="20"/>
          <w:szCs w:val="20"/>
        </w:rPr>
        <w:t>), FP (first progression), DSS (disease-specific survival), and PFS (progress-free survival). The “autoselect best cutoff”parameter was used</w:t>
      </w:r>
      <w:r>
        <w:rPr>
          <w:rFonts w:hint="eastAsia" w:ascii="Arial" w:hAnsi="Arial" w:cs="Arial"/>
          <w:sz w:val="20"/>
          <w:szCs w:val="20"/>
        </w:rPr>
        <w:t xml:space="preserve"> to distinguish between high and low expression groups</w:t>
      </w:r>
      <w:r>
        <w:rPr>
          <w:rFonts w:ascii="Arial" w:hAnsi="Arial" w:cs="Arial"/>
          <w:sz w:val="20"/>
          <w:szCs w:val="20"/>
        </w:rPr>
        <w:t xml:space="preserve">. The hazard ratio (HR), 95% confidence intervals and log-rank </w:t>
      </w:r>
      <w:r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-value were computed</w:t>
      </w:r>
      <w:r>
        <w:rPr>
          <w:rFonts w:hint="eastAsia"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meta-analysis </w:t>
      </w:r>
      <w:r>
        <w:rPr>
          <w:rFonts w:hint="eastAsia" w:ascii="Arial" w:hAnsi="Arial" w:cs="Arial"/>
          <w:sz w:val="20"/>
          <w:szCs w:val="20"/>
        </w:rPr>
        <w:t>was conduct</w:t>
      </w:r>
      <w:r>
        <w:rPr>
          <w:rFonts w:ascii="Arial" w:hAnsi="Arial" w:cs="Arial"/>
          <w:sz w:val="20"/>
          <w:szCs w:val="20"/>
        </w:rPr>
        <w:t>ed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pool the above survival data of </w:t>
      </w:r>
      <w:r>
        <w:rPr>
          <w:rFonts w:hint="eastAsia" w:ascii="Arial" w:hAnsi="Arial" w:cs="Arial"/>
          <w:sz w:val="20"/>
          <w:szCs w:val="20"/>
        </w:rPr>
        <w:t>TWF1 using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>Revman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hint="eastAsia"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software.</w:t>
      </w:r>
    </w:p>
    <w:p>
      <w:pPr>
        <w:pStyle w:val="7"/>
        <w:keepNext/>
        <w:keepLines/>
        <w:numPr>
          <w:ilvl w:val="0"/>
          <w:numId w:val="1"/>
        </w:numPr>
        <w:spacing w:before="260" w:after="260" w:line="360" w:lineRule="auto"/>
        <w:ind w:left="66" w:leftChars="0" w:firstLine="0" w:firstLineChars="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Correlation of </w:t>
      </w:r>
      <w:r>
        <w:rPr>
          <w:rFonts w:hint="eastAsia" w:ascii="Arial" w:hAnsi="Arial" w:cs="Arial"/>
          <w:b/>
          <w:bCs/>
          <w:i/>
          <w:sz w:val="24"/>
          <w:szCs w:val="24"/>
          <w:lang w:eastAsia="zh-CN"/>
        </w:rPr>
        <w:t>TWF1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and TMB/MSI</w:t>
      </w:r>
    </w:p>
    <w:p>
      <w:pPr>
        <w:widowControl w:val="0"/>
        <w:spacing w:line="360" w:lineRule="auto"/>
        <w:ind w:firstLine="300" w:firstLineChars="150"/>
        <w:jc w:val="both"/>
        <w:rPr>
          <w:rStyle w:val="5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>
        <w:rPr>
          <w:rFonts w:hint="eastAsia"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web of “http://sangerbox.com/Tool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”</w:t>
      </w:r>
      <w:r>
        <w:rPr>
          <w:rFonts w:hint="eastAsia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begin"/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instrText xml:space="preserve"> ADDIN  ADDIN KYMRREF{DCD9B2CA-5BF8-4E35-B26B-C539F1E8E110}32 </w:instrTex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separate"/>
      </w:r>
      <w:r>
        <w:rPr>
          <w:rFonts w:hint="eastAsia" w:ascii="Times New Roman" w:hAnsi="Arial" w:eastAsia="宋体" w:cs="Arial"/>
          <w:b w:val="0"/>
          <w:i w:val="0"/>
          <w:color w:val="FF0000"/>
          <w:sz w:val="20"/>
          <w:szCs w:val="20"/>
          <w:u w:val="none"/>
          <w:vertAlign w:val="baseline"/>
          <w:lang w:eastAsia="zh-CN"/>
        </w:rPr>
        <w:t>(2)</w:t>
      </w:r>
      <w:r>
        <w:rPr>
          <w:rFonts w:hint="default" w:ascii="Arial" w:hAnsi="Arial" w:cs="Arial"/>
          <w:b w:val="0"/>
          <w:i w:val="0"/>
          <w:sz w:val="20"/>
          <w:szCs w:val="20"/>
          <w:u w:val="non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 xml:space="preserve">was used </w:t>
      </w:r>
      <w:r>
        <w:rPr>
          <w:rFonts w:ascii="Arial" w:hAnsi="Arial" w:cs="Arial"/>
          <w:sz w:val="20"/>
          <w:szCs w:val="20"/>
        </w:rPr>
        <w:t xml:space="preserve">to analyze the potential correlation between </w:t>
      </w:r>
      <w:r>
        <w:rPr>
          <w:rFonts w:hint="eastAsia" w:ascii="Arial" w:hAnsi="Arial" w:cs="Arial"/>
          <w:i/>
          <w:iCs/>
          <w:sz w:val="20"/>
          <w:szCs w:val="20"/>
        </w:rPr>
        <w:t>TWF1</w:t>
      </w:r>
      <w:r>
        <w:rPr>
          <w:rFonts w:ascii="Arial" w:hAnsi="Arial" w:cs="Arial"/>
          <w:sz w:val="20"/>
          <w:szCs w:val="20"/>
        </w:rPr>
        <w:t xml:space="preserve"> expression and TMB </w:t>
      </w:r>
      <w:bookmarkStart w:id="2" w:name="_Hlk42185393"/>
      <w:r>
        <w:rPr>
          <w:rFonts w:ascii="Arial" w:hAnsi="Arial" w:cs="Arial"/>
          <w:sz w:val="20"/>
          <w:szCs w:val="20"/>
        </w:rPr>
        <w:t>(tumor mutational burden) or MSI (microsatellite instability)</w:t>
      </w:r>
      <w:bookmarkEnd w:id="2"/>
      <w:r>
        <w:rPr>
          <w:rFonts w:ascii="Arial" w:hAnsi="Arial" w:cs="Arial"/>
          <w:sz w:val="20"/>
          <w:szCs w:val="20"/>
        </w:rPr>
        <w:t xml:space="preserve"> in TCGA tumors. </w:t>
      </w:r>
      <w:r>
        <w:rPr>
          <w:rStyle w:val="5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Spearman’s rank correlation test was performed, and the </w:t>
      </w:r>
      <w:r>
        <w:rPr>
          <w:rStyle w:val="5"/>
          <w:rFonts w:ascii="Arial" w:hAnsi="Arial" w:cs="Arial"/>
          <w:sz w:val="20"/>
          <w:szCs w:val="20"/>
          <w:shd w:val="clear" w:color="auto" w:fill="FFFFFF"/>
        </w:rPr>
        <w:t>P-</w:t>
      </w:r>
      <w:r>
        <w:rPr>
          <w:rStyle w:val="5"/>
          <w:rFonts w:ascii="Arial" w:hAnsi="Arial" w:cs="Arial"/>
          <w:i w:val="0"/>
          <w:sz w:val="20"/>
          <w:szCs w:val="20"/>
          <w:shd w:val="clear" w:color="auto" w:fill="FFFFFF"/>
        </w:rPr>
        <w:t>value</w:t>
      </w:r>
      <w:r>
        <w:rPr>
          <w:rStyle w:val="5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 w:eastAsia="微软雅黑" w:cs="Arial"/>
          <w:sz w:val="20"/>
          <w:szCs w:val="20"/>
          <w:shd w:val="clear" w:color="auto" w:fill="FFFFFF"/>
        </w:rPr>
        <w:t xml:space="preserve">partial correlation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eastAsia="微软雅黑" w:cs="Arial"/>
          <w:sz w:val="20"/>
          <w:szCs w:val="20"/>
          <w:shd w:val="clear" w:color="auto" w:fill="FFFFFF"/>
        </w:rPr>
        <w:t>cor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Style w:val="5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value were obtained.</w:t>
      </w:r>
    </w:p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i w:val="0"/>
          <w:sz w:val="32"/>
          <w:u w:val="none"/>
          <w:lang w:eastAsia="zh-CN"/>
        </w:rPr>
      </w:pPr>
      <w:r>
        <w:br w:type="page"/>
      </w:r>
      <w:r>
        <w:fldChar w:fldCharType="begin"/>
      </w:r>
      <w:r>
        <w:instrText xml:space="preserve"> ADDIN KYMRDOC </w:instrText>
      </w:r>
      <w:r>
        <w:fldChar w:fldCharType="separate"/>
      </w:r>
      <w:r>
        <w:rPr>
          <w:rFonts w:hint="default" w:ascii="Times New Roman" w:hAnsi="Times New Roman" w:cs="Times New Roman"/>
          <w:b/>
          <w:i w:val="0"/>
          <w:sz w:val="32"/>
          <w:u w:val="none"/>
          <w:lang w:eastAsia="zh-CN"/>
        </w:rPr>
        <w:t>REFERENCES</w:t>
      </w:r>
    </w:p>
    <w:p>
      <w:pPr>
        <w:spacing w:line="240" w:lineRule="auto"/>
        <w:ind w:left="630" w:leftChars="0" w:hanging="630" w:hangingChars="300"/>
        <w:jc w:val="both"/>
      </w:pPr>
    </w:p>
    <w:p>
      <w:pPr>
        <w:spacing w:line="240" w:lineRule="auto"/>
        <w:ind w:left="540" w:leftChars="0" w:hanging="540" w:hangingChars="300"/>
        <w:jc w:val="both"/>
        <w:rPr>
          <w:rFonts w:hint="eastAsia"/>
          <w:b w:val="0"/>
          <w:i w:val="0"/>
          <w:sz w:val="18"/>
          <w:u w:val="none"/>
          <w:lang w:eastAsia="zh-CN"/>
        </w:rPr>
      </w:pPr>
      <w:r>
        <w:rPr>
          <w:rFonts w:hint="eastAsia"/>
          <w:b w:val="0"/>
          <w:i w:val="0"/>
          <w:sz w:val="18"/>
          <w:u w:val="none"/>
          <w:lang w:eastAsia="zh-CN"/>
        </w:rPr>
        <w:t>1.</w:t>
      </w:r>
      <w:r>
        <w:rPr>
          <w:rFonts w:hint="eastAsia"/>
          <w:b w:val="0"/>
          <w:i w:val="0"/>
          <w:sz w:val="18"/>
          <w:u w:val="none"/>
          <w:lang w:eastAsia="zh-CN"/>
        </w:rPr>
        <w:tab/>
      </w:r>
      <w:r>
        <w:rPr>
          <w:rFonts w:hint="eastAsia"/>
          <w:b w:val="0"/>
          <w:i w:val="0"/>
          <w:sz w:val="18"/>
          <w:u w:val="none"/>
          <w:lang w:eastAsia="zh-CN"/>
        </w:rPr>
        <w:t xml:space="preserve">Kent WJ, Sugnet CW, Furey TS, Roskin KM, Pringle TH, Zahler AM, et al. The human genome browser at UCSC. </w:t>
      </w:r>
      <w:r>
        <w:rPr>
          <w:rFonts w:hint="eastAsia"/>
          <w:b w:val="0"/>
          <w:i/>
          <w:sz w:val="18"/>
          <w:u w:val="none"/>
          <w:lang w:eastAsia="zh-CN"/>
        </w:rPr>
        <w:t>Genome Res</w:t>
      </w:r>
      <w:r>
        <w:rPr>
          <w:rFonts w:hint="eastAsia"/>
          <w:b w:val="0"/>
          <w:i w:val="0"/>
          <w:sz w:val="18"/>
          <w:u w:val="none"/>
          <w:lang w:eastAsia="zh-CN"/>
        </w:rPr>
        <w:t>. (2002) 12:996-1006. doi: 10.1101/gr.229102</w:t>
      </w:r>
    </w:p>
    <w:p>
      <w:pPr>
        <w:spacing w:line="240" w:lineRule="auto"/>
        <w:ind w:left="540" w:leftChars="0" w:hanging="540" w:hangingChars="300"/>
        <w:jc w:val="both"/>
        <w:rPr>
          <w:rFonts w:hint="eastAsia"/>
          <w:b w:val="0"/>
          <w:i w:val="0"/>
          <w:sz w:val="18"/>
          <w:u w:val="none"/>
          <w:lang w:eastAsia="zh-CN"/>
        </w:rPr>
      </w:pPr>
      <w:r>
        <w:rPr>
          <w:rFonts w:hint="eastAsia"/>
          <w:b w:val="0"/>
          <w:i w:val="0"/>
          <w:sz w:val="18"/>
          <w:u w:val="none"/>
          <w:lang w:eastAsia="zh-CN"/>
        </w:rPr>
        <w:t>2.</w:t>
      </w:r>
      <w:r>
        <w:rPr>
          <w:rFonts w:hint="eastAsia"/>
          <w:b w:val="0"/>
          <w:i w:val="0"/>
          <w:sz w:val="18"/>
          <w:u w:val="none"/>
          <w:lang w:eastAsia="zh-CN"/>
        </w:rPr>
        <w:tab/>
      </w:r>
      <w:r>
        <w:rPr>
          <w:rFonts w:hint="eastAsia"/>
          <w:b w:val="0"/>
          <w:i w:val="0"/>
          <w:sz w:val="18"/>
          <w:u w:val="none"/>
          <w:lang w:eastAsia="zh-CN"/>
        </w:rPr>
        <w:t xml:space="preserve">Bonneville R, Krook MA, Kautto EA, Miya J, Wing MR, Chen HZ, et al. Landscape of Microsatellite Instability Across 39 Cancer Types. </w:t>
      </w:r>
      <w:r>
        <w:rPr>
          <w:rFonts w:hint="eastAsia"/>
          <w:b w:val="0"/>
          <w:i/>
          <w:sz w:val="18"/>
          <w:u w:val="none"/>
          <w:lang w:eastAsia="zh-CN"/>
        </w:rPr>
        <w:t>JCO Precis Oncol</w:t>
      </w:r>
      <w:r>
        <w:rPr>
          <w:rFonts w:hint="eastAsia"/>
          <w:b w:val="0"/>
          <w:i w:val="0"/>
          <w:sz w:val="18"/>
          <w:u w:val="none"/>
          <w:lang w:eastAsia="zh-CN"/>
        </w:rPr>
        <w:t>. (2017) 2017. doi: 10.1200/PO.17.00073</w:t>
      </w:r>
    </w:p>
    <w:p>
      <w:pPr>
        <w:spacing w:line="240" w:lineRule="auto"/>
        <w:ind w:left="630" w:leftChars="0" w:hanging="630" w:hangingChars="300"/>
        <w:jc w:val="both"/>
      </w:pPr>
      <w: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67DB2"/>
    <w:multiLevelType w:val="singleLevel"/>
    <w:tmpl w:val="12F67DB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DCD9B2CA-5BF8-4E35-B26B-C539F1E8E110}31" w:val="&lt;KyMRNote dbid=&quot;{DCD9B2CA-5BF8-4E35-B26B-C539F1E8E110}&quot; recid=&quot;31&quot;&gt;&lt;Data&gt;&lt;Field id=&quot;AccessNum&quot;&gt;12045153&lt;/Field&gt;&lt;Field id=&quot;Author&quot;&gt;Kent WJ;Sugnet CW;Furey TS;Roskin KM;Pringle TH;Zahler AM;Haussler D&lt;/Field&gt;&lt;Field id=&quot;AuthorTrans&quot;&gt;&lt;/Field&gt;&lt;Field id=&quot;DOI&quot;&gt;10.1101/gr.229102&lt;/Field&gt;&lt;Field id=&quot;Editor&quot;&gt;&lt;/Field&gt;&lt;Field id=&quot;FmtTitle&quot;&gt;&lt;/Field&gt;&lt;Field id=&quot;Issue&quot;&gt;6&lt;/Field&gt;&lt;Field id=&quot;LIID&quot;&gt;31&lt;/Field&gt;&lt;Field id=&quot;Magazine&quot;&gt;Genome research&lt;/Field&gt;&lt;Field id=&quot;MagazineAB&quot;&gt;Genome Res&lt;/Field&gt;&lt;Field id=&quot;MagazineTrans&quot;&gt;&lt;/Field&gt;&lt;Field id=&quot;PageNum&quot;&gt;996-1006&lt;/Field&gt;&lt;Field id=&quot;PubDate&quot;&gt;Jun&lt;/Field&gt;&lt;Field id=&quot;PubPlace&quot;&gt;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 The human genome browser at UCSC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Kent,WJ;Sugnet,CW;Furey,TS;&lt;/Field&gt;&lt;/Data&gt;&lt;Ref&gt;&lt;Display&gt;&lt;Text StringText=&quot;「RefIndex」&quot; StringTextOri=&quot;「RefIndex」&quot; SuperScript=&quot;true&quot;/&gt;&lt;/Display&gt;&lt;/Ref&gt;&lt;Doc&gt;&lt;Display&gt;&lt;Text StringText=&quot;Kent WJ, Sugnet CW, Furey TS, et al.&quot; StringGroup=&quot;Author&quot;/&gt;_x000d__x000a_   &lt;Text StringText=&quot; &quot; StringGroup=&quot;Author&quot;/&gt;_x000d__x000a_   &lt;Text StringText=&quot;The human genome browser at UCSC&quot; StringGroup=&quot;Title&quot;/&gt;_x000d__x000a_   &lt;Text StringText=&quot;. &quot; StringGroup=&quot;Title&quot;/&gt;_x000d__x000a_   &lt;Text StringText=&quot;Genome Res&quot; StringGroup=&quot;Magazine&quot;/&gt;_x000d__x000a_   &lt;Text StringText=&quot;. &quot; StringGroup=&quot;Magazine&quot;/&gt;_x000d__x000a_   &lt;Text StringText=&quot;2002&quot; StringGroup=&quot;PubYear&quot;/&gt;_x000d__x000a_   &lt;Text StringText=&quot;. &quot; StringGroup=&quot;PubYear&quot;/&gt;_x000d__x000a_   &lt;Text StringText=&quot;12&quot; StringGroup=&quot;Vol&quot;/&gt;_x000d__x000a_   &lt;Text StringText=&quot;(&quot; StringGroup=&quot;Issue&quot;/&gt;_x000d__x000a_   &lt;Text StringText=&quot;6&quot; StringGroup=&quot;Issue&quot;/&gt;_x000d__x000a_   &lt;Text StringText=&quot;)&quot; StringGroup=&quot;Issue&quot;/&gt;_x000d__x000a_   &lt;Text StringText=&quot;: &quot; StringGroup=&quot;PageNum&quot;/&gt;_x000d__x000a_   &lt;Text StringText=&quot;996-1006&quot; StringGroup=&quot;PageNum&quot;/&gt;_x000d__x000a_   &lt;Text StringText=&quot;.&quot; StringGroup=&quot;none&quot;/&gt;_x000d__x000a_  &lt;/Display&gt;&lt;/Doc&gt;&lt;/KyMRNote&gt;"/>
    <w:docVar w:name="KY.MR.DATA{DCD9B2CA-5BF8-4E35-B26B-C539F1E8E110}32" w:val="&lt;KyMRNote dbid=&quot;{DCD9B2CA-5BF8-4E35-B26B-C539F1E8E110}&quot; recid=&quot;32&quot;&gt;&lt;Data&gt;&lt;Field id=&quot;AccessNum&quot;&gt;29850653&lt;/Field&gt;&lt;Field id=&quot;Author&quot;&gt;Bonneville R;Krook MA;Kautto EA;Miya J;Wing MR;Chen HZ;Reeser JW;Yu L;Roychowdhury S&lt;/Field&gt;&lt;Field id=&quot;AuthorTrans&quot;&gt;&lt;/Field&gt;&lt;Field id=&quot;DOI&quot;&gt;10.1200/PO.17.00073&lt;/Field&gt;&lt;Field id=&quot;Editor&quot;&gt;&lt;/Field&gt;&lt;Field id=&quot;FmtTitle&quot;&gt;&lt;/Field&gt;&lt;Field id=&quot;Issue&quot;&gt;&lt;/Field&gt;&lt;Field id=&quot;LIID&quot;&gt;32&lt;/Field&gt;&lt;Field id=&quot;Magazine&quot;&gt;JCO precision oncology&lt;/Field&gt;&lt;Field id=&quot;MagazineAB&quot;&gt;JCO Precis Oncol&lt;/Field&gt;&lt;Field id=&quot;MagazineTrans&quot;&gt;&lt;/Field&gt;&lt;Field id=&quot;PageNum&quot;&gt;&lt;/Field&gt;&lt;Field id=&quot;PubDate&quot;&gt;&lt;/Field&gt;&lt;Field id=&quot;PubPlace&quot;&gt;United States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Landscape of Microsatellite Instability Across 39 Cancer Types.&lt;/Field&gt;&lt;Field id=&quot;Translator&quot;&gt;&lt;/Field&gt;&lt;Field id=&quot;Type&quot;&gt;{041D4F77-279E-4405-0002-4388361B9CFF}&lt;/Field&gt;&lt;Field id=&quot;Version&quot;&gt;&lt;/Field&gt;&lt;Field id=&quot;Vol&quot;&gt;2017&lt;/Field&gt;&lt;Field id=&quot;Author2&quot;&gt;Bonneville,R;Krook,MA;Kautto,EA;&lt;/Field&gt;&lt;/Data&gt;&lt;Ref&gt;&lt;Display&gt;&lt;Text StringText=&quot;「RefIndex」&quot; StringTextOri=&quot;「RefIndex」&quot; SuperScript=&quot;true&quot;/&gt;&lt;/Display&gt;&lt;/Ref&gt;&lt;Doc&gt;&lt;Display&gt;&lt;Text StringText=&quot;Bonneville R, Krook MA, Kautto EA, et al.&quot; StringGroup=&quot;Author&quot;/&gt;_x000d__x000a_   &lt;Text StringText=&quot; &quot; StringGroup=&quot;Author&quot;/&gt;_x000d__x000a_   &lt;Text StringText=&quot;Landscape of Microsatellite Instability Across 39 Cancer Types&quot; StringGroup=&quot;Title&quot;/&gt;_x000d__x000a_   &lt;Text StringText=&quot;. &quot; StringGroup=&quot;Title&quot;/&gt;_x000d__x000a_   &lt;Text StringText=&quot;JCO Precis Oncol&quot; StringGroup=&quot;Magazine&quot;/&gt;_x000d__x000a_   &lt;Text StringText=&quot;. &quot; StringGroup=&quot;Magazine&quot;/&gt;_x000d__x000a_   &lt;Text StringText=&quot;2017&quot; StringGroup=&quot;PubYear&quot;/&gt;_x000d__x000a_   &lt;Text StringText=&quot;. &quot; StringGroup=&quot;PubYear&quot;/&gt;_x000d__x000a_   &lt;Text StringText=&quot;2017&quot; StringGroup=&quot;Vol&quot;/&gt;_x000d__x000a_   &lt;Text StringText=&quot;.&quot; StringGroup=&quot;none&quot;/&gt;_x000d__x000a_  &lt;/Display&gt;&lt;/Doc&gt;&lt;/KyMRNote&gt;"/>
    <w:docVar w:name="KY_MEDREF_CITTEMPLATE" w:val="{4981EE8E-807B-44E8-AF9F-28653A12F718}"/>
    <w:docVar w:name="KY_MEDREF_DOCUID" w:val="{675C1492-0D7D-4E84-B8BE-0C1085263C18}"/>
    <w:docVar w:name="KY_MEDREF_VERSION" w:val="3"/>
  </w:docVars>
  <w:rsids>
    <w:rsidRoot w:val="00000000"/>
    <w:rsid w:val="0A7502E8"/>
    <w:rsid w:val="13C425BC"/>
    <w:rsid w:val="1B1E570E"/>
    <w:rsid w:val="28B06C87"/>
    <w:rsid w:val="324832AE"/>
    <w:rsid w:val="422B72BC"/>
    <w:rsid w:val="4A8E0DEA"/>
    <w:rsid w:val="4BFA4425"/>
    <w:rsid w:val="4CBE278C"/>
    <w:rsid w:val="54AD3EEB"/>
    <w:rsid w:val="57A3737C"/>
    <w:rsid w:val="78962D95"/>
    <w:rsid w:val="79B30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unhideWhenUsed/>
    <w:qFormat/>
    <w:uiPriority w:val="99"/>
    <w:rPr>
      <w:color w:val="800080"/>
      <w:u w:val="single"/>
    </w:r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8">
    <w:name w:val="fontstyle01"/>
    <w:uiPriority w:val="0"/>
    <w:rPr>
      <w:rFonts w:hint="default" w:ascii="TimesNewRoman" w:hAnsi="TimesNew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2021-04-07T08:07:00Z</dcterms:created>
  <dc:creator>Administrator</dc:creator>
  <cp:lastModifiedBy>霍庚崴</cp:lastModifiedBy>
  <dcterms:modified xsi:type="dcterms:W3CDTF">2021-05-17T16:08:20Z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BFC963E7D45E48259B3BDCECABD4D8A7</vt:lpwstr>
  </property>
</Properties>
</file>