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BD5A427" w14:textId="049A06E1" w:rsidR="00EA3D3C" w:rsidRPr="00994A3D" w:rsidRDefault="00184A37" w:rsidP="0001436A">
      <w:pPr>
        <w:pStyle w:val="Heading1"/>
      </w:pPr>
      <w:r>
        <w:t>Supplementary Figures</w:t>
      </w:r>
    </w:p>
    <w:p w14:paraId="6754D378" w14:textId="7AD05A56" w:rsidR="00994A3D" w:rsidRPr="001549D3" w:rsidRDefault="00184A37" w:rsidP="00994A3D">
      <w:pPr>
        <w:keepNext/>
        <w:rPr>
          <w:rFonts w:cs="Times New Roman"/>
          <w:szCs w:val="24"/>
        </w:rPr>
      </w:pPr>
      <w:r>
        <w:rPr>
          <w:noProof/>
        </w:rPr>
        <w:drawing>
          <wp:inline distT="0" distB="0" distL="0" distR="0" wp14:anchorId="4F6A676F" wp14:editId="5B7C196A">
            <wp:extent cx="6208395" cy="290131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2901315"/>
                    </a:xfrm>
                    <a:prstGeom prst="rect">
                      <a:avLst/>
                    </a:prstGeom>
                    <a:noFill/>
                    <a:ln>
                      <a:noFill/>
                    </a:ln>
                  </pic:spPr>
                </pic:pic>
              </a:graphicData>
            </a:graphic>
          </wp:inline>
        </w:drawing>
      </w:r>
    </w:p>
    <w:p w14:paraId="1924D901" w14:textId="08212580" w:rsidR="00184A37" w:rsidRPr="000A7FE9" w:rsidRDefault="00184A37" w:rsidP="00184A37">
      <w:r w:rsidRPr="000A7FE9">
        <w:rPr>
          <w:rFonts w:cs="Times New Roman"/>
          <w:b/>
          <w:bCs/>
        </w:rPr>
        <w:t>Supplementary Figure 1</w:t>
      </w:r>
      <w:r>
        <w:rPr>
          <w:rFonts w:cs="Times New Roman"/>
          <w:b/>
          <w:bCs/>
        </w:rPr>
        <w:t xml:space="preserve">. </w:t>
      </w:r>
      <w:r w:rsidRPr="000A7FE9">
        <w:rPr>
          <w:rFonts w:cs="Times New Roman"/>
          <w:b/>
          <w:bCs/>
        </w:rPr>
        <w:t>Principal component analysis (PCA) of all samples and its technical replicates. (A)</w:t>
      </w:r>
      <w:r w:rsidRPr="000A7FE9">
        <w:rPr>
          <w:rFonts w:cs="Times New Roman"/>
        </w:rPr>
        <w:t xml:space="preserve"> </w:t>
      </w:r>
      <w:r>
        <w:rPr>
          <w:rFonts w:cs="Times New Roman"/>
        </w:rPr>
        <w:t>P</w:t>
      </w:r>
      <w:r w:rsidRPr="000A7FE9">
        <w:rPr>
          <w:rFonts w:cs="Times New Roman"/>
        </w:rPr>
        <w:t>CA for 2-week swim and sedentary left atrial appendage (LAA) and left ventricular (LV) samples for wild-type (WT) and tumor necrosis factor (TNF) knockout (KO) mice</w:t>
      </w:r>
      <w:r>
        <w:rPr>
          <w:rFonts w:cs="Times New Roman"/>
        </w:rPr>
        <w:t xml:space="preserve">. </w:t>
      </w:r>
      <w:r>
        <w:rPr>
          <w:rFonts w:cs="Times New Roman"/>
          <w:b/>
          <w:bCs/>
        </w:rPr>
        <w:t xml:space="preserve">(B) </w:t>
      </w:r>
      <w:r>
        <w:rPr>
          <w:rFonts w:cs="Times New Roman"/>
        </w:rPr>
        <w:t xml:space="preserve">PCA for 2-day tissue samples. PCA plots show clear clustering of separate sample groups using the greatest variation (principal component 1) that lies between different sample groups. For both 2-week and </w:t>
      </w:r>
      <w:r w:rsidR="008C2A2E">
        <w:rPr>
          <w:rFonts w:cs="Times New Roman"/>
        </w:rPr>
        <w:t>2-day</w:t>
      </w:r>
      <w:r>
        <w:rPr>
          <w:rFonts w:cs="Times New Roman"/>
        </w:rPr>
        <w:t xml:space="preserve"> samples, technical replicates (2 replicates per sample) show the least amount of variation, and the greatest amount of variation lies between the LAA and LV samples. </w:t>
      </w:r>
    </w:p>
    <w:p w14:paraId="073C03B9" w14:textId="77777777" w:rsidR="00F430AB" w:rsidRDefault="00F430AB" w:rsidP="00184A37">
      <w:pPr>
        <w:tabs>
          <w:tab w:val="left" w:pos="3348"/>
        </w:tabs>
      </w:pPr>
      <w:r>
        <w:rPr>
          <w:noProof/>
        </w:rPr>
        <w:lastRenderedPageBreak/>
        <w:drawing>
          <wp:inline distT="0" distB="0" distL="0" distR="0" wp14:anchorId="55E2EF41" wp14:editId="72114ACE">
            <wp:extent cx="6208395" cy="4171315"/>
            <wp:effectExtent l="0" t="0" r="190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4171315"/>
                    </a:xfrm>
                    <a:prstGeom prst="rect">
                      <a:avLst/>
                    </a:prstGeom>
                  </pic:spPr>
                </pic:pic>
              </a:graphicData>
            </a:graphic>
          </wp:inline>
        </w:drawing>
      </w:r>
    </w:p>
    <w:p w14:paraId="7011C14C" w14:textId="7BA95CB6" w:rsidR="00F430AB" w:rsidRDefault="00F430AB" w:rsidP="00184A37">
      <w:pPr>
        <w:tabs>
          <w:tab w:val="left" w:pos="3348"/>
        </w:tabs>
      </w:pPr>
      <w:r>
        <w:rPr>
          <w:rFonts w:cs="Times New Roman"/>
          <w:b/>
          <w:bCs/>
          <w:szCs w:val="24"/>
        </w:rPr>
        <w:t xml:space="preserve">Supplementary </w:t>
      </w:r>
      <w:r w:rsidRPr="00F6335A">
        <w:rPr>
          <w:rFonts w:cs="Times New Roman"/>
          <w:b/>
          <w:bCs/>
          <w:szCs w:val="24"/>
        </w:rPr>
        <w:t xml:space="preserve">Figure </w:t>
      </w:r>
      <w:r>
        <w:rPr>
          <w:rFonts w:cs="Times New Roman"/>
          <w:b/>
          <w:bCs/>
          <w:szCs w:val="24"/>
        </w:rPr>
        <w:t>2</w:t>
      </w:r>
      <w:r w:rsidRPr="00F6335A">
        <w:rPr>
          <w:rFonts w:cs="Times New Roman"/>
          <w:b/>
          <w:bCs/>
          <w:szCs w:val="24"/>
        </w:rPr>
        <w:t xml:space="preserve">. Intense 6-week swim exercise-induced atrial transcriptomic remodeling. </w:t>
      </w:r>
      <w:r w:rsidRPr="00F6335A">
        <w:rPr>
          <w:rFonts w:cs="Times New Roman"/>
          <w:szCs w:val="24"/>
        </w:rPr>
        <w:t>Gene set enrichment analysis (GSEA) and enrichment mapping of microarray data revealed clusters of differentially regulated pathways in the left atrial appendage (LAA) between wild-type (WT) 6-week swim and sedentary mice. Blue dots indicated gene set enrichment in 6-week swim mice, while red dots indicated enrichment in sedentary mice. Only gene sets that form clusters are shown for clarity</w:t>
      </w:r>
      <w:r>
        <w:rPr>
          <w:rFonts w:cs="Times New Roman"/>
          <w:szCs w:val="24"/>
        </w:rPr>
        <w:t xml:space="preserve"> (133 out of 199 gene sets)</w:t>
      </w:r>
      <w:r w:rsidRPr="00F6335A">
        <w:rPr>
          <w:rFonts w:cs="Times New Roman"/>
          <w:szCs w:val="24"/>
        </w:rPr>
        <w:t>, with connecting lines indicating gene set overlap. Nominal P-value &lt;0.05, false discovery rate (FDR) &lt;0.20.</w:t>
      </w:r>
    </w:p>
    <w:p w14:paraId="35A5CA6A" w14:textId="025ACA5B" w:rsidR="00184A37" w:rsidRDefault="00184A37" w:rsidP="00184A37">
      <w:pPr>
        <w:tabs>
          <w:tab w:val="left" w:pos="3348"/>
        </w:tabs>
      </w:pPr>
      <w:r>
        <w:rPr>
          <w:noProof/>
        </w:rPr>
        <w:lastRenderedPageBreak/>
        <w:drawing>
          <wp:inline distT="0" distB="0" distL="0" distR="0" wp14:anchorId="68690FE7" wp14:editId="4084072A">
            <wp:extent cx="6208395" cy="5643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5643880"/>
                    </a:xfrm>
                    <a:prstGeom prst="rect">
                      <a:avLst/>
                    </a:prstGeom>
                    <a:noFill/>
                    <a:ln>
                      <a:noFill/>
                    </a:ln>
                  </pic:spPr>
                </pic:pic>
              </a:graphicData>
            </a:graphic>
          </wp:inline>
        </w:drawing>
      </w:r>
    </w:p>
    <w:p w14:paraId="1C7022AC" w14:textId="7C362A6A" w:rsidR="00F430AB" w:rsidRDefault="00184A37" w:rsidP="00184A37">
      <w:pPr>
        <w:tabs>
          <w:tab w:val="left" w:pos="3348"/>
        </w:tabs>
        <w:rPr>
          <w:rFonts w:cs="Times New Roman"/>
          <w:color w:val="00B050"/>
          <w:szCs w:val="24"/>
        </w:rPr>
      </w:pPr>
      <w:r w:rsidRPr="00950F47">
        <w:rPr>
          <w:rFonts w:cs="Times New Roman"/>
          <w:b/>
          <w:bCs/>
        </w:rPr>
        <w:t xml:space="preserve">Supplementary Figure </w:t>
      </w:r>
      <w:r w:rsidR="00F430AB">
        <w:rPr>
          <w:rFonts w:cs="Times New Roman"/>
          <w:b/>
          <w:bCs/>
        </w:rPr>
        <w:t>3</w:t>
      </w:r>
      <w:r w:rsidRPr="00950F47">
        <w:rPr>
          <w:rFonts w:cs="Times New Roman"/>
          <w:b/>
          <w:bCs/>
        </w:rPr>
        <w:t>.</w:t>
      </w:r>
      <w:r>
        <w:rPr>
          <w:rFonts w:cs="Times New Roman"/>
          <w:b/>
          <w:bCs/>
        </w:rPr>
        <w:t xml:space="preserve"> </w:t>
      </w:r>
      <w:r w:rsidRPr="00950F47">
        <w:rPr>
          <w:rFonts w:cs="Times New Roman"/>
          <w:b/>
          <w:bCs/>
        </w:rPr>
        <w:t xml:space="preserve"> </w:t>
      </w:r>
      <w:r>
        <w:rPr>
          <w:rFonts w:cs="Times New Roman"/>
          <w:b/>
          <w:bCs/>
        </w:rPr>
        <w:t>Summary of differentially regulated gene sets related to inflammatory pathways, extracellular matrix remodeling, and cell-cell communication pathways with 6-week swim e</w:t>
      </w:r>
      <w:r w:rsidRPr="008E147B">
        <w:rPr>
          <w:rFonts w:cs="Times New Roman"/>
          <w:b/>
          <w:bCs/>
        </w:rPr>
        <w:t>xercise.</w:t>
      </w:r>
      <w:r w:rsidR="00F430AB" w:rsidRPr="008E147B">
        <w:rPr>
          <w:rFonts w:cs="Times New Roman"/>
          <w:szCs w:val="24"/>
        </w:rPr>
        <w:t xml:space="preserve"> </w:t>
      </w:r>
      <w:r w:rsidR="009C17E7" w:rsidRPr="008E147B">
        <w:rPr>
          <w:rFonts w:cs="Times New Roman"/>
          <w:szCs w:val="24"/>
        </w:rPr>
        <w:t>E</w:t>
      </w:r>
      <w:r w:rsidR="00080C89" w:rsidRPr="008E147B">
        <w:rPr>
          <w:rFonts w:cs="Times New Roman"/>
          <w:szCs w:val="24"/>
        </w:rPr>
        <w:t xml:space="preserve">xercise induces </w:t>
      </w:r>
      <w:r w:rsidR="00F430AB" w:rsidRPr="008E147B">
        <w:rPr>
          <w:rFonts w:cs="Times New Roman"/>
          <w:szCs w:val="24"/>
        </w:rPr>
        <w:t xml:space="preserve">enrichment of </w:t>
      </w:r>
      <w:r w:rsidR="00080C89" w:rsidRPr="008E147B">
        <w:rPr>
          <w:rFonts w:cs="Times New Roman"/>
          <w:szCs w:val="24"/>
        </w:rPr>
        <w:t>inflammation related pathways (</w:t>
      </w:r>
      <w:r w:rsidR="00F430AB" w:rsidRPr="008E147B">
        <w:rPr>
          <w:rFonts w:cs="Times New Roman"/>
          <w:szCs w:val="24"/>
        </w:rPr>
        <w:t>NF-κB</w:t>
      </w:r>
      <w:r w:rsidR="00080C89" w:rsidRPr="008E147B">
        <w:rPr>
          <w:rFonts w:cs="Times New Roman"/>
          <w:szCs w:val="24"/>
        </w:rPr>
        <w:t>,</w:t>
      </w:r>
      <w:r w:rsidR="00F430AB" w:rsidRPr="008E147B">
        <w:rPr>
          <w:rFonts w:cs="Times New Roman"/>
          <w:szCs w:val="24"/>
        </w:rPr>
        <w:t xml:space="preserve"> p38 MAPK, interleukin-1</w:t>
      </w:r>
      <w:r w:rsidR="00080C89" w:rsidRPr="008E147B">
        <w:rPr>
          <w:rFonts w:cs="Times New Roman"/>
          <w:szCs w:val="24"/>
        </w:rPr>
        <w:t>(IL1R)</w:t>
      </w:r>
      <w:r w:rsidR="00F430AB" w:rsidRPr="008E147B">
        <w:rPr>
          <w:rFonts w:cs="Times New Roman"/>
          <w:szCs w:val="24"/>
        </w:rPr>
        <w:t xml:space="preserve"> and toll signaling pathways</w:t>
      </w:r>
      <w:r w:rsidR="00080C89" w:rsidRPr="008E147B">
        <w:rPr>
          <w:rFonts w:cs="Times New Roman"/>
          <w:szCs w:val="24"/>
        </w:rPr>
        <w:t>. Gene sets related to mechanosensitive pathways (i.e. focal adhesion kinases (FAK), integrins, cell-cell communication) and extracellular matrix (ECM) remodeling (i.e. collagen formation, degradation, biosynthesis, assembly, cross-linking and matrisome enzymes) are enriched in the sedentary atria.</w:t>
      </w:r>
    </w:p>
    <w:p w14:paraId="2D00AB1B" w14:textId="77777777" w:rsidR="00F430AB" w:rsidRDefault="00F430AB" w:rsidP="00184A37">
      <w:pPr>
        <w:tabs>
          <w:tab w:val="left" w:pos="3348"/>
        </w:tabs>
        <w:rPr>
          <w:rFonts w:cs="Times New Roman"/>
          <w:color w:val="00B050"/>
          <w:szCs w:val="24"/>
        </w:rPr>
      </w:pPr>
    </w:p>
    <w:p w14:paraId="71A0C672" w14:textId="76CE8A85" w:rsidR="00184A37" w:rsidRDefault="00184A37" w:rsidP="00184A37">
      <w:pPr>
        <w:rPr>
          <w:rFonts w:cs="Times New Roman"/>
          <w:b/>
          <w:bCs/>
        </w:rPr>
      </w:pPr>
      <w:r>
        <w:rPr>
          <w:noProof/>
        </w:rPr>
        <w:lastRenderedPageBreak/>
        <w:drawing>
          <wp:inline distT="0" distB="0" distL="0" distR="0" wp14:anchorId="59CCCE01" wp14:editId="2EB1D1E8">
            <wp:extent cx="5146675" cy="8613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6675" cy="8613140"/>
                    </a:xfrm>
                    <a:prstGeom prst="rect">
                      <a:avLst/>
                    </a:prstGeom>
                    <a:noFill/>
                    <a:ln>
                      <a:noFill/>
                    </a:ln>
                  </pic:spPr>
                </pic:pic>
              </a:graphicData>
            </a:graphic>
          </wp:inline>
        </w:drawing>
      </w:r>
    </w:p>
    <w:p w14:paraId="3FE9E86B" w14:textId="45062862" w:rsidR="00184A37" w:rsidRDefault="00184A37" w:rsidP="00184A37">
      <w:pPr>
        <w:rPr>
          <w:rFonts w:cs="Times New Roman"/>
        </w:rPr>
      </w:pPr>
      <w:r>
        <w:rPr>
          <w:rFonts w:cs="Times New Roman"/>
          <w:b/>
          <w:bCs/>
        </w:rPr>
        <w:lastRenderedPageBreak/>
        <w:t xml:space="preserve">Supplementary Figure </w:t>
      </w:r>
      <w:r w:rsidR="00F430AB">
        <w:rPr>
          <w:rFonts w:cs="Times New Roman"/>
          <w:b/>
          <w:bCs/>
        </w:rPr>
        <w:t>4</w:t>
      </w:r>
      <w:r>
        <w:rPr>
          <w:rFonts w:cs="Times New Roman"/>
          <w:b/>
          <w:bCs/>
        </w:rPr>
        <w:t xml:space="preserve">. </w:t>
      </w:r>
      <w:r w:rsidRPr="0024532A">
        <w:rPr>
          <w:rFonts w:cs="Times New Roman"/>
          <w:b/>
          <w:bCs/>
        </w:rPr>
        <w:t xml:space="preserve">Differentially regulated pathways in the </w:t>
      </w:r>
      <w:r>
        <w:rPr>
          <w:rFonts w:cs="Times New Roman"/>
          <w:b/>
          <w:bCs/>
        </w:rPr>
        <w:t>left ventricle (LV)</w:t>
      </w:r>
      <w:r w:rsidRPr="0024532A">
        <w:rPr>
          <w:rFonts w:cs="Times New Roman"/>
          <w:b/>
          <w:bCs/>
        </w:rPr>
        <w:t xml:space="preserve"> of 2-week swim exercised wild-type (WT) and tumor necrosis factor (TNF) knockout (KO) mice. </w:t>
      </w:r>
      <w:r>
        <w:rPr>
          <w:rFonts w:cs="Times New Roman"/>
          <w:b/>
          <w:bCs/>
        </w:rPr>
        <w:t xml:space="preserve">(A) </w:t>
      </w:r>
      <w:r>
        <w:rPr>
          <w:rFonts w:cs="Times New Roman"/>
        </w:rPr>
        <w:t xml:space="preserve">Gene set enrichment analysis (GSEA) and enrichment mapping showing clusters of differentially regulated pathways in the left ventricle (LV) between WT 2-week swim (blue dots) and sedentary (red dots) mice. </w:t>
      </w:r>
      <w:r>
        <w:rPr>
          <w:rFonts w:cs="Times New Roman"/>
          <w:b/>
          <w:bCs/>
        </w:rPr>
        <w:t xml:space="preserve">(B) </w:t>
      </w:r>
      <w:r>
        <w:rPr>
          <w:rFonts w:cs="Times New Roman"/>
        </w:rPr>
        <w:t xml:space="preserve">Enrichment map showing clusters of differentially regulated pathways in the LV of TNF KO 2-week swim (blue dots) and sedentary (red dots) mice. </w:t>
      </w:r>
      <w:r>
        <w:rPr>
          <w:rFonts w:cs="Times New Roman"/>
          <w:b/>
          <w:bCs/>
        </w:rPr>
        <w:t xml:space="preserve">(C) </w:t>
      </w:r>
      <w:r>
        <w:rPr>
          <w:rFonts w:cs="Times New Roman"/>
        </w:rPr>
        <w:t>Enrichment map of the difference of the difference analysis revealing clusters of exercise-induced differentially regulated pathways in WT (blue dots) versus TNF KO (orange dots) mice. Only gene sets that form clusters of ≥5 gene sets are shown for clarity, with connecting lines indicating gene set overlap. Nominal P-value &lt;0.05, false discovery rate (FDR)&lt;0.20.</w:t>
      </w:r>
    </w:p>
    <w:p w14:paraId="0B862505" w14:textId="5C21B2DF" w:rsidR="00184A37" w:rsidRPr="002E4B03" w:rsidRDefault="00184A37" w:rsidP="00184A37">
      <w:pPr>
        <w:rPr>
          <w:rFonts w:cs="Times New Roman"/>
        </w:rPr>
      </w:pPr>
      <w:r>
        <w:rPr>
          <w:rFonts w:cs="Times New Roman"/>
        </w:rPr>
        <w:lastRenderedPageBreak/>
        <w:t xml:space="preserve"> </w:t>
      </w:r>
      <w:r>
        <w:rPr>
          <w:noProof/>
        </w:rPr>
        <w:drawing>
          <wp:inline distT="0" distB="0" distL="0" distR="0" wp14:anchorId="3BD654B5" wp14:editId="25AC400B">
            <wp:extent cx="4990465" cy="8613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0465" cy="8613140"/>
                    </a:xfrm>
                    <a:prstGeom prst="rect">
                      <a:avLst/>
                    </a:prstGeom>
                    <a:noFill/>
                    <a:ln>
                      <a:noFill/>
                    </a:ln>
                  </pic:spPr>
                </pic:pic>
              </a:graphicData>
            </a:graphic>
          </wp:inline>
        </w:drawing>
      </w:r>
    </w:p>
    <w:p w14:paraId="3446E39E" w14:textId="18480574" w:rsidR="00184A37" w:rsidRDefault="00184A37" w:rsidP="00184A37">
      <w:pPr>
        <w:rPr>
          <w:rFonts w:cs="Times New Roman"/>
        </w:rPr>
      </w:pPr>
      <w:r>
        <w:rPr>
          <w:rFonts w:cs="Times New Roman"/>
          <w:b/>
          <w:bCs/>
        </w:rPr>
        <w:lastRenderedPageBreak/>
        <w:t>Supplementary F</w:t>
      </w:r>
      <w:r w:rsidRPr="003B45CF">
        <w:rPr>
          <w:rFonts w:cs="Times New Roman"/>
          <w:b/>
          <w:bCs/>
        </w:rPr>
        <w:t xml:space="preserve">igure </w:t>
      </w:r>
      <w:r w:rsidR="00F430AB">
        <w:rPr>
          <w:rFonts w:cs="Times New Roman"/>
          <w:b/>
          <w:bCs/>
        </w:rPr>
        <w:t>5</w:t>
      </w:r>
      <w:r w:rsidRPr="003B45CF">
        <w:rPr>
          <w:rFonts w:cs="Times New Roman"/>
          <w:b/>
          <w:bCs/>
        </w:rPr>
        <w:t>.</w:t>
      </w:r>
      <w:r>
        <w:t xml:space="preserve"> </w:t>
      </w:r>
      <w:r w:rsidRPr="0024532A">
        <w:rPr>
          <w:rFonts w:cs="Times New Roman"/>
          <w:b/>
          <w:bCs/>
        </w:rPr>
        <w:t xml:space="preserve">Differentially regulated pathways in the </w:t>
      </w:r>
      <w:r>
        <w:rPr>
          <w:rFonts w:cs="Times New Roman"/>
          <w:b/>
          <w:bCs/>
        </w:rPr>
        <w:t>left ventricle (LV)</w:t>
      </w:r>
      <w:r w:rsidRPr="0024532A">
        <w:rPr>
          <w:rFonts w:cs="Times New Roman"/>
          <w:b/>
          <w:bCs/>
        </w:rPr>
        <w:t xml:space="preserve"> of 2</w:t>
      </w:r>
      <w:r>
        <w:rPr>
          <w:rFonts w:cs="Times New Roman"/>
          <w:b/>
          <w:bCs/>
        </w:rPr>
        <w:t>-day</w:t>
      </w:r>
      <w:r w:rsidRPr="0024532A">
        <w:rPr>
          <w:rFonts w:cs="Times New Roman"/>
          <w:b/>
          <w:bCs/>
        </w:rPr>
        <w:t xml:space="preserve"> swim exercised wild-type (WT) and tumor necrosis factor (TNF) knockout (KO) mice. </w:t>
      </w:r>
      <w:r>
        <w:rPr>
          <w:rFonts w:cs="Times New Roman"/>
          <w:b/>
          <w:bCs/>
        </w:rPr>
        <w:t xml:space="preserve">(A) </w:t>
      </w:r>
      <w:r>
        <w:rPr>
          <w:rFonts w:cs="Times New Roman"/>
        </w:rPr>
        <w:t xml:space="preserve">Gene set enrichment analysis (GSEA) and enrichment mapping showing clusters of differentially regulated pathways in the left ventricle (LV) between WT 2-day swim (blue dots) and sedentary (red dots) mice. </w:t>
      </w:r>
      <w:r>
        <w:rPr>
          <w:rFonts w:cs="Times New Roman"/>
          <w:b/>
          <w:bCs/>
        </w:rPr>
        <w:t xml:space="preserve">(B) </w:t>
      </w:r>
      <w:r>
        <w:rPr>
          <w:rFonts w:cs="Times New Roman"/>
        </w:rPr>
        <w:t xml:space="preserve">Enrichment map showing clusters of differentially regulated pathways in the LV of TNF KO 4-session swim (blue dots) and sedentary (red dots) mice. </w:t>
      </w:r>
      <w:r>
        <w:rPr>
          <w:rFonts w:cs="Times New Roman"/>
          <w:b/>
          <w:bCs/>
        </w:rPr>
        <w:t xml:space="preserve">(C) </w:t>
      </w:r>
      <w:r>
        <w:rPr>
          <w:rFonts w:cs="Times New Roman"/>
        </w:rPr>
        <w:t xml:space="preserve">Enrichment map of the difference of the difference analysis revealing clusters of exercise-induced differentially regulated pathways in WT (blue dots) versus TNF KO (orange dots) mice. Only gene sets that form clusters are shown for clarity, with connecting lines indicating gene set overlap. Nominal P-value &lt;0.05, false discovery rate (FDR)&lt;0.20. </w:t>
      </w:r>
    </w:p>
    <w:p w14:paraId="1E970416" w14:textId="13D7FCCA" w:rsidR="00184A37" w:rsidRDefault="00184A37" w:rsidP="00184A37">
      <w:pPr>
        <w:rPr>
          <w:rFonts w:cs="Times New Roman"/>
        </w:rPr>
      </w:pPr>
      <w:r>
        <w:rPr>
          <w:rFonts w:cs="Times New Roman"/>
        </w:rPr>
        <w:t xml:space="preserve"> </w:t>
      </w:r>
    </w:p>
    <w:p w14:paraId="60099AD0" w14:textId="6364A875" w:rsidR="00184A37" w:rsidRDefault="00184A37" w:rsidP="00184A37">
      <w:pPr>
        <w:rPr>
          <w:rFonts w:cs="Times New Roman"/>
        </w:rPr>
      </w:pPr>
      <w:r>
        <w:rPr>
          <w:noProof/>
        </w:rPr>
        <w:drawing>
          <wp:inline distT="0" distB="0" distL="0" distR="0" wp14:anchorId="1C2A892B" wp14:editId="5A3BE076">
            <wp:extent cx="6208395" cy="1975485"/>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1975485"/>
                    </a:xfrm>
                    <a:prstGeom prst="rect">
                      <a:avLst/>
                    </a:prstGeom>
                    <a:noFill/>
                    <a:ln>
                      <a:noFill/>
                    </a:ln>
                  </pic:spPr>
                </pic:pic>
              </a:graphicData>
            </a:graphic>
          </wp:inline>
        </w:drawing>
      </w:r>
    </w:p>
    <w:p w14:paraId="228471BF" w14:textId="15003753" w:rsidR="00184A37" w:rsidRPr="00C74154" w:rsidRDefault="00184A37" w:rsidP="00184A37">
      <w:pPr>
        <w:rPr>
          <w:rFonts w:cs="Times New Roman"/>
        </w:rPr>
      </w:pPr>
      <w:r>
        <w:rPr>
          <w:rFonts w:cs="Times New Roman"/>
          <w:b/>
          <w:bCs/>
        </w:rPr>
        <w:t xml:space="preserve">Supplementary </w:t>
      </w:r>
      <w:r w:rsidRPr="0033056C">
        <w:rPr>
          <w:rFonts w:cs="Times New Roman"/>
          <w:b/>
          <w:bCs/>
        </w:rPr>
        <w:t xml:space="preserve">Figure </w:t>
      </w:r>
      <w:r w:rsidR="00F430AB">
        <w:rPr>
          <w:rFonts w:cs="Times New Roman"/>
          <w:b/>
          <w:bCs/>
        </w:rPr>
        <w:t>6</w:t>
      </w:r>
      <w:r w:rsidRPr="0033056C">
        <w:rPr>
          <w:rFonts w:cs="Times New Roman"/>
          <w:b/>
          <w:bCs/>
        </w:rPr>
        <w:t>. Heat map and clustering analysis of the tumo</w:t>
      </w:r>
      <w:bookmarkStart w:id="0" w:name="_GoBack"/>
      <w:bookmarkEnd w:id="0"/>
      <w:r w:rsidRPr="0033056C">
        <w:rPr>
          <w:rFonts w:cs="Times New Roman"/>
          <w:b/>
          <w:bCs/>
        </w:rPr>
        <w:t>r necrosis factor (TNF)-dependence of extracellular matrix (ECM)-, integrin-, and cell-cell communication-associated genes in</w:t>
      </w:r>
      <w:r>
        <w:rPr>
          <w:rFonts w:cs="Times New Roman"/>
          <w:b/>
          <w:bCs/>
        </w:rPr>
        <w:t xml:space="preserve"> the left ventricle (LV) of</w:t>
      </w:r>
      <w:r w:rsidRPr="0033056C">
        <w:rPr>
          <w:rFonts w:cs="Times New Roman"/>
          <w:b/>
          <w:bCs/>
        </w:rPr>
        <w:t xml:space="preserve"> 2-</w:t>
      </w:r>
      <w:r>
        <w:rPr>
          <w:rFonts w:cs="Times New Roman"/>
          <w:b/>
          <w:bCs/>
        </w:rPr>
        <w:t>day</w:t>
      </w:r>
      <w:r w:rsidRPr="0033056C">
        <w:rPr>
          <w:rFonts w:cs="Times New Roman"/>
          <w:b/>
          <w:bCs/>
        </w:rPr>
        <w:t xml:space="preserve"> swim exercised mice. </w:t>
      </w:r>
      <w:r>
        <w:rPr>
          <w:rFonts w:cs="Times New Roman"/>
        </w:rPr>
        <w:t xml:space="preserve">Heat map and cluster analysis of individual genes belonging to ECM-, integrin-, and/or cell-cell communication-associated gene sets that are up- or down-regulated with swim </w:t>
      </w:r>
      <w:r w:rsidRPr="008E147B">
        <w:rPr>
          <w:rFonts w:cs="Times New Roman"/>
        </w:rPr>
        <w:t>exercise in TNF-dependent (cluster 1) or TNF-independent (cluster 2).</w:t>
      </w:r>
      <w:r w:rsidR="007676DF" w:rsidRPr="008E147B">
        <w:rPr>
          <w:rFonts w:cs="Times New Roman"/>
        </w:rPr>
        <w:t xml:space="preserve"> </w:t>
      </w:r>
      <w:r w:rsidR="007676DF" w:rsidRPr="008E147B">
        <w:rPr>
          <w:rFonts w:cs="Times New Roman"/>
          <w:szCs w:val="24"/>
        </w:rPr>
        <w:t>The order of genes (top to bottom) corresponds to the gene list (left to right).</w:t>
      </w:r>
      <w:r w:rsidR="001B3BEC" w:rsidRPr="008E147B">
        <w:rPr>
          <w:rFonts w:cs="Times New Roman"/>
          <w:szCs w:val="24"/>
        </w:rPr>
        <w:t xml:space="preserve"> </w:t>
      </w:r>
      <w:r w:rsidR="001B3BEC" w:rsidRPr="008E147B">
        <w:rPr>
          <w:rFonts w:eastAsia="Times New Roman" w:cs="Times New Roman"/>
          <w:szCs w:val="24"/>
          <w:lang w:eastAsia="en-CA"/>
        </w:rPr>
        <w:t xml:space="preserve">TNF-dependent (cluster 1) is: </w:t>
      </w:r>
      <w:proofErr w:type="spellStart"/>
      <w:r w:rsidR="001B3BEC" w:rsidRPr="008E147B">
        <w:rPr>
          <w:rFonts w:eastAsia="Times New Roman" w:cs="Times New Roman"/>
          <w:szCs w:val="24"/>
          <w:lang w:eastAsia="en-CA"/>
        </w:rPr>
        <w:t>SedWT</w:t>
      </w:r>
      <w:proofErr w:type="spellEnd"/>
      <w:r w:rsidR="001B3BEC" w:rsidRPr="008E147B">
        <w:rPr>
          <w:rFonts w:eastAsia="Times New Roman" w:cs="Times New Roman"/>
          <w:szCs w:val="24"/>
          <w:lang w:eastAsia="en-CA"/>
        </w:rPr>
        <w:t xml:space="preserve"> vs </w:t>
      </w:r>
      <w:proofErr w:type="spellStart"/>
      <w:r w:rsidR="001B3BEC" w:rsidRPr="008E147B">
        <w:rPr>
          <w:rFonts w:eastAsia="Times New Roman" w:cs="Times New Roman"/>
          <w:szCs w:val="24"/>
          <w:lang w:eastAsia="en-CA"/>
        </w:rPr>
        <w:t>SwimWT</w:t>
      </w:r>
      <w:proofErr w:type="spellEnd"/>
      <w:r w:rsidR="001B3BEC" w:rsidRPr="008E147B">
        <w:rPr>
          <w:rFonts w:eastAsia="Times New Roman" w:cs="Times New Roman"/>
          <w:szCs w:val="24"/>
          <w:lang w:eastAsia="en-CA"/>
        </w:rPr>
        <w:t xml:space="preserve"> (P&lt;0.05) and SedKO vs Swim KO (not P&lt;0.05). TNF-independent (cluster 2) is: </w:t>
      </w:r>
      <w:proofErr w:type="spellStart"/>
      <w:r w:rsidR="001B3BEC" w:rsidRPr="008E147B">
        <w:rPr>
          <w:rFonts w:eastAsia="Times New Roman" w:cs="Times New Roman"/>
          <w:szCs w:val="24"/>
          <w:lang w:eastAsia="en-CA"/>
        </w:rPr>
        <w:t>SedWT</w:t>
      </w:r>
      <w:proofErr w:type="spellEnd"/>
      <w:r w:rsidR="001B3BEC" w:rsidRPr="008E147B">
        <w:rPr>
          <w:rFonts w:eastAsia="Times New Roman" w:cs="Times New Roman"/>
          <w:szCs w:val="24"/>
          <w:lang w:eastAsia="en-CA"/>
        </w:rPr>
        <w:t xml:space="preserve"> vs </w:t>
      </w:r>
      <w:proofErr w:type="spellStart"/>
      <w:r w:rsidR="001B3BEC" w:rsidRPr="008E147B">
        <w:rPr>
          <w:rFonts w:eastAsia="Times New Roman" w:cs="Times New Roman"/>
          <w:szCs w:val="24"/>
          <w:lang w:eastAsia="en-CA"/>
        </w:rPr>
        <w:t>SwimWT</w:t>
      </w:r>
      <w:proofErr w:type="spellEnd"/>
      <w:r w:rsidR="001B3BEC" w:rsidRPr="008E147B">
        <w:rPr>
          <w:rFonts w:eastAsia="Times New Roman" w:cs="Times New Roman"/>
          <w:szCs w:val="24"/>
          <w:lang w:eastAsia="en-CA"/>
        </w:rPr>
        <w:t xml:space="preserve"> (P&lt;0.05) and </w:t>
      </w:r>
      <w:proofErr w:type="spellStart"/>
      <w:r w:rsidR="001B3BEC" w:rsidRPr="008E147B">
        <w:rPr>
          <w:rFonts w:eastAsia="Times New Roman" w:cs="Times New Roman"/>
          <w:szCs w:val="24"/>
          <w:lang w:eastAsia="en-CA"/>
        </w:rPr>
        <w:t>SedKO</w:t>
      </w:r>
      <w:proofErr w:type="spellEnd"/>
      <w:r w:rsidR="001B3BEC" w:rsidRPr="008E147B">
        <w:rPr>
          <w:rFonts w:eastAsia="Times New Roman" w:cs="Times New Roman"/>
          <w:szCs w:val="24"/>
          <w:lang w:eastAsia="en-CA"/>
        </w:rPr>
        <w:t xml:space="preserve"> vs </w:t>
      </w:r>
      <w:proofErr w:type="spellStart"/>
      <w:r w:rsidR="001B3BEC" w:rsidRPr="008E147B">
        <w:rPr>
          <w:rFonts w:eastAsia="Times New Roman" w:cs="Times New Roman"/>
          <w:szCs w:val="24"/>
          <w:lang w:eastAsia="en-CA"/>
        </w:rPr>
        <w:t>SwimKO</w:t>
      </w:r>
      <w:proofErr w:type="spellEnd"/>
      <w:r w:rsidR="001B3BEC" w:rsidRPr="008E147B">
        <w:rPr>
          <w:rFonts w:eastAsia="Times New Roman" w:cs="Times New Roman"/>
          <w:szCs w:val="24"/>
          <w:lang w:eastAsia="en-CA"/>
        </w:rPr>
        <w:t xml:space="preserve"> (P&lt;0.05).</w:t>
      </w:r>
    </w:p>
    <w:p w14:paraId="4E0C773D" w14:textId="461EFF7C" w:rsidR="00184A37" w:rsidRDefault="00184A37" w:rsidP="00184A37">
      <w:pPr>
        <w:rPr>
          <w:b/>
          <w:bCs/>
        </w:rPr>
      </w:pPr>
    </w:p>
    <w:p w14:paraId="2E3C121D" w14:textId="23360AB9" w:rsidR="00184A37" w:rsidRDefault="00184A37" w:rsidP="00184A37">
      <w:pPr>
        <w:rPr>
          <w:b/>
          <w:bCs/>
        </w:rPr>
      </w:pPr>
      <w:r>
        <w:rPr>
          <w:noProof/>
        </w:rPr>
        <w:lastRenderedPageBreak/>
        <w:drawing>
          <wp:inline distT="0" distB="0" distL="0" distR="0" wp14:anchorId="1453C422" wp14:editId="458052E0">
            <wp:extent cx="6208395" cy="4784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4784090"/>
                    </a:xfrm>
                    <a:prstGeom prst="rect">
                      <a:avLst/>
                    </a:prstGeom>
                    <a:noFill/>
                    <a:ln>
                      <a:noFill/>
                    </a:ln>
                  </pic:spPr>
                </pic:pic>
              </a:graphicData>
            </a:graphic>
          </wp:inline>
        </w:drawing>
      </w:r>
    </w:p>
    <w:p w14:paraId="4F474A9B" w14:textId="67977D17" w:rsidR="00184A37" w:rsidRPr="005275A1" w:rsidRDefault="00184A37" w:rsidP="00184A37">
      <w:pPr>
        <w:rPr>
          <w:rFonts w:cs="Times New Roman"/>
        </w:rPr>
      </w:pPr>
      <w:r>
        <w:rPr>
          <w:rFonts w:cs="Times New Roman"/>
          <w:b/>
          <w:bCs/>
        </w:rPr>
        <w:t xml:space="preserve">Supplementary </w:t>
      </w:r>
      <w:r w:rsidRPr="0033056C">
        <w:rPr>
          <w:rFonts w:cs="Times New Roman"/>
          <w:b/>
          <w:bCs/>
        </w:rPr>
        <w:t xml:space="preserve">Figure </w:t>
      </w:r>
      <w:r w:rsidR="00F430AB">
        <w:rPr>
          <w:rFonts w:cs="Times New Roman"/>
          <w:b/>
          <w:bCs/>
        </w:rPr>
        <w:t>7</w:t>
      </w:r>
      <w:r>
        <w:rPr>
          <w:rFonts w:cs="Times New Roman"/>
          <w:b/>
          <w:bCs/>
        </w:rPr>
        <w:t xml:space="preserve">. MMP2 and MMP9 activity levels and matricellular protein and immunohistochemical levels in 2-day sedentary and swim mice. (A) </w:t>
      </w:r>
      <w:r>
        <w:rPr>
          <w:rFonts w:cs="Times New Roman"/>
        </w:rPr>
        <w:t xml:space="preserve">Representative in vitro gelatin zymography and averaged band intensities for pro-MMP2 and pro-MMP9 in sedentary and swim left atrial appendages. </w:t>
      </w:r>
      <w:r>
        <w:rPr>
          <w:rFonts w:cs="Times New Roman"/>
          <w:b/>
          <w:bCs/>
        </w:rPr>
        <w:t xml:space="preserve">(B) </w:t>
      </w:r>
      <w:r>
        <w:rPr>
          <w:rFonts w:cs="Times New Roman"/>
        </w:rPr>
        <w:t>Representative Western blots for osteopontin (OPN) and secreted protein acidic and rich in cysteine (SPARC). Black arrow indicates the GAPDH band. Quantification of the protein levels for OPN and SPARC for sedentary (n=5) and swim (n=6) left atrial appendages. GAPDH served as the loading control. (</w:t>
      </w:r>
      <w:r>
        <w:rPr>
          <w:rFonts w:cs="Times New Roman"/>
          <w:b/>
          <w:bCs/>
        </w:rPr>
        <w:t xml:space="preserve">C) </w:t>
      </w:r>
      <w:r>
        <w:rPr>
          <w:rFonts w:cs="Times New Roman"/>
        </w:rPr>
        <w:t>Representative immunofluorescent images for OPN and SPARC straining from left atrial appendages of sedentary and swim mice</w:t>
      </w:r>
      <w:r w:rsidR="00E6440C">
        <w:rPr>
          <w:rFonts w:cs="Times New Roman"/>
        </w:rPr>
        <w:t xml:space="preserve"> at 4x and 20x magnification</w:t>
      </w:r>
      <w:r>
        <w:rPr>
          <w:rFonts w:cs="Times New Roman"/>
        </w:rPr>
        <w:t>. Data represented mean ± SEM. *P&lt;0.05 compared to sedentary control. AU indicates arbitrary units.</w:t>
      </w:r>
    </w:p>
    <w:p w14:paraId="7B65BC4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C903D" w14:textId="77777777" w:rsidR="00BF6521" w:rsidRDefault="00BF6521" w:rsidP="00117666">
      <w:pPr>
        <w:spacing w:after="0"/>
      </w:pPr>
      <w:r>
        <w:separator/>
      </w:r>
    </w:p>
  </w:endnote>
  <w:endnote w:type="continuationSeparator" w:id="0">
    <w:p w14:paraId="12C84C0E" w14:textId="77777777" w:rsidR="00BF6521" w:rsidRDefault="00BF652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282FC" w14:textId="77777777" w:rsidR="00BF6521" w:rsidRDefault="00BF6521" w:rsidP="00117666">
      <w:pPr>
        <w:spacing w:after="0"/>
      </w:pPr>
      <w:r>
        <w:separator/>
      </w:r>
    </w:p>
  </w:footnote>
  <w:footnote w:type="continuationSeparator" w:id="0">
    <w:p w14:paraId="2241B777" w14:textId="77777777" w:rsidR="00BF6521" w:rsidRDefault="00BF652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80C89"/>
    <w:rsid w:val="000C17F2"/>
    <w:rsid w:val="00105FD9"/>
    <w:rsid w:val="00117666"/>
    <w:rsid w:val="001549D3"/>
    <w:rsid w:val="00160065"/>
    <w:rsid w:val="00177D84"/>
    <w:rsid w:val="00184A37"/>
    <w:rsid w:val="001B3BEC"/>
    <w:rsid w:val="001C41DC"/>
    <w:rsid w:val="002475D9"/>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676DF"/>
    <w:rsid w:val="00790BB3"/>
    <w:rsid w:val="007C206C"/>
    <w:rsid w:val="00817DD6"/>
    <w:rsid w:val="0083759F"/>
    <w:rsid w:val="00865910"/>
    <w:rsid w:val="00885156"/>
    <w:rsid w:val="008C2A2E"/>
    <w:rsid w:val="008E147B"/>
    <w:rsid w:val="008F615E"/>
    <w:rsid w:val="009151AA"/>
    <w:rsid w:val="0093429D"/>
    <w:rsid w:val="00943573"/>
    <w:rsid w:val="00964134"/>
    <w:rsid w:val="00970F7D"/>
    <w:rsid w:val="00994A3D"/>
    <w:rsid w:val="009C17E7"/>
    <w:rsid w:val="009C2B12"/>
    <w:rsid w:val="00A174D9"/>
    <w:rsid w:val="00AA4D24"/>
    <w:rsid w:val="00AB6715"/>
    <w:rsid w:val="00B1671E"/>
    <w:rsid w:val="00B25EB8"/>
    <w:rsid w:val="00B37F4D"/>
    <w:rsid w:val="00BF6521"/>
    <w:rsid w:val="00C52A7B"/>
    <w:rsid w:val="00C56BAF"/>
    <w:rsid w:val="00C679AA"/>
    <w:rsid w:val="00C75972"/>
    <w:rsid w:val="00CD066B"/>
    <w:rsid w:val="00CE4FEE"/>
    <w:rsid w:val="00D060CF"/>
    <w:rsid w:val="00DB59C3"/>
    <w:rsid w:val="00DC259A"/>
    <w:rsid w:val="00DE23E8"/>
    <w:rsid w:val="00E52377"/>
    <w:rsid w:val="00E537AD"/>
    <w:rsid w:val="00E6440C"/>
    <w:rsid w:val="00E64E17"/>
    <w:rsid w:val="00E866C9"/>
    <w:rsid w:val="00EA3D3C"/>
    <w:rsid w:val="00EA4087"/>
    <w:rsid w:val="00EC090A"/>
    <w:rsid w:val="00ED20B5"/>
    <w:rsid w:val="00F24F30"/>
    <w:rsid w:val="00F430AB"/>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C2A2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9009190-6FA1-438B-897E-A6E9312B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34</TotalTime>
  <Pages>8</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Rob Lakin</cp:lastModifiedBy>
  <cp:revision>2</cp:revision>
  <cp:lastPrinted>2013-10-03T12:51:00Z</cp:lastPrinted>
  <dcterms:created xsi:type="dcterms:W3CDTF">2020-12-03T23:35:00Z</dcterms:created>
  <dcterms:modified xsi:type="dcterms:W3CDTF">2020-12-03T23:35:00Z</dcterms:modified>
</cp:coreProperties>
</file>