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0" w:rsidRDefault="00C863C0" w:rsidP="00C863C0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Table 1: </w:t>
      </w:r>
      <w:r>
        <w:rPr>
          <w:b/>
          <w:szCs w:val="24"/>
        </w:rPr>
        <w:t xml:space="preserve">Clinical trials of nucleic acid vaccines </w:t>
      </w:r>
      <w:r>
        <w:rPr>
          <w:rFonts w:hint="eastAsia"/>
          <w:b/>
          <w:szCs w:val="24"/>
        </w:rPr>
        <w:t>against</w:t>
      </w:r>
      <w:r>
        <w:rPr>
          <w:b/>
          <w:szCs w:val="24"/>
        </w:rPr>
        <w:t xml:space="preserve"> infectious diseases</w:t>
      </w:r>
    </w:p>
    <w:tbl>
      <w:tblPr>
        <w:tblStyle w:val="-5"/>
        <w:tblW w:w="5000" w:type="pct"/>
        <w:tblLayout w:type="fixed"/>
        <w:tblLook w:val="04A0" w:firstRow="1" w:lastRow="0" w:firstColumn="1" w:lastColumn="0" w:noHBand="0" w:noVBand="1"/>
      </w:tblPr>
      <w:tblGrid>
        <w:gridCol w:w="1622"/>
        <w:gridCol w:w="1330"/>
        <w:gridCol w:w="1330"/>
        <w:gridCol w:w="998"/>
        <w:gridCol w:w="1163"/>
        <w:gridCol w:w="2099"/>
        <w:gridCol w:w="1451"/>
      </w:tblGrid>
      <w:tr w:rsidR="00C863C0" w:rsidRPr="00D05C1B" w:rsidTr="00D1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Types(DNA vaccine)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Disease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Trial numbers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Phase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  <w:lang w:bidi="ar"/>
              </w:rPr>
            </w:pPr>
            <w:r>
              <w:rPr>
                <w:rFonts w:cs="Times New Roman" w:hint="eastAsia"/>
                <w:color w:val="FFFFFF"/>
                <w:szCs w:val="24"/>
                <w:lang w:bidi="ar"/>
              </w:rPr>
              <w:t>Status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Administration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Sponsors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pGA2/JS2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HIV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6042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hyperlink r:id="rId8" w:tooltip="http://clinicaltrials.gov/show/NCT00043511" w:history="1">
              <w:r w:rsidR="00C863C0" w:rsidRPr="00D05C1B">
                <w:rPr>
                  <w:rStyle w:val="af5"/>
                  <w:color w:val="000000"/>
                </w:rPr>
                <w:t>NCT00043511</w:t>
              </w:r>
            </w:hyperlink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National Institute of Allergy and Infectious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br/>
              <w:t>Diseases (NIAID)</w:t>
            </w:r>
          </w:p>
        </w:tc>
      </w:tr>
      <w:tr w:rsidR="00C863C0" w:rsidRPr="00D05C1B" w:rsidTr="00D150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VCL-IPT1andVCL-IPM1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Pandemic influenza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6042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hyperlink r:id="rId9" w:tooltip="http://clinicaltrials.gov/show/NCT00709800" w:history="1">
              <w:r w:rsidR="00C863C0" w:rsidRPr="00D05C1B">
                <w:rPr>
                  <w:rStyle w:val="af5"/>
                  <w:color w:val="000000"/>
                </w:rPr>
                <w:t>NCT00709800</w:t>
              </w:r>
            </w:hyperlink>
          </w:p>
        </w:tc>
        <w:tc>
          <w:tcPr>
            <w:tcW w:w="851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237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Vical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VRC-EBODNA023-00-VP and VRC-MARDNA025-00-VP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Ebola and Marburg virus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6042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hyperlink r:id="rId10" w:tooltip="http://clinicaltrials.gov/show/NCT00605514" w:history="1">
              <w:r w:rsidR="00C863C0" w:rsidRPr="00D05C1B">
                <w:rPr>
                  <w:rStyle w:val="af5"/>
                  <w:color w:val="000000"/>
                </w:rPr>
                <w:t>NCT00605514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NIAID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INO-4212 and With or Without INO-9012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Ebola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6042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hyperlink r:id="rId11" w:tooltip="http://clinicaltrials.gov/show/NCT02464670" w:history="1">
              <w:r w:rsidR="00C863C0" w:rsidRPr="00D05C1B">
                <w:rPr>
                  <w:rStyle w:val="af5"/>
                  <w:color w:val="000000"/>
                </w:rPr>
                <w:t>NCT02464670</w:t>
              </w:r>
            </w:hyperlink>
          </w:p>
        </w:tc>
        <w:tc>
          <w:tcPr>
            <w:tcW w:w="851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Intradermal or Intramuscular injection followed by electroporation</w:t>
            </w:r>
          </w:p>
        </w:tc>
        <w:tc>
          <w:tcPr>
            <w:tcW w:w="1237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Inovio Pharmaceuticals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GLS-5700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Dengue virus seropositive adults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6042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hyperlink r:id="rId12" w:tooltip="http://clinicaltrials.gov/show/NCT02887482" w:history="1">
              <w:r w:rsidR="00C863C0" w:rsidRPr="00D05C1B">
                <w:rPr>
                  <w:rStyle w:val="af5"/>
                  <w:color w:val="000000"/>
                </w:rPr>
                <w:t>NCT02887482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EP-enhanced intradermal (ID)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br/>
              <w:t>injection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GeneOne Life Science, Inc.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pCMVS2-S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Chronic B Hepatitis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6042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hyperlink r:id="rId13" w:tooltip="http://clinicaltrials.gov/show/NCT00536627" w:history="1">
              <w:r w:rsidR="00C863C0" w:rsidRPr="00D05C1B">
                <w:rPr>
                  <w:rStyle w:val="af5"/>
                  <w:color w:val="000000"/>
                </w:rPr>
                <w:t>NCT00536627</w:t>
              </w:r>
            </w:hyperlink>
          </w:p>
        </w:tc>
        <w:tc>
          <w:tcPr>
            <w:tcW w:w="851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 xml:space="preserve">I </w:t>
            </w:r>
            <w:r>
              <w:rPr>
                <w:rFonts w:cs="Times New Roman" w:hint="eastAsia"/>
                <w:color w:val="000000"/>
                <w:szCs w:val="24"/>
                <w:lang w:bidi="ar"/>
              </w:rPr>
              <w:t>,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t>II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237" w:type="dxa"/>
            <w:tcBorders>
              <w:bottom w:val="nil"/>
            </w:tcBorders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French National Agency for Research on AIDS and Viral Hepatitis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HB-110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Hepatitis B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Style w:val="af5"/>
                <w:color w:val="000000"/>
              </w:rPr>
              <w:t>NCT00513968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2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Genexine, Inc</w:t>
            </w:r>
          </w:p>
        </w:tc>
      </w:tr>
    </w:tbl>
    <w:p w:rsidR="00C863C0" w:rsidRDefault="00C863C0" w:rsidP="00C863C0"/>
    <w:p w:rsidR="00C863C0" w:rsidRPr="005A0800" w:rsidRDefault="00C863C0" w:rsidP="00C863C0">
      <w:pPr>
        <w:rPr>
          <w:rFonts w:cs="Times New Roman"/>
          <w:szCs w:val="24"/>
        </w:rPr>
      </w:pPr>
      <w:r>
        <w:rPr>
          <w:rFonts w:hint="eastAsia"/>
          <w:b/>
          <w:szCs w:val="24"/>
        </w:rPr>
        <w:lastRenderedPageBreak/>
        <w:t xml:space="preserve">Table 1(cont.): </w:t>
      </w:r>
      <w:r>
        <w:rPr>
          <w:b/>
          <w:szCs w:val="24"/>
        </w:rPr>
        <w:t xml:space="preserve">Clinical trials of nucleic acid vaccines </w:t>
      </w:r>
      <w:r>
        <w:rPr>
          <w:rFonts w:hint="eastAsia"/>
          <w:b/>
          <w:szCs w:val="24"/>
        </w:rPr>
        <w:t>against</w:t>
      </w:r>
      <w:r>
        <w:rPr>
          <w:b/>
          <w:szCs w:val="24"/>
        </w:rPr>
        <w:t xml:space="preserve"> infectious diseases</w:t>
      </w:r>
    </w:p>
    <w:tbl>
      <w:tblPr>
        <w:tblStyle w:val="-5"/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1330"/>
        <w:gridCol w:w="1330"/>
        <w:gridCol w:w="998"/>
        <w:gridCol w:w="1163"/>
        <w:gridCol w:w="2161"/>
        <w:gridCol w:w="1388"/>
      </w:tblGrid>
      <w:tr w:rsidR="00C863C0" w:rsidRPr="00D05C1B" w:rsidTr="00D1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Types(DNA vaccine)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Disease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Trial numbers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Phase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  <w:lang w:bidi="ar"/>
              </w:rPr>
            </w:pPr>
            <w:r>
              <w:rPr>
                <w:rFonts w:cs="Times New Roman" w:hint="eastAsia"/>
                <w:color w:val="FFFFFF"/>
                <w:szCs w:val="24"/>
                <w:lang w:bidi="ar"/>
              </w:rPr>
              <w:t>Status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Administration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Sponsors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HBV-DNA plasmid pdpSC18 vaccine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Hepatitis B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NCT00277576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PowderMed/Pfizer</w:t>
            </w:r>
          </w:p>
        </w:tc>
      </w:tr>
      <w:tr w:rsidR="00C863C0" w:rsidRPr="00D05C1B" w:rsidTr="00D150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VCL-HB01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Genital Herpes Simplex Type 2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NCT02030301</w:t>
            </w:r>
          </w:p>
        </w:tc>
        <w:tc>
          <w:tcPr>
            <w:tcW w:w="851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/>
                <w:color w:val="000000"/>
                <w:szCs w:val="24"/>
                <w:lang w:bidi="ar"/>
              </w:rPr>
              <w:t>I</w:t>
            </w:r>
            <w:r>
              <w:rPr>
                <w:rFonts w:cs="Times New Roman" w:hint="eastAsia"/>
                <w:color w:val="000000"/>
                <w:szCs w:val="24"/>
                <w:lang w:bidi="ar"/>
              </w:rPr>
              <w:t>,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t>II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1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Vical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pPJV7630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HSV-2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NCT00274300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particle-mediated epidermal delivery (PMED)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PowderMed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EP HIV-1090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HIV-1(AIDS)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NCT00054860</w:t>
            </w:r>
          </w:p>
        </w:tc>
        <w:tc>
          <w:tcPr>
            <w:tcW w:w="851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Intramuscularly</w:t>
            </w:r>
          </w:p>
        </w:tc>
        <w:tc>
          <w:tcPr>
            <w:tcW w:w="11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NIAID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VRC-HIVDNA009-00-VP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HIV-2(AIDS)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NCT00125099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I,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Administered to individuals who started antiretroviral therapy during acute HIV-1 infection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C863C0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NIAID</w:t>
            </w:r>
          </w:p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C863C0" w:rsidRPr="00D05C1B" w:rsidTr="00D150B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VGX-6150-01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Hepatitis C, Chronic</w:t>
            </w:r>
          </w:p>
        </w:tc>
        <w:tc>
          <w:tcPr>
            <w:tcW w:w="113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NCT02027116</w:t>
            </w:r>
          </w:p>
        </w:tc>
        <w:tc>
          <w:tcPr>
            <w:tcW w:w="851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 with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br/>
              <w:t>Electroporation</w:t>
            </w:r>
          </w:p>
        </w:tc>
        <w:tc>
          <w:tcPr>
            <w:tcW w:w="1184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GeneOne Life Science, Inc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VRC-FLUDNA061-00-VP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Influenza: H1N1, H3N2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NCT01498718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Ib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NIAID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VRC-SRSDNA015-00-VP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SARS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NCT00099463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NIAID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</w:p>
        </w:tc>
      </w:tr>
    </w:tbl>
    <w:p w:rsidR="00C863C0" w:rsidRDefault="00C863C0" w:rsidP="00C863C0">
      <w:pPr>
        <w:rPr>
          <w:b/>
          <w:szCs w:val="24"/>
        </w:rPr>
      </w:pPr>
    </w:p>
    <w:p w:rsidR="00C863C0" w:rsidRPr="005A0800" w:rsidRDefault="00C863C0" w:rsidP="00C863C0">
      <w:pPr>
        <w:rPr>
          <w:rFonts w:cs="Times New Roman"/>
          <w:szCs w:val="24"/>
        </w:rPr>
      </w:pPr>
      <w:r>
        <w:rPr>
          <w:rFonts w:hint="eastAsia"/>
          <w:b/>
          <w:szCs w:val="24"/>
        </w:rPr>
        <w:lastRenderedPageBreak/>
        <w:t xml:space="preserve">Table 1(cont.): </w:t>
      </w:r>
      <w:r>
        <w:rPr>
          <w:b/>
          <w:szCs w:val="24"/>
        </w:rPr>
        <w:t xml:space="preserve">Clinical trials of nucleic acid vaccines </w:t>
      </w:r>
      <w:r>
        <w:rPr>
          <w:rFonts w:hint="eastAsia"/>
          <w:b/>
          <w:szCs w:val="24"/>
        </w:rPr>
        <w:t>against</w:t>
      </w:r>
      <w:r>
        <w:rPr>
          <w:b/>
          <w:szCs w:val="24"/>
        </w:rPr>
        <w:t xml:space="preserve"> infectious diseases</w:t>
      </w:r>
    </w:p>
    <w:tbl>
      <w:tblPr>
        <w:tblStyle w:val="-5"/>
        <w:tblW w:w="5000" w:type="pct"/>
        <w:tblLayout w:type="fixed"/>
        <w:tblLook w:val="04A0" w:firstRow="1" w:lastRow="0" w:firstColumn="1" w:lastColumn="0" w:noHBand="0" w:noVBand="1"/>
      </w:tblPr>
      <w:tblGrid>
        <w:gridCol w:w="1623"/>
        <w:gridCol w:w="1330"/>
        <w:gridCol w:w="1330"/>
        <w:gridCol w:w="998"/>
        <w:gridCol w:w="1163"/>
        <w:gridCol w:w="2161"/>
        <w:gridCol w:w="1388"/>
      </w:tblGrid>
      <w:tr w:rsidR="00C863C0" w:rsidRPr="00D05C1B" w:rsidTr="00D1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Types(DNA vaccine)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Disease</w:t>
            </w:r>
          </w:p>
        </w:tc>
        <w:tc>
          <w:tcPr>
            <w:tcW w:w="13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Trial numbers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Phase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  <w:lang w:bidi="ar"/>
              </w:rPr>
            </w:pPr>
            <w:r>
              <w:rPr>
                <w:rFonts w:cs="Times New Roman" w:hint="eastAsia"/>
                <w:color w:val="FFFFFF"/>
                <w:szCs w:val="24"/>
                <w:lang w:bidi="ar"/>
              </w:rPr>
              <w:t>Status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Administration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Sponsors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Prime Boost Regimen of DNA- and adenovirus-vectored malaria vaccine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br/>
              <w:t>encoding Plasmodium falciparum circumsporozoite protein</w:t>
            </w:r>
          </w:p>
        </w:tc>
        <w:tc>
          <w:tcPr>
            <w:tcW w:w="13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Malaria</w:t>
            </w:r>
          </w:p>
        </w:tc>
        <w:tc>
          <w:tcPr>
            <w:tcW w:w="133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NCT00870987</w:t>
            </w: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I, II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384C2F">
              <w:rPr>
                <w:rFonts w:cs="Times New Roman"/>
                <w:color w:val="000000"/>
                <w:szCs w:val="24"/>
                <w:shd w:val="clear" w:color="auto" w:fill="FFFFFF"/>
              </w:rPr>
              <w:t>S</w:t>
            </w:r>
            <w:r w:rsidRPr="00384C2F">
              <w:rPr>
                <w:rFonts w:eastAsia="宋体" w:cs="Times New Roman"/>
                <w:color w:val="000000"/>
                <w:szCs w:val="24"/>
                <w:shd w:val="clear" w:color="auto" w:fill="FFFFFF"/>
              </w:rPr>
              <w:t>ubcutaneous injection</w:t>
            </w:r>
          </w:p>
        </w:tc>
        <w:tc>
          <w:tcPr>
            <w:tcW w:w="13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U.S. Army Medical Research and Development Command</w:t>
            </w:r>
          </w:p>
        </w:tc>
      </w:tr>
      <w:tr w:rsidR="00C863C0" w:rsidRPr="00D05C1B" w:rsidTr="00D150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Ad</w:t>
            </w:r>
            <w:r>
              <w:rPr>
                <w:rFonts w:cs="Times New Roman"/>
                <w:color w:val="000000"/>
                <w:szCs w:val="24"/>
                <w:lang w:bidi="ar"/>
              </w:rPr>
              <w:t>5Ag85A recombinant replication-</w:t>
            </w:r>
            <w:r w:rsidRPr="00D05C1B">
              <w:rPr>
                <w:rFonts w:cs="Times New Roman"/>
                <w:color w:val="000000"/>
                <w:szCs w:val="24"/>
                <w:lang w:bidi="ar"/>
              </w:rPr>
              <w:t>deficient adenoviral vector</w:t>
            </w:r>
          </w:p>
        </w:tc>
        <w:tc>
          <w:tcPr>
            <w:tcW w:w="1330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Tuberculosis</w:t>
            </w:r>
          </w:p>
        </w:tc>
        <w:tc>
          <w:tcPr>
            <w:tcW w:w="1330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NCT00800670</w:t>
            </w:r>
          </w:p>
        </w:tc>
        <w:tc>
          <w:tcPr>
            <w:tcW w:w="998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 w:rsidRPr="00E52779">
              <w:rPr>
                <w:rFonts w:cs="Times New Roman"/>
                <w:color w:val="000000"/>
                <w:szCs w:val="24"/>
                <w:lang w:bidi="ar"/>
              </w:rPr>
              <w:t>Terminated</w:t>
            </w:r>
          </w:p>
        </w:tc>
        <w:tc>
          <w:tcPr>
            <w:tcW w:w="2161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388" w:type="dxa"/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McMaster University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DNA plasmid vaccine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COVID-19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NCT04336410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 w:rsidRPr="00E52779">
              <w:rPr>
                <w:rFonts w:cs="Times New Roman"/>
                <w:color w:val="000000"/>
                <w:szCs w:val="24"/>
                <w:lang w:bidi="ar"/>
              </w:rPr>
              <w:t>Active, not recruiting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Electroporation device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Inovio Pharmaceuticals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tcBorders>
              <w:top w:val="nil"/>
              <w:bottom w:val="single" w:sz="12" w:space="0" w:color="auto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VRC-WNVDNA020-00-VP</w:t>
            </w:r>
          </w:p>
        </w:tc>
        <w:tc>
          <w:tcPr>
            <w:tcW w:w="1330" w:type="dxa"/>
            <w:tcBorders>
              <w:top w:val="nil"/>
              <w:bottom w:val="single" w:sz="12" w:space="0" w:color="auto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West Nile virus infection</w:t>
            </w:r>
          </w:p>
        </w:tc>
        <w:tc>
          <w:tcPr>
            <w:tcW w:w="1330" w:type="dxa"/>
            <w:tcBorders>
              <w:top w:val="nil"/>
              <w:bottom w:val="single" w:sz="12" w:space="0" w:color="auto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NCT00300417</w:t>
            </w: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tcBorders>
              <w:top w:val="nil"/>
              <w:bottom w:val="single" w:sz="12" w:space="0" w:color="auto"/>
            </w:tcBorders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2161" w:type="dxa"/>
            <w:tcBorders>
              <w:top w:val="nil"/>
              <w:bottom w:val="single" w:sz="12" w:space="0" w:color="auto"/>
            </w:tcBorders>
            <w:shd w:val="clear" w:color="auto" w:fill="CCECFF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  <w:lang w:bidi="ar"/>
              </w:rPr>
              <w:t>Intramuscularly using the Biojector 2000 Needle-Free Injection Management System</w:t>
            </w:r>
          </w:p>
        </w:tc>
        <w:tc>
          <w:tcPr>
            <w:tcW w:w="1388" w:type="dxa"/>
            <w:tcBorders>
              <w:top w:val="nil"/>
              <w:bottom w:val="single" w:sz="12" w:space="0" w:color="auto"/>
            </w:tcBorders>
            <w:shd w:val="clear" w:color="auto" w:fill="CCECFF"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D05C1B">
              <w:rPr>
                <w:rFonts w:cs="Times New Roman"/>
                <w:color w:val="000000"/>
                <w:szCs w:val="24"/>
              </w:rPr>
              <w:t>NIAID</w:t>
            </w:r>
          </w:p>
        </w:tc>
      </w:tr>
    </w:tbl>
    <w:p w:rsidR="00C863C0" w:rsidRDefault="00C863C0" w:rsidP="00C863C0"/>
    <w:p w:rsidR="00C863C0" w:rsidRDefault="00C863C0" w:rsidP="00C863C0"/>
    <w:p w:rsidR="00C863C0" w:rsidRDefault="00C863C0" w:rsidP="00C863C0"/>
    <w:p w:rsidR="00C863C0" w:rsidRDefault="00C863C0" w:rsidP="00C863C0">
      <w:pPr>
        <w:rPr>
          <w:b/>
          <w:szCs w:val="24"/>
          <w:lang w:eastAsia="zh-CN"/>
        </w:rPr>
      </w:pPr>
    </w:p>
    <w:p w:rsidR="00C863C0" w:rsidRDefault="00C863C0" w:rsidP="00C863C0">
      <w:pPr>
        <w:rPr>
          <w:b/>
          <w:szCs w:val="24"/>
          <w:lang w:eastAsia="zh-CN"/>
        </w:rPr>
      </w:pPr>
    </w:p>
    <w:p w:rsidR="00C863C0" w:rsidRDefault="00C863C0" w:rsidP="00C863C0">
      <w:pPr>
        <w:rPr>
          <w:b/>
          <w:szCs w:val="24"/>
          <w:lang w:eastAsia="zh-CN"/>
        </w:rPr>
      </w:pPr>
    </w:p>
    <w:p w:rsidR="00C863C0" w:rsidRPr="005A0800" w:rsidRDefault="00C863C0" w:rsidP="00C863C0">
      <w:pPr>
        <w:rPr>
          <w:rFonts w:cs="Times New Roman"/>
          <w:szCs w:val="24"/>
        </w:rPr>
      </w:pPr>
      <w:r>
        <w:rPr>
          <w:rFonts w:hint="eastAsia"/>
          <w:b/>
          <w:szCs w:val="24"/>
        </w:rPr>
        <w:lastRenderedPageBreak/>
        <w:t xml:space="preserve">Table 1(cont.): </w:t>
      </w:r>
      <w:r>
        <w:rPr>
          <w:b/>
          <w:szCs w:val="24"/>
        </w:rPr>
        <w:t xml:space="preserve">Clinical trials of nucleic acid vaccines </w:t>
      </w:r>
      <w:r>
        <w:rPr>
          <w:rFonts w:hint="eastAsia"/>
          <w:b/>
          <w:szCs w:val="24"/>
        </w:rPr>
        <w:t>against</w:t>
      </w:r>
      <w:r>
        <w:rPr>
          <w:b/>
          <w:szCs w:val="24"/>
        </w:rPr>
        <w:t xml:space="preserve"> infectious diseases</w:t>
      </w:r>
    </w:p>
    <w:tbl>
      <w:tblPr>
        <w:tblStyle w:val="-5"/>
        <w:tblW w:w="5000" w:type="pct"/>
        <w:tblLayout w:type="fixed"/>
        <w:tblLook w:val="04A0" w:firstRow="1" w:lastRow="0" w:firstColumn="1" w:lastColumn="0" w:noHBand="0" w:noVBand="1"/>
      </w:tblPr>
      <w:tblGrid>
        <w:gridCol w:w="1960"/>
        <w:gridCol w:w="1161"/>
        <w:gridCol w:w="1317"/>
        <w:gridCol w:w="12"/>
        <w:gridCol w:w="997"/>
        <w:gridCol w:w="1005"/>
        <w:gridCol w:w="2162"/>
        <w:gridCol w:w="1379"/>
      </w:tblGrid>
      <w:tr w:rsidR="00C863C0" w:rsidRPr="00D05C1B" w:rsidTr="00D1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Types(</w:t>
            </w:r>
            <w:r>
              <w:rPr>
                <w:rFonts w:cs="Times New Roman" w:hint="eastAsia"/>
                <w:color w:val="FFFFFF"/>
                <w:szCs w:val="24"/>
                <w:lang w:bidi="ar"/>
              </w:rPr>
              <w:t>RNA</w:t>
            </w:r>
            <w:r w:rsidRPr="00D05C1B">
              <w:rPr>
                <w:rFonts w:cs="Times New Roman"/>
                <w:color w:val="FFFFFF"/>
                <w:szCs w:val="24"/>
                <w:lang w:bidi="ar"/>
              </w:rPr>
              <w:t xml:space="preserve"> vaccine)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Disease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Trial numbers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Phase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  <w:lang w:bidi="ar"/>
              </w:rPr>
            </w:pPr>
            <w:r>
              <w:rPr>
                <w:rFonts w:cs="Times New Roman" w:hint="eastAsia"/>
                <w:color w:val="FFFFFF"/>
                <w:szCs w:val="24"/>
                <w:lang w:bidi="ar"/>
              </w:rPr>
              <w:t>Status</w:t>
            </w:r>
          </w:p>
        </w:tc>
        <w:tc>
          <w:tcPr>
            <w:tcW w:w="1082" w:type="pct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Administration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Sponsors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 xml:space="preserve">DC EP with autologous viral </w:t>
            </w:r>
            <w:r w:rsidRPr="00296E41">
              <w:rPr>
                <w:color w:val="000000"/>
                <w:szCs w:val="24"/>
                <w:lang w:bidi="ar"/>
              </w:rPr>
              <w:br/>
              <w:t>Ag and CD40L mRNAs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HIV-1</w:t>
            </w:r>
          </w:p>
        </w:tc>
        <w:tc>
          <w:tcPr>
            <w:tcW w:w="65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NCT00672191</w:t>
            </w:r>
          </w:p>
        </w:tc>
        <w:tc>
          <w:tcPr>
            <w:tcW w:w="505" w:type="pct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II</w:t>
            </w:r>
          </w:p>
        </w:tc>
        <w:tc>
          <w:tcPr>
            <w:tcW w:w="5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>
              <w:rPr>
                <w:rFonts w:cs="Times New Roman" w:hint="eastAsia"/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082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Intradermal injection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</w:p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Argos Therapeutics</w:t>
            </w:r>
          </w:p>
        </w:tc>
      </w:tr>
      <w:tr w:rsidR="00C863C0" w:rsidRPr="00D05C1B" w:rsidTr="00D150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NCT01069809</w:t>
            </w:r>
          </w:p>
        </w:tc>
        <w:tc>
          <w:tcPr>
            <w:tcW w:w="505" w:type="pct"/>
            <w:gridSpan w:val="2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II</w:t>
            </w:r>
          </w:p>
        </w:tc>
        <w:tc>
          <w:tcPr>
            <w:tcW w:w="503" w:type="pct"/>
            <w:vAlign w:val="center"/>
          </w:tcPr>
          <w:p w:rsidR="00C863C0" w:rsidRPr="00296E41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F7D7F">
              <w:rPr>
                <w:color w:val="000000"/>
                <w:szCs w:val="24"/>
              </w:rPr>
              <w:t>Completed</w:t>
            </w:r>
          </w:p>
        </w:tc>
        <w:tc>
          <w:tcPr>
            <w:tcW w:w="1082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NCT02042248</w:t>
            </w:r>
          </w:p>
        </w:tc>
        <w:tc>
          <w:tcPr>
            <w:tcW w:w="505" w:type="pct"/>
            <w:gridSpan w:val="2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AF7D7F">
              <w:rPr>
                <w:color w:val="000000"/>
                <w:szCs w:val="24"/>
              </w:rPr>
              <w:t>Completed</w:t>
            </w:r>
          </w:p>
        </w:tc>
        <w:tc>
          <w:tcPr>
            <w:tcW w:w="1082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DC loaded with viral Ag mRNA with TriMix</w:t>
            </w:r>
          </w:p>
        </w:tc>
        <w:tc>
          <w:tcPr>
            <w:tcW w:w="581" w:type="pct"/>
            <w:vMerge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NCT02888756</w:t>
            </w:r>
          </w:p>
        </w:tc>
        <w:tc>
          <w:tcPr>
            <w:tcW w:w="505" w:type="pct"/>
            <w:gridSpan w:val="2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II</w:t>
            </w:r>
          </w:p>
        </w:tc>
        <w:tc>
          <w:tcPr>
            <w:tcW w:w="503" w:type="pct"/>
            <w:shd w:val="clear" w:color="auto" w:fill="CCECFF"/>
            <w:vAlign w:val="center"/>
          </w:tcPr>
          <w:p w:rsidR="00C863C0" w:rsidRPr="00A94937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E52779">
              <w:rPr>
                <w:rFonts w:cs="Times New Roman"/>
                <w:color w:val="000000"/>
                <w:szCs w:val="24"/>
                <w:lang w:bidi="ar"/>
              </w:rPr>
              <w:t>Terminated</w:t>
            </w:r>
          </w:p>
        </w:tc>
        <w:tc>
          <w:tcPr>
            <w:tcW w:w="1082" w:type="pct"/>
            <w:shd w:val="clear" w:color="auto" w:fill="CCECFF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Intranodal injection</w:t>
            </w:r>
          </w:p>
        </w:tc>
        <w:tc>
          <w:tcPr>
            <w:tcW w:w="690" w:type="pct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Erasmus Medical Center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Viral Ag mRNA with TriMix</w:t>
            </w:r>
          </w:p>
        </w:tc>
        <w:tc>
          <w:tcPr>
            <w:tcW w:w="581" w:type="pct"/>
            <w:vMerge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NCT02413645</w:t>
            </w:r>
          </w:p>
        </w:tc>
        <w:tc>
          <w:tcPr>
            <w:tcW w:w="505" w:type="pct"/>
            <w:gridSpan w:val="2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A94937">
              <w:rPr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Not available</w:t>
            </w:r>
          </w:p>
        </w:tc>
        <w:tc>
          <w:tcPr>
            <w:tcW w:w="690" w:type="pct"/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 xml:space="preserve">Fundació Clínic per la Recerca </w:t>
            </w:r>
            <w:r w:rsidRPr="00296E41">
              <w:rPr>
                <w:color w:val="000000"/>
                <w:szCs w:val="24"/>
                <w:lang w:bidi="ar"/>
              </w:rPr>
              <w:br/>
              <w:t>Biomèdica</w:t>
            </w:r>
          </w:p>
        </w:tc>
      </w:tr>
      <w:tr w:rsidR="00C863C0" w:rsidRPr="00D05C1B" w:rsidTr="00D150B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DC loaded with viral Ag mRNA</w:t>
            </w:r>
          </w:p>
        </w:tc>
        <w:tc>
          <w:tcPr>
            <w:tcW w:w="581" w:type="pct"/>
            <w:vMerge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NCT00833781</w:t>
            </w:r>
          </w:p>
        </w:tc>
        <w:tc>
          <w:tcPr>
            <w:tcW w:w="505" w:type="pct"/>
            <w:gridSpan w:val="2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II</w:t>
            </w:r>
          </w:p>
        </w:tc>
        <w:tc>
          <w:tcPr>
            <w:tcW w:w="503" w:type="pct"/>
            <w:shd w:val="clear" w:color="auto" w:fill="CCECFF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A94937">
              <w:rPr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082" w:type="pct"/>
            <w:shd w:val="clear" w:color="auto" w:fill="CCECFF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Intradermal injection</w:t>
            </w:r>
          </w:p>
        </w:tc>
        <w:tc>
          <w:tcPr>
            <w:tcW w:w="690" w:type="pct"/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Massachusetts General Hospital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 xml:space="preserve">DC EP with autologous viral </w:t>
            </w:r>
            <w:r w:rsidRPr="00296E41">
              <w:rPr>
                <w:color w:val="000000"/>
                <w:szCs w:val="24"/>
                <w:lang w:bidi="ar"/>
              </w:rPr>
              <w:br/>
              <w:t>Ag and CD40L mRNAs</w:t>
            </w:r>
          </w:p>
        </w:tc>
        <w:tc>
          <w:tcPr>
            <w:tcW w:w="581" w:type="pct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NCT00381212</w:t>
            </w:r>
          </w:p>
        </w:tc>
        <w:tc>
          <w:tcPr>
            <w:tcW w:w="50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I, II</w:t>
            </w:r>
          </w:p>
        </w:tc>
        <w:tc>
          <w:tcPr>
            <w:tcW w:w="503" w:type="pct"/>
            <w:tcBorders>
              <w:bottom w:val="nil"/>
            </w:tcBorders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A94937">
              <w:rPr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08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Intradermal injection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McGill University Health Centre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RNActive viral Ag mRNA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Rabies virus</w:t>
            </w:r>
          </w:p>
        </w:tc>
        <w:tc>
          <w:tcPr>
            <w:tcW w:w="659" w:type="pct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NCT02241135</w:t>
            </w:r>
          </w:p>
        </w:tc>
        <w:tc>
          <w:tcPr>
            <w:tcW w:w="505" w:type="pct"/>
            <w:gridSpan w:val="2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503" w:type="pct"/>
            <w:tcBorders>
              <w:bottom w:val="nil"/>
            </w:tcBorders>
            <w:shd w:val="clear" w:color="auto" w:fill="CCECFF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A94937">
              <w:rPr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1082" w:type="pct"/>
            <w:tcBorders>
              <w:bottom w:val="nil"/>
            </w:tcBorders>
            <w:shd w:val="clear" w:color="auto" w:fill="CCECFF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Intradermal injection, Intramuscular injection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CCECFF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CureVac AG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CV7202</w:t>
            </w:r>
          </w:p>
        </w:tc>
        <w:tc>
          <w:tcPr>
            <w:tcW w:w="5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65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NCT03713086</w:t>
            </w:r>
          </w:p>
        </w:tc>
        <w:tc>
          <w:tcPr>
            <w:tcW w:w="50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296E41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503" w:type="pct"/>
            <w:tcBorders>
              <w:bottom w:val="nil"/>
            </w:tcBorders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BB29DA">
              <w:rPr>
                <w:color w:val="000000"/>
                <w:szCs w:val="24"/>
                <w:lang w:bidi="ar"/>
              </w:rPr>
              <w:t>Active, not recruiting</w:t>
            </w:r>
          </w:p>
        </w:tc>
        <w:tc>
          <w:tcPr>
            <w:tcW w:w="108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auto"/>
            <w:vAlign w:val="center"/>
          </w:tcPr>
          <w:p w:rsidR="00C863C0" w:rsidRPr="00296E41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  <w:szCs w:val="24"/>
              </w:rPr>
            </w:pPr>
            <w:r w:rsidRPr="00296E41">
              <w:rPr>
                <w:color w:val="000000"/>
                <w:szCs w:val="24"/>
                <w:lang w:bidi="ar"/>
              </w:rPr>
              <w:t>CureVac</w:t>
            </w:r>
          </w:p>
        </w:tc>
      </w:tr>
      <w:tr w:rsidR="00C863C0" w:rsidRPr="00D05C1B" w:rsidTr="00D150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5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505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nil"/>
              <w:bottom w:val="single" w:sz="12" w:space="0" w:color="auto"/>
            </w:tcBorders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82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</w:p>
        </w:tc>
      </w:tr>
    </w:tbl>
    <w:p w:rsidR="00C863C0" w:rsidRDefault="00C863C0" w:rsidP="00C863C0"/>
    <w:p w:rsidR="00C863C0" w:rsidRPr="005A0800" w:rsidRDefault="00C863C0" w:rsidP="00C863C0">
      <w:pPr>
        <w:rPr>
          <w:rFonts w:cs="Times New Roman"/>
          <w:szCs w:val="24"/>
        </w:rPr>
      </w:pPr>
      <w:r>
        <w:rPr>
          <w:rFonts w:hint="eastAsia"/>
          <w:b/>
          <w:szCs w:val="24"/>
        </w:rPr>
        <w:lastRenderedPageBreak/>
        <w:t xml:space="preserve">Table 1(cont.): </w:t>
      </w:r>
      <w:r>
        <w:rPr>
          <w:b/>
          <w:szCs w:val="24"/>
        </w:rPr>
        <w:t xml:space="preserve">Clinical trials of nucleic acid vaccines </w:t>
      </w:r>
      <w:r>
        <w:rPr>
          <w:rFonts w:hint="eastAsia"/>
          <w:b/>
          <w:szCs w:val="24"/>
        </w:rPr>
        <w:t>against</w:t>
      </w:r>
      <w:r>
        <w:rPr>
          <w:b/>
          <w:szCs w:val="24"/>
        </w:rPr>
        <w:t xml:space="preserve"> infectious diseases</w:t>
      </w:r>
    </w:p>
    <w:tbl>
      <w:tblPr>
        <w:tblStyle w:val="-5"/>
        <w:tblW w:w="5000" w:type="pct"/>
        <w:tblLayout w:type="fixed"/>
        <w:tblLook w:val="04A0" w:firstRow="1" w:lastRow="0" w:firstColumn="1" w:lastColumn="0" w:noHBand="0" w:noVBand="1"/>
      </w:tblPr>
      <w:tblGrid>
        <w:gridCol w:w="1624"/>
        <w:gridCol w:w="1163"/>
        <w:gridCol w:w="1496"/>
        <w:gridCol w:w="998"/>
        <w:gridCol w:w="1163"/>
        <w:gridCol w:w="2161"/>
        <w:gridCol w:w="1388"/>
      </w:tblGrid>
      <w:tr w:rsidR="00C863C0" w:rsidRPr="00D05C1B" w:rsidTr="00D1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Types(</w:t>
            </w:r>
            <w:r>
              <w:rPr>
                <w:rFonts w:cs="Times New Roman" w:hint="eastAsia"/>
                <w:color w:val="FFFFFF"/>
                <w:szCs w:val="24"/>
                <w:lang w:bidi="ar"/>
              </w:rPr>
              <w:t>R</w:t>
            </w:r>
            <w:r w:rsidRPr="00D05C1B">
              <w:rPr>
                <w:rFonts w:cs="Times New Roman"/>
                <w:color w:val="FFFFFF"/>
                <w:szCs w:val="24"/>
                <w:lang w:bidi="ar"/>
              </w:rPr>
              <w:t>NA vaccine)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Disease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Trial numbers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Phase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  <w:lang w:bidi="ar"/>
              </w:rPr>
            </w:pPr>
            <w:r>
              <w:rPr>
                <w:rFonts w:cs="Times New Roman" w:hint="eastAsia"/>
                <w:color w:val="FFFFFF"/>
                <w:szCs w:val="24"/>
                <w:lang w:bidi="ar"/>
              </w:rPr>
              <w:t>Status</w:t>
            </w:r>
          </w:p>
        </w:tc>
        <w:tc>
          <w:tcPr>
            <w:tcW w:w="21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Administration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Cs w:val="24"/>
              </w:rPr>
            </w:pPr>
            <w:r w:rsidRPr="00D05C1B">
              <w:rPr>
                <w:rFonts w:cs="Times New Roman"/>
                <w:color w:val="FFFFFF"/>
                <w:szCs w:val="24"/>
                <w:lang w:bidi="ar"/>
              </w:rPr>
              <w:t>Sponsors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mRNA‐1893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</w:tcBorders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Zika virus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NCT04064905</w:t>
            </w: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9526F1">
              <w:rPr>
                <w:color w:val="000000"/>
                <w:szCs w:val="24"/>
                <w:lang w:bidi="ar"/>
              </w:rPr>
              <w:t>Active, not recruiting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Not specified</w:t>
            </w:r>
          </w:p>
        </w:tc>
        <w:tc>
          <w:tcPr>
            <w:tcW w:w="13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 xml:space="preserve">Moderna/Biomedical </w:t>
            </w:r>
            <w:r w:rsidRPr="0046621C">
              <w:rPr>
                <w:color w:val="000000"/>
                <w:szCs w:val="24"/>
                <w:lang w:bidi="ar"/>
              </w:rPr>
              <w:br/>
              <w:t>Advanced Research and Development Authority</w:t>
            </w:r>
          </w:p>
        </w:tc>
      </w:tr>
      <w:tr w:rsidR="00C863C0" w:rsidRPr="00D05C1B" w:rsidTr="00D150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 xml:space="preserve">Nucleoside-modified viral Ag </w:t>
            </w:r>
            <w:r w:rsidRPr="0046621C">
              <w:rPr>
                <w:color w:val="000000"/>
                <w:szCs w:val="24"/>
                <w:lang w:bidi="ar"/>
              </w:rPr>
              <w:br/>
              <w:t>mRNA</w:t>
            </w:r>
          </w:p>
        </w:tc>
        <w:tc>
          <w:tcPr>
            <w:tcW w:w="1163" w:type="dxa"/>
            <w:vMerge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496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NCT03014089</w:t>
            </w:r>
          </w:p>
        </w:tc>
        <w:tc>
          <w:tcPr>
            <w:tcW w:w="998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I, II</w:t>
            </w:r>
          </w:p>
        </w:tc>
        <w:tc>
          <w:tcPr>
            <w:tcW w:w="1163" w:type="dxa"/>
            <w:shd w:val="clear" w:color="auto" w:fill="CCECFF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A94937">
              <w:rPr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2161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Intramuscular injection</w:t>
            </w:r>
          </w:p>
        </w:tc>
        <w:tc>
          <w:tcPr>
            <w:tcW w:w="1388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46621C">
              <w:rPr>
                <w:color w:val="000000"/>
                <w:szCs w:val="24"/>
                <w:lang w:bidi="ar"/>
              </w:rPr>
              <w:t>Moderna</w:t>
            </w:r>
          </w:p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Therapeutics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mRNA‐1653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Human metapneumovirus</w:t>
            </w:r>
            <w:r w:rsidRPr="0046621C">
              <w:rPr>
                <w:color w:val="000000"/>
                <w:szCs w:val="24"/>
                <w:lang w:bidi="ar"/>
              </w:rPr>
              <w:br/>
              <w:t>Human Parainfluenza virus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NCT03392389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A94937">
              <w:rPr>
                <w:color w:val="000000"/>
                <w:szCs w:val="24"/>
                <w:lang w:bidi="ar"/>
              </w:rPr>
              <w:t>Completed</w:t>
            </w: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Not specified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rFonts w:hint="eastAsia"/>
                <w:color w:val="000000"/>
                <w:szCs w:val="24"/>
              </w:rPr>
              <w:t>ModernaTX, Inc</w:t>
            </w:r>
          </w:p>
        </w:tc>
      </w:tr>
      <w:tr w:rsidR="00C863C0" w:rsidRPr="00D05C1B" w:rsidTr="00D150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rPr>
                <w:color w:val="000000"/>
                <w:szCs w:val="24"/>
                <w:lang w:bidi="ar"/>
              </w:rPr>
            </w:pPr>
          </w:p>
        </w:tc>
        <w:tc>
          <w:tcPr>
            <w:tcW w:w="1163" w:type="dxa"/>
            <w:vMerge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NCT03829384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D74955">
              <w:rPr>
                <w:color w:val="000000"/>
                <w:szCs w:val="24"/>
                <w:lang w:bidi="ar"/>
              </w:rPr>
              <w:t>Active, not recruiting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Parenteral</w:t>
            </w:r>
          </w:p>
        </w:tc>
        <w:tc>
          <w:tcPr>
            <w:tcW w:w="1388" w:type="dxa"/>
            <w:vMerge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mRNA‐1944</w:t>
            </w:r>
          </w:p>
        </w:tc>
        <w:tc>
          <w:tcPr>
            <w:tcW w:w="1163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Chikungunya virus</w:t>
            </w:r>
          </w:p>
        </w:tc>
        <w:tc>
          <w:tcPr>
            <w:tcW w:w="1496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NCT04144348</w:t>
            </w:r>
          </w:p>
        </w:tc>
        <w:tc>
          <w:tcPr>
            <w:tcW w:w="998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shd w:val="clear" w:color="auto" w:fill="CCECFF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"/>
              </w:rPr>
            </w:pPr>
            <w:r w:rsidRPr="00D74955">
              <w:rPr>
                <w:color w:val="000000"/>
                <w:szCs w:val="24"/>
                <w:lang w:bidi="ar"/>
              </w:rPr>
              <w:t>Recruiting</w:t>
            </w:r>
          </w:p>
        </w:tc>
        <w:tc>
          <w:tcPr>
            <w:tcW w:w="2161" w:type="dxa"/>
            <w:shd w:val="clear" w:color="auto" w:fill="CCECFF"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Parenteral</w:t>
            </w:r>
          </w:p>
        </w:tc>
        <w:tc>
          <w:tcPr>
            <w:tcW w:w="1388" w:type="dxa"/>
            <w:shd w:val="clear" w:color="auto" w:fill="CCECFF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Moderna</w:t>
            </w:r>
          </w:p>
        </w:tc>
      </w:tr>
      <w:tr w:rsidR="00C863C0" w:rsidRPr="00D05C1B" w:rsidTr="00D150B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mRNA-1273</w:t>
            </w: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COVID-19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NCT04283461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74955">
              <w:rPr>
                <w:color w:val="000000"/>
                <w:szCs w:val="24"/>
              </w:rPr>
              <w:t>Active, not recruiting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863C0" w:rsidRPr="0046621C" w:rsidRDefault="00C863C0" w:rsidP="00D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rFonts w:hint="eastAsia"/>
                <w:color w:val="000000"/>
                <w:szCs w:val="24"/>
              </w:rPr>
              <w:t>Intramuscular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C863C0" w:rsidRPr="0046621C" w:rsidRDefault="00C863C0" w:rsidP="00D150B7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  <w:r w:rsidRPr="0046621C">
              <w:rPr>
                <w:color w:val="000000"/>
                <w:szCs w:val="24"/>
                <w:lang w:bidi="ar"/>
              </w:rPr>
              <w:t>Moderna/NIAID</w:t>
            </w:r>
          </w:p>
        </w:tc>
      </w:tr>
      <w:tr w:rsidR="00C863C0" w:rsidRPr="00D05C1B" w:rsidTr="00D1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6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63C0" w:rsidRPr="00D05C1B" w:rsidRDefault="00C863C0" w:rsidP="00D150B7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 w:cs="Times New Roman"/>
                <w:color w:val="000000"/>
                <w:szCs w:val="24"/>
              </w:rPr>
            </w:pPr>
          </w:p>
        </w:tc>
      </w:tr>
    </w:tbl>
    <w:p w:rsidR="00C863C0" w:rsidRDefault="00C863C0" w:rsidP="00C863C0"/>
    <w:p w:rsidR="00C863C0" w:rsidRDefault="00C863C0" w:rsidP="00C863C0"/>
    <w:p w:rsidR="00C863C0" w:rsidRDefault="00C863C0" w:rsidP="00C863C0"/>
    <w:p w:rsidR="00C863C0" w:rsidRDefault="00C863C0" w:rsidP="00C863C0">
      <w:pPr>
        <w:rPr>
          <w:b/>
          <w:szCs w:val="24"/>
          <w:lang w:eastAsia="zh-CN"/>
        </w:rPr>
      </w:pPr>
    </w:p>
    <w:p w:rsidR="00C863C0" w:rsidRDefault="00C863C0" w:rsidP="00C863C0">
      <w:pPr>
        <w:rPr>
          <w:b/>
          <w:szCs w:val="24"/>
          <w:lang w:eastAsia="zh-CN"/>
        </w:rPr>
      </w:pPr>
    </w:p>
    <w:p w:rsidR="00C863C0" w:rsidRDefault="00C863C0" w:rsidP="00C863C0">
      <w:pPr>
        <w:rPr>
          <w:b/>
          <w:szCs w:val="24"/>
          <w:lang w:eastAsia="zh-CN"/>
        </w:rPr>
      </w:pPr>
      <w:bookmarkStart w:id="0" w:name="_GoBack"/>
      <w:bookmarkEnd w:id="0"/>
    </w:p>
    <w:sectPr w:rsidR="00C863C0" w:rsidSect="00D537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20" w:rsidRDefault="00C60420">
      <w:pPr>
        <w:spacing w:before="0" w:after="0"/>
      </w:pPr>
      <w:r>
        <w:separator/>
      </w:r>
    </w:p>
  </w:endnote>
  <w:endnote w:type="continuationSeparator" w:id="0">
    <w:p w:rsidR="00C60420" w:rsidRDefault="00C60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23" w:rsidRPr="00577C4C" w:rsidRDefault="00C863C0">
    <w:pPr>
      <w:pStyle w:val="a8"/>
      <w:rPr>
        <w:color w:val="C00000"/>
        <w:szCs w:val="24"/>
      </w:rPr>
    </w:pPr>
    <w:r w:rsidRPr="00577C4C">
      <w:rPr>
        <w:noProof/>
        <w:color w:val="C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35DA6" wp14:editId="237C66D3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D23" w:rsidRPr="00E9561B" w:rsidRDefault="00C863C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7B7D23" w:rsidRPr="00E9561B" w:rsidRDefault="00C863C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164FF" wp14:editId="5D0C7B4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7D23" w:rsidRPr="00577C4C" w:rsidRDefault="00C863C0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1263B6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7B7D23" w:rsidRPr="00577C4C" w:rsidRDefault="00C863C0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1263B6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23" w:rsidRPr="00577C4C" w:rsidRDefault="00C863C0">
    <w:pPr>
      <w:pStyle w:val="a8"/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ADCE0" wp14:editId="30186A0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7D23" w:rsidRPr="00577C4C" w:rsidRDefault="00C863C0">
                          <w:pPr>
                            <w:pStyle w:val="a8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E4280" w:rsidRPr="00AE4280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7B7D23" w:rsidRPr="00577C4C" w:rsidRDefault="00C863C0">
                    <w:pPr>
                      <w:pStyle w:val="a8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E4280" w:rsidRPr="00AE4280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20" w:rsidRDefault="00C60420">
      <w:pPr>
        <w:spacing w:before="0" w:after="0"/>
      </w:pPr>
      <w:r>
        <w:separator/>
      </w:r>
    </w:p>
  </w:footnote>
  <w:footnote w:type="continuationSeparator" w:id="0">
    <w:p w:rsidR="00C60420" w:rsidRDefault="00C60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23" w:rsidRPr="007E3148" w:rsidRDefault="00C863C0" w:rsidP="00A53000">
    <w:pPr>
      <w:pStyle w:val="a7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23" w:rsidRPr="00A53000" w:rsidRDefault="00C863C0" w:rsidP="00A53000">
    <w:pPr>
      <w:pStyle w:val="a7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23" w:rsidRDefault="00C863C0" w:rsidP="00A53000">
    <w:pPr>
      <w:pStyle w:val="a7"/>
    </w:pPr>
    <w:r w:rsidRPr="005A1D84">
      <w:rPr>
        <w:noProof/>
        <w:color w:val="63B86C" w:themeColor="background1" w:themeShade="A6"/>
        <w:lang w:eastAsia="zh-CN"/>
      </w:rPr>
      <w:drawing>
        <wp:inline distT="0" distB="0" distL="0" distR="0" wp14:anchorId="7CF18A91" wp14:editId="595DCD38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930FB3"/>
    <w:multiLevelType w:val="multilevel"/>
    <w:tmpl w:val="0C930FB3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B5D31"/>
    <w:multiLevelType w:val="hybridMultilevel"/>
    <w:tmpl w:val="F5345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C6F29"/>
    <w:multiLevelType w:val="multilevel"/>
    <w:tmpl w:val="C6A8CCEA"/>
    <w:numStyleLink w:val="Headings"/>
  </w:abstractNum>
  <w:abstractNum w:abstractNumId="19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5"/>
  </w:num>
  <w:num w:numId="15">
    <w:abstractNumId w:val="12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C0"/>
    <w:rsid w:val="00AE4280"/>
    <w:rsid w:val="00C60420"/>
    <w:rsid w:val="00C863C0"/>
    <w:rsid w:val="00D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C0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Char"/>
    <w:uiPriority w:val="2"/>
    <w:qFormat/>
    <w:rsid w:val="00C863C0"/>
    <w:pPr>
      <w:numPr>
        <w:numId w:val="17"/>
      </w:numPr>
      <w:tabs>
        <w:tab w:val="clear" w:pos="2552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C863C0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C863C0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C863C0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C863C0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C863C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标题 2 Char"/>
    <w:basedOn w:val="a1"/>
    <w:link w:val="2"/>
    <w:uiPriority w:val="2"/>
    <w:rsid w:val="00C863C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标题 3 Char"/>
    <w:basedOn w:val="a1"/>
    <w:link w:val="3"/>
    <w:uiPriority w:val="2"/>
    <w:rsid w:val="00C863C0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Char">
    <w:name w:val="标题 4 Char"/>
    <w:basedOn w:val="a1"/>
    <w:link w:val="4"/>
    <w:uiPriority w:val="2"/>
    <w:rsid w:val="00C863C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Char">
    <w:name w:val="标题 5 Char"/>
    <w:basedOn w:val="a1"/>
    <w:link w:val="5"/>
    <w:uiPriority w:val="2"/>
    <w:rsid w:val="00C863C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styleId="a4">
    <w:name w:val="Emphasis"/>
    <w:basedOn w:val="a1"/>
    <w:uiPriority w:val="20"/>
    <w:qFormat/>
    <w:rsid w:val="00C863C0"/>
    <w:rPr>
      <w:rFonts w:ascii="Times New Roman" w:hAnsi="Times New Roman"/>
      <w:i/>
      <w:iCs/>
    </w:rPr>
  </w:style>
  <w:style w:type="paragraph" w:styleId="a">
    <w:name w:val="List Paragraph"/>
    <w:basedOn w:val="a0"/>
    <w:uiPriority w:val="99"/>
    <w:qFormat/>
    <w:rsid w:val="00C863C0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863C0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C863C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C863C0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页眉 Char"/>
    <w:basedOn w:val="a1"/>
    <w:link w:val="a7"/>
    <w:uiPriority w:val="99"/>
    <w:rsid w:val="00C863C0"/>
    <w:rPr>
      <w:rFonts w:ascii="Times New Roman" w:hAnsi="Times New Roman"/>
      <w:b/>
      <w:kern w:val="0"/>
      <w:sz w:val="24"/>
      <w:lang w:eastAsia="en-US"/>
    </w:rPr>
  </w:style>
  <w:style w:type="paragraph" w:styleId="a8">
    <w:name w:val="footer"/>
    <w:basedOn w:val="a0"/>
    <w:link w:val="Char0"/>
    <w:uiPriority w:val="99"/>
    <w:unhideWhenUsed/>
    <w:rsid w:val="00C863C0"/>
    <w:pPr>
      <w:tabs>
        <w:tab w:val="center" w:pos="4844"/>
        <w:tab w:val="right" w:pos="9689"/>
      </w:tabs>
      <w:spacing w:after="0"/>
    </w:pPr>
  </w:style>
  <w:style w:type="character" w:customStyle="1" w:styleId="Char0">
    <w:name w:val="页脚 Char"/>
    <w:basedOn w:val="a1"/>
    <w:link w:val="a8"/>
    <w:uiPriority w:val="99"/>
    <w:rsid w:val="00C863C0"/>
    <w:rPr>
      <w:rFonts w:ascii="Times New Roman" w:hAnsi="Times New Roman"/>
      <w:kern w:val="0"/>
      <w:sz w:val="24"/>
      <w:lang w:eastAsia="en-US"/>
    </w:rPr>
  </w:style>
  <w:style w:type="table" w:styleId="a9">
    <w:name w:val="Table Grid"/>
    <w:basedOn w:val="a2"/>
    <w:uiPriority w:val="59"/>
    <w:rsid w:val="00C863C0"/>
    <w:rPr>
      <w:rFonts w:asciiTheme="majorHAnsi" w:hAnsiTheme="majorHAnsi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Char1"/>
    <w:uiPriority w:val="99"/>
    <w:semiHidden/>
    <w:unhideWhenUsed/>
    <w:rsid w:val="00C863C0"/>
    <w:pPr>
      <w:spacing w:after="0"/>
    </w:pPr>
    <w:rPr>
      <w:sz w:val="20"/>
      <w:szCs w:val="20"/>
    </w:rPr>
  </w:style>
  <w:style w:type="character" w:customStyle="1" w:styleId="Char1">
    <w:name w:val="脚注文本 Char"/>
    <w:basedOn w:val="a1"/>
    <w:link w:val="aa"/>
    <w:uiPriority w:val="99"/>
    <w:semiHidden/>
    <w:rsid w:val="00C863C0"/>
    <w:rPr>
      <w:rFonts w:ascii="Times New Roman" w:hAnsi="Times New Roman"/>
      <w:kern w:val="0"/>
      <w:sz w:val="20"/>
      <w:szCs w:val="20"/>
      <w:lang w:eastAsia="en-US"/>
    </w:rPr>
  </w:style>
  <w:style w:type="character" w:styleId="ab">
    <w:name w:val="footnote reference"/>
    <w:basedOn w:val="a1"/>
    <w:uiPriority w:val="99"/>
    <w:semiHidden/>
    <w:unhideWhenUsed/>
    <w:rsid w:val="00C863C0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C863C0"/>
    <w:pPr>
      <w:keepNext/>
    </w:pPr>
    <w:rPr>
      <w:rFonts w:cs="Times New Roman"/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C863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e"/>
    <w:uiPriority w:val="99"/>
    <w:semiHidden/>
    <w:rsid w:val="00C863C0"/>
    <w:rPr>
      <w:rFonts w:ascii="Tahoma" w:hAnsi="Tahoma" w:cs="Tahoma"/>
      <w:kern w:val="0"/>
      <w:sz w:val="16"/>
      <w:szCs w:val="16"/>
      <w:lang w:eastAsia="en-US"/>
    </w:rPr>
  </w:style>
  <w:style w:type="character" w:styleId="af">
    <w:name w:val="line number"/>
    <w:basedOn w:val="a1"/>
    <w:uiPriority w:val="99"/>
    <w:semiHidden/>
    <w:unhideWhenUsed/>
    <w:rsid w:val="00C863C0"/>
  </w:style>
  <w:style w:type="paragraph" w:styleId="af0">
    <w:name w:val="endnote text"/>
    <w:basedOn w:val="a0"/>
    <w:link w:val="Char3"/>
    <w:uiPriority w:val="99"/>
    <w:semiHidden/>
    <w:unhideWhenUsed/>
    <w:rsid w:val="00C863C0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f0"/>
    <w:uiPriority w:val="99"/>
    <w:semiHidden/>
    <w:rsid w:val="00C863C0"/>
    <w:rPr>
      <w:rFonts w:ascii="Times New Roman" w:hAnsi="Times New Roman"/>
      <w:kern w:val="0"/>
      <w:sz w:val="20"/>
      <w:szCs w:val="20"/>
      <w:lang w:eastAsia="en-US"/>
    </w:rPr>
  </w:style>
  <w:style w:type="character" w:styleId="af1">
    <w:name w:val="endnote reference"/>
    <w:basedOn w:val="a1"/>
    <w:uiPriority w:val="99"/>
    <w:semiHidden/>
    <w:unhideWhenUsed/>
    <w:rsid w:val="00C863C0"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C863C0"/>
    <w:rPr>
      <w:sz w:val="16"/>
      <w:szCs w:val="16"/>
    </w:rPr>
  </w:style>
  <w:style w:type="paragraph" w:styleId="af3">
    <w:name w:val="annotation text"/>
    <w:basedOn w:val="a0"/>
    <w:link w:val="Char4"/>
    <w:uiPriority w:val="99"/>
    <w:semiHidden/>
    <w:unhideWhenUsed/>
    <w:rsid w:val="00C863C0"/>
    <w:rPr>
      <w:sz w:val="20"/>
      <w:szCs w:val="20"/>
    </w:rPr>
  </w:style>
  <w:style w:type="character" w:customStyle="1" w:styleId="Char4">
    <w:name w:val="批注文字 Char"/>
    <w:basedOn w:val="a1"/>
    <w:link w:val="af3"/>
    <w:uiPriority w:val="99"/>
    <w:semiHidden/>
    <w:rsid w:val="00C863C0"/>
    <w:rPr>
      <w:rFonts w:ascii="Times New Roman" w:hAnsi="Times New Roman"/>
      <w:kern w:val="0"/>
      <w:sz w:val="20"/>
      <w:szCs w:val="20"/>
      <w:lang w:eastAsia="en-US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C863C0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C863C0"/>
    <w:rPr>
      <w:rFonts w:ascii="Times New Roman" w:hAnsi="Times New Roman"/>
      <w:b/>
      <w:bCs/>
      <w:kern w:val="0"/>
      <w:sz w:val="20"/>
      <w:szCs w:val="20"/>
      <w:lang w:eastAsia="en-US"/>
    </w:rPr>
  </w:style>
  <w:style w:type="character" w:styleId="af5">
    <w:name w:val="Hyperlink"/>
    <w:basedOn w:val="a1"/>
    <w:uiPriority w:val="99"/>
    <w:unhideWhenUsed/>
    <w:qFormat/>
    <w:rsid w:val="00C863C0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C863C0"/>
    <w:rPr>
      <w:color w:val="800080" w:themeColor="followedHyperlink"/>
      <w:u w:val="single"/>
    </w:rPr>
  </w:style>
  <w:style w:type="paragraph" w:styleId="af7">
    <w:name w:val="Title"/>
    <w:basedOn w:val="a0"/>
    <w:next w:val="a0"/>
    <w:link w:val="Char6"/>
    <w:qFormat/>
    <w:rsid w:val="00C863C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6">
    <w:name w:val="标题 Char"/>
    <w:basedOn w:val="a1"/>
    <w:link w:val="af7"/>
    <w:rsid w:val="00C863C0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C863C0"/>
    <w:pPr>
      <w:spacing w:before="240"/>
    </w:pPr>
    <w:rPr>
      <w:rFonts w:cs="Times New Roman"/>
      <w:b/>
      <w:szCs w:val="24"/>
    </w:rPr>
  </w:style>
  <w:style w:type="character" w:customStyle="1" w:styleId="Char7">
    <w:name w:val="副标题 Char"/>
    <w:basedOn w:val="a1"/>
    <w:link w:val="af8"/>
    <w:uiPriority w:val="99"/>
    <w:rsid w:val="00C863C0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d">
    <w:name w:val="No Spacing"/>
    <w:uiPriority w:val="99"/>
    <w:unhideWhenUsed/>
    <w:qFormat/>
    <w:rsid w:val="00C863C0"/>
    <w:rPr>
      <w:rFonts w:ascii="Times New Roman" w:hAnsi="Times New Roman"/>
      <w:kern w:val="0"/>
      <w:sz w:val="24"/>
      <w:lang w:eastAsia="en-US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C863C0"/>
  </w:style>
  <w:style w:type="character" w:styleId="af9">
    <w:name w:val="Subtle Emphasis"/>
    <w:basedOn w:val="a1"/>
    <w:uiPriority w:val="19"/>
    <w:qFormat/>
    <w:rsid w:val="00C863C0"/>
    <w:rPr>
      <w:rFonts w:ascii="Times New Roman" w:hAnsi="Times New Roman"/>
      <w:i/>
      <w:iCs/>
      <w:color w:val="404040" w:themeColor="text1" w:themeTint="BF"/>
    </w:rPr>
  </w:style>
  <w:style w:type="character" w:styleId="afa">
    <w:name w:val="Intense Emphasis"/>
    <w:basedOn w:val="a1"/>
    <w:uiPriority w:val="21"/>
    <w:unhideWhenUsed/>
    <w:rsid w:val="00C863C0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863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b"/>
    <w:uiPriority w:val="29"/>
    <w:rsid w:val="00C863C0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afc">
    <w:name w:val="Intense Reference"/>
    <w:basedOn w:val="a1"/>
    <w:uiPriority w:val="32"/>
    <w:qFormat/>
    <w:rsid w:val="00C863C0"/>
    <w:rPr>
      <w:b/>
      <w:bCs/>
      <w:smallCaps/>
      <w:color w:val="auto"/>
      <w:spacing w:val="5"/>
    </w:rPr>
  </w:style>
  <w:style w:type="character" w:styleId="afd">
    <w:name w:val="Book Title"/>
    <w:basedOn w:val="a1"/>
    <w:uiPriority w:val="33"/>
    <w:qFormat/>
    <w:rsid w:val="00C863C0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C863C0"/>
    <w:pPr>
      <w:numPr>
        <w:numId w:val="21"/>
      </w:numPr>
    </w:pPr>
  </w:style>
  <w:style w:type="paragraph" w:styleId="afe">
    <w:name w:val="Revision"/>
    <w:hidden/>
    <w:uiPriority w:val="99"/>
    <w:semiHidden/>
    <w:rsid w:val="00C863C0"/>
    <w:rPr>
      <w:rFonts w:ascii="Times New Roman" w:hAnsi="Times New Roman"/>
      <w:kern w:val="0"/>
      <w:sz w:val="24"/>
      <w:lang w:eastAsia="en-US"/>
    </w:rPr>
  </w:style>
  <w:style w:type="paragraph" w:customStyle="1" w:styleId="EndNoteBibliographyTitle">
    <w:name w:val="EndNote Bibliography Title"/>
    <w:basedOn w:val="a0"/>
    <w:link w:val="EndNoteBibliographyTitleChar"/>
    <w:rsid w:val="00C863C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C863C0"/>
    <w:rPr>
      <w:rFonts w:ascii="Times New Roman" w:hAnsi="Times New Roman" w:cs="Times New Roman"/>
      <w:noProof/>
      <w:kern w:val="0"/>
      <w:sz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rsid w:val="00C863C0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C863C0"/>
    <w:rPr>
      <w:rFonts w:ascii="Times New Roman" w:hAnsi="Times New Roman" w:cs="Times New Roman"/>
      <w:noProof/>
      <w:kern w:val="0"/>
      <w:sz w:val="24"/>
      <w:lang w:eastAsia="en-US"/>
    </w:rPr>
  </w:style>
  <w:style w:type="character" w:customStyle="1" w:styleId="15">
    <w:name w:val="15"/>
    <w:basedOn w:val="a1"/>
    <w:qFormat/>
    <w:rsid w:val="00C863C0"/>
    <w:rPr>
      <w:rFonts w:ascii="Times New Roman" w:hAnsi="Times New Roman" w:cs="Times New Roman" w:hint="default"/>
      <w:sz w:val="16"/>
      <w:szCs w:val="16"/>
    </w:rPr>
  </w:style>
  <w:style w:type="table" w:styleId="-5">
    <w:name w:val="Light Shading Accent 5"/>
    <w:basedOn w:val="a2"/>
    <w:uiPriority w:val="60"/>
    <w:rsid w:val="00C863C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C0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Char"/>
    <w:uiPriority w:val="2"/>
    <w:qFormat/>
    <w:rsid w:val="00C863C0"/>
    <w:pPr>
      <w:numPr>
        <w:numId w:val="17"/>
      </w:numPr>
      <w:tabs>
        <w:tab w:val="clear" w:pos="2552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C863C0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C863C0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C863C0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C863C0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C863C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Char">
    <w:name w:val="标题 2 Char"/>
    <w:basedOn w:val="a1"/>
    <w:link w:val="2"/>
    <w:uiPriority w:val="2"/>
    <w:rsid w:val="00C863C0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Char">
    <w:name w:val="标题 3 Char"/>
    <w:basedOn w:val="a1"/>
    <w:link w:val="3"/>
    <w:uiPriority w:val="2"/>
    <w:rsid w:val="00C863C0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Char">
    <w:name w:val="标题 4 Char"/>
    <w:basedOn w:val="a1"/>
    <w:link w:val="4"/>
    <w:uiPriority w:val="2"/>
    <w:rsid w:val="00C863C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Char">
    <w:name w:val="标题 5 Char"/>
    <w:basedOn w:val="a1"/>
    <w:link w:val="5"/>
    <w:uiPriority w:val="2"/>
    <w:rsid w:val="00C863C0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styleId="a4">
    <w:name w:val="Emphasis"/>
    <w:basedOn w:val="a1"/>
    <w:uiPriority w:val="20"/>
    <w:qFormat/>
    <w:rsid w:val="00C863C0"/>
    <w:rPr>
      <w:rFonts w:ascii="Times New Roman" w:hAnsi="Times New Roman"/>
      <w:i/>
      <w:iCs/>
    </w:rPr>
  </w:style>
  <w:style w:type="paragraph" w:styleId="a">
    <w:name w:val="List Paragraph"/>
    <w:basedOn w:val="a0"/>
    <w:uiPriority w:val="99"/>
    <w:qFormat/>
    <w:rsid w:val="00C863C0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a5">
    <w:name w:val="Strong"/>
    <w:basedOn w:val="a1"/>
    <w:uiPriority w:val="22"/>
    <w:qFormat/>
    <w:rsid w:val="00C863C0"/>
    <w:rPr>
      <w:rFonts w:ascii="Times New Roman" w:hAnsi="Times New Roman"/>
      <w:b/>
      <w:bCs/>
    </w:rPr>
  </w:style>
  <w:style w:type="paragraph" w:styleId="a6">
    <w:name w:val="Normal (Web)"/>
    <w:basedOn w:val="a0"/>
    <w:uiPriority w:val="99"/>
    <w:unhideWhenUsed/>
    <w:rsid w:val="00C863C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7">
    <w:name w:val="header"/>
    <w:basedOn w:val="a0"/>
    <w:link w:val="Char"/>
    <w:uiPriority w:val="99"/>
    <w:unhideWhenUsed/>
    <w:rsid w:val="00C863C0"/>
    <w:pPr>
      <w:tabs>
        <w:tab w:val="center" w:pos="4844"/>
        <w:tab w:val="right" w:pos="9689"/>
      </w:tabs>
    </w:pPr>
    <w:rPr>
      <w:b/>
    </w:rPr>
  </w:style>
  <w:style w:type="character" w:customStyle="1" w:styleId="Char">
    <w:name w:val="页眉 Char"/>
    <w:basedOn w:val="a1"/>
    <w:link w:val="a7"/>
    <w:uiPriority w:val="99"/>
    <w:rsid w:val="00C863C0"/>
    <w:rPr>
      <w:rFonts w:ascii="Times New Roman" w:hAnsi="Times New Roman"/>
      <w:b/>
      <w:kern w:val="0"/>
      <w:sz w:val="24"/>
      <w:lang w:eastAsia="en-US"/>
    </w:rPr>
  </w:style>
  <w:style w:type="paragraph" w:styleId="a8">
    <w:name w:val="footer"/>
    <w:basedOn w:val="a0"/>
    <w:link w:val="Char0"/>
    <w:uiPriority w:val="99"/>
    <w:unhideWhenUsed/>
    <w:rsid w:val="00C863C0"/>
    <w:pPr>
      <w:tabs>
        <w:tab w:val="center" w:pos="4844"/>
        <w:tab w:val="right" w:pos="9689"/>
      </w:tabs>
      <w:spacing w:after="0"/>
    </w:pPr>
  </w:style>
  <w:style w:type="character" w:customStyle="1" w:styleId="Char0">
    <w:name w:val="页脚 Char"/>
    <w:basedOn w:val="a1"/>
    <w:link w:val="a8"/>
    <w:uiPriority w:val="99"/>
    <w:rsid w:val="00C863C0"/>
    <w:rPr>
      <w:rFonts w:ascii="Times New Roman" w:hAnsi="Times New Roman"/>
      <w:kern w:val="0"/>
      <w:sz w:val="24"/>
      <w:lang w:eastAsia="en-US"/>
    </w:rPr>
  </w:style>
  <w:style w:type="table" w:styleId="a9">
    <w:name w:val="Table Grid"/>
    <w:basedOn w:val="a2"/>
    <w:uiPriority w:val="59"/>
    <w:rsid w:val="00C863C0"/>
    <w:rPr>
      <w:rFonts w:asciiTheme="majorHAnsi" w:hAnsiTheme="majorHAnsi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Char1"/>
    <w:uiPriority w:val="99"/>
    <w:semiHidden/>
    <w:unhideWhenUsed/>
    <w:rsid w:val="00C863C0"/>
    <w:pPr>
      <w:spacing w:after="0"/>
    </w:pPr>
    <w:rPr>
      <w:sz w:val="20"/>
      <w:szCs w:val="20"/>
    </w:rPr>
  </w:style>
  <w:style w:type="character" w:customStyle="1" w:styleId="Char1">
    <w:name w:val="脚注文本 Char"/>
    <w:basedOn w:val="a1"/>
    <w:link w:val="aa"/>
    <w:uiPriority w:val="99"/>
    <w:semiHidden/>
    <w:rsid w:val="00C863C0"/>
    <w:rPr>
      <w:rFonts w:ascii="Times New Roman" w:hAnsi="Times New Roman"/>
      <w:kern w:val="0"/>
      <w:sz w:val="20"/>
      <w:szCs w:val="20"/>
      <w:lang w:eastAsia="en-US"/>
    </w:rPr>
  </w:style>
  <w:style w:type="character" w:styleId="ab">
    <w:name w:val="footnote reference"/>
    <w:basedOn w:val="a1"/>
    <w:uiPriority w:val="99"/>
    <w:semiHidden/>
    <w:unhideWhenUsed/>
    <w:rsid w:val="00C863C0"/>
    <w:rPr>
      <w:vertAlign w:val="superscript"/>
    </w:rPr>
  </w:style>
  <w:style w:type="paragraph" w:styleId="ac">
    <w:name w:val="caption"/>
    <w:basedOn w:val="a0"/>
    <w:next w:val="ad"/>
    <w:uiPriority w:val="35"/>
    <w:unhideWhenUsed/>
    <w:qFormat/>
    <w:rsid w:val="00C863C0"/>
    <w:pPr>
      <w:keepNext/>
    </w:pPr>
    <w:rPr>
      <w:rFonts w:cs="Times New Roman"/>
      <w:b/>
      <w:bCs/>
      <w:szCs w:val="24"/>
    </w:rPr>
  </w:style>
  <w:style w:type="paragraph" w:styleId="ae">
    <w:name w:val="Balloon Text"/>
    <w:basedOn w:val="a0"/>
    <w:link w:val="Char2"/>
    <w:uiPriority w:val="99"/>
    <w:semiHidden/>
    <w:unhideWhenUsed/>
    <w:rsid w:val="00C863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e"/>
    <w:uiPriority w:val="99"/>
    <w:semiHidden/>
    <w:rsid w:val="00C863C0"/>
    <w:rPr>
      <w:rFonts w:ascii="Tahoma" w:hAnsi="Tahoma" w:cs="Tahoma"/>
      <w:kern w:val="0"/>
      <w:sz w:val="16"/>
      <w:szCs w:val="16"/>
      <w:lang w:eastAsia="en-US"/>
    </w:rPr>
  </w:style>
  <w:style w:type="character" w:styleId="af">
    <w:name w:val="line number"/>
    <w:basedOn w:val="a1"/>
    <w:uiPriority w:val="99"/>
    <w:semiHidden/>
    <w:unhideWhenUsed/>
    <w:rsid w:val="00C863C0"/>
  </w:style>
  <w:style w:type="paragraph" w:styleId="af0">
    <w:name w:val="endnote text"/>
    <w:basedOn w:val="a0"/>
    <w:link w:val="Char3"/>
    <w:uiPriority w:val="99"/>
    <w:semiHidden/>
    <w:unhideWhenUsed/>
    <w:rsid w:val="00C863C0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f0"/>
    <w:uiPriority w:val="99"/>
    <w:semiHidden/>
    <w:rsid w:val="00C863C0"/>
    <w:rPr>
      <w:rFonts w:ascii="Times New Roman" w:hAnsi="Times New Roman"/>
      <w:kern w:val="0"/>
      <w:sz w:val="20"/>
      <w:szCs w:val="20"/>
      <w:lang w:eastAsia="en-US"/>
    </w:rPr>
  </w:style>
  <w:style w:type="character" w:styleId="af1">
    <w:name w:val="endnote reference"/>
    <w:basedOn w:val="a1"/>
    <w:uiPriority w:val="99"/>
    <w:semiHidden/>
    <w:unhideWhenUsed/>
    <w:rsid w:val="00C863C0"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rsid w:val="00C863C0"/>
    <w:rPr>
      <w:sz w:val="16"/>
      <w:szCs w:val="16"/>
    </w:rPr>
  </w:style>
  <w:style w:type="paragraph" w:styleId="af3">
    <w:name w:val="annotation text"/>
    <w:basedOn w:val="a0"/>
    <w:link w:val="Char4"/>
    <w:uiPriority w:val="99"/>
    <w:semiHidden/>
    <w:unhideWhenUsed/>
    <w:rsid w:val="00C863C0"/>
    <w:rPr>
      <w:sz w:val="20"/>
      <w:szCs w:val="20"/>
    </w:rPr>
  </w:style>
  <w:style w:type="character" w:customStyle="1" w:styleId="Char4">
    <w:name w:val="批注文字 Char"/>
    <w:basedOn w:val="a1"/>
    <w:link w:val="af3"/>
    <w:uiPriority w:val="99"/>
    <w:semiHidden/>
    <w:rsid w:val="00C863C0"/>
    <w:rPr>
      <w:rFonts w:ascii="Times New Roman" w:hAnsi="Times New Roman"/>
      <w:kern w:val="0"/>
      <w:sz w:val="20"/>
      <w:szCs w:val="20"/>
      <w:lang w:eastAsia="en-US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C863C0"/>
    <w:rPr>
      <w:b/>
      <w:bCs/>
    </w:rPr>
  </w:style>
  <w:style w:type="character" w:customStyle="1" w:styleId="Char5">
    <w:name w:val="批注主题 Char"/>
    <w:basedOn w:val="Char4"/>
    <w:link w:val="af4"/>
    <w:uiPriority w:val="99"/>
    <w:semiHidden/>
    <w:rsid w:val="00C863C0"/>
    <w:rPr>
      <w:rFonts w:ascii="Times New Roman" w:hAnsi="Times New Roman"/>
      <w:b/>
      <w:bCs/>
      <w:kern w:val="0"/>
      <w:sz w:val="20"/>
      <w:szCs w:val="20"/>
      <w:lang w:eastAsia="en-US"/>
    </w:rPr>
  </w:style>
  <w:style w:type="character" w:styleId="af5">
    <w:name w:val="Hyperlink"/>
    <w:basedOn w:val="a1"/>
    <w:uiPriority w:val="99"/>
    <w:unhideWhenUsed/>
    <w:qFormat/>
    <w:rsid w:val="00C863C0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C863C0"/>
    <w:rPr>
      <w:color w:val="800080" w:themeColor="followedHyperlink"/>
      <w:u w:val="single"/>
    </w:rPr>
  </w:style>
  <w:style w:type="paragraph" w:styleId="af7">
    <w:name w:val="Title"/>
    <w:basedOn w:val="a0"/>
    <w:next w:val="a0"/>
    <w:link w:val="Char6"/>
    <w:qFormat/>
    <w:rsid w:val="00C863C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6">
    <w:name w:val="标题 Char"/>
    <w:basedOn w:val="a1"/>
    <w:link w:val="af7"/>
    <w:rsid w:val="00C863C0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styleId="af8">
    <w:name w:val="Subtitle"/>
    <w:basedOn w:val="a0"/>
    <w:next w:val="a0"/>
    <w:link w:val="Char7"/>
    <w:uiPriority w:val="99"/>
    <w:unhideWhenUsed/>
    <w:qFormat/>
    <w:rsid w:val="00C863C0"/>
    <w:pPr>
      <w:spacing w:before="240"/>
    </w:pPr>
    <w:rPr>
      <w:rFonts w:cs="Times New Roman"/>
      <w:b/>
      <w:szCs w:val="24"/>
    </w:rPr>
  </w:style>
  <w:style w:type="character" w:customStyle="1" w:styleId="Char7">
    <w:name w:val="副标题 Char"/>
    <w:basedOn w:val="a1"/>
    <w:link w:val="af8"/>
    <w:uiPriority w:val="99"/>
    <w:rsid w:val="00C863C0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styleId="ad">
    <w:name w:val="No Spacing"/>
    <w:uiPriority w:val="99"/>
    <w:unhideWhenUsed/>
    <w:qFormat/>
    <w:rsid w:val="00C863C0"/>
    <w:rPr>
      <w:rFonts w:ascii="Times New Roman" w:hAnsi="Times New Roman"/>
      <w:kern w:val="0"/>
      <w:sz w:val="24"/>
      <w:lang w:eastAsia="en-US"/>
    </w:rPr>
  </w:style>
  <w:style w:type="paragraph" w:customStyle="1" w:styleId="AuthorList">
    <w:name w:val="Author List"/>
    <w:aliases w:val="Keywords,Abstract"/>
    <w:basedOn w:val="af8"/>
    <w:next w:val="a0"/>
    <w:uiPriority w:val="1"/>
    <w:qFormat/>
    <w:rsid w:val="00C863C0"/>
  </w:style>
  <w:style w:type="character" w:styleId="af9">
    <w:name w:val="Subtle Emphasis"/>
    <w:basedOn w:val="a1"/>
    <w:uiPriority w:val="19"/>
    <w:qFormat/>
    <w:rsid w:val="00C863C0"/>
    <w:rPr>
      <w:rFonts w:ascii="Times New Roman" w:hAnsi="Times New Roman"/>
      <w:i/>
      <w:iCs/>
      <w:color w:val="404040" w:themeColor="text1" w:themeTint="BF"/>
    </w:rPr>
  </w:style>
  <w:style w:type="character" w:styleId="afa">
    <w:name w:val="Intense Emphasis"/>
    <w:basedOn w:val="a1"/>
    <w:uiPriority w:val="21"/>
    <w:unhideWhenUsed/>
    <w:rsid w:val="00C863C0"/>
    <w:rPr>
      <w:rFonts w:ascii="Times New Roman" w:hAnsi="Times New Roman"/>
      <w:i/>
      <w:iCs/>
      <w:color w:val="auto"/>
    </w:rPr>
  </w:style>
  <w:style w:type="paragraph" w:styleId="afb">
    <w:name w:val="Quote"/>
    <w:basedOn w:val="a0"/>
    <w:next w:val="a0"/>
    <w:link w:val="Char8"/>
    <w:uiPriority w:val="29"/>
    <w:qFormat/>
    <w:rsid w:val="00C863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引用 Char"/>
    <w:basedOn w:val="a1"/>
    <w:link w:val="afb"/>
    <w:uiPriority w:val="29"/>
    <w:rsid w:val="00C863C0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styleId="afc">
    <w:name w:val="Intense Reference"/>
    <w:basedOn w:val="a1"/>
    <w:uiPriority w:val="32"/>
    <w:qFormat/>
    <w:rsid w:val="00C863C0"/>
    <w:rPr>
      <w:b/>
      <w:bCs/>
      <w:smallCaps/>
      <w:color w:val="auto"/>
      <w:spacing w:val="5"/>
    </w:rPr>
  </w:style>
  <w:style w:type="character" w:styleId="afd">
    <w:name w:val="Book Title"/>
    <w:basedOn w:val="a1"/>
    <w:uiPriority w:val="33"/>
    <w:qFormat/>
    <w:rsid w:val="00C863C0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C863C0"/>
    <w:pPr>
      <w:numPr>
        <w:numId w:val="21"/>
      </w:numPr>
    </w:pPr>
  </w:style>
  <w:style w:type="paragraph" w:styleId="afe">
    <w:name w:val="Revision"/>
    <w:hidden/>
    <w:uiPriority w:val="99"/>
    <w:semiHidden/>
    <w:rsid w:val="00C863C0"/>
    <w:rPr>
      <w:rFonts w:ascii="Times New Roman" w:hAnsi="Times New Roman"/>
      <w:kern w:val="0"/>
      <w:sz w:val="24"/>
      <w:lang w:eastAsia="en-US"/>
    </w:rPr>
  </w:style>
  <w:style w:type="paragraph" w:customStyle="1" w:styleId="EndNoteBibliographyTitle">
    <w:name w:val="EndNote Bibliography Title"/>
    <w:basedOn w:val="a0"/>
    <w:link w:val="EndNoteBibliographyTitleChar"/>
    <w:rsid w:val="00C863C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C863C0"/>
    <w:rPr>
      <w:rFonts w:ascii="Times New Roman" w:hAnsi="Times New Roman" w:cs="Times New Roman"/>
      <w:noProof/>
      <w:kern w:val="0"/>
      <w:sz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rsid w:val="00C863C0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C863C0"/>
    <w:rPr>
      <w:rFonts w:ascii="Times New Roman" w:hAnsi="Times New Roman" w:cs="Times New Roman"/>
      <w:noProof/>
      <w:kern w:val="0"/>
      <w:sz w:val="24"/>
      <w:lang w:eastAsia="en-US"/>
    </w:rPr>
  </w:style>
  <w:style w:type="character" w:customStyle="1" w:styleId="15">
    <w:name w:val="15"/>
    <w:basedOn w:val="a1"/>
    <w:qFormat/>
    <w:rsid w:val="00C863C0"/>
    <w:rPr>
      <w:rFonts w:ascii="Times New Roman" w:hAnsi="Times New Roman" w:cs="Times New Roman" w:hint="default"/>
      <w:sz w:val="16"/>
      <w:szCs w:val="16"/>
    </w:rPr>
  </w:style>
  <w:style w:type="table" w:styleId="-5">
    <w:name w:val="Light Shading Accent 5"/>
    <w:basedOn w:val="a2"/>
    <w:uiPriority w:val="60"/>
    <w:rsid w:val="00C863C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show/NCT00043511" TargetMode="External"/><Relationship Id="rId13" Type="http://schemas.openxmlformats.org/officeDocument/2006/relationships/hyperlink" Target="http://clinicaltrials.gov/show/NCT0053662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inicaltrials.gov/show/NCT0288748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inicaltrials.gov/show/NCT024646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linicaltrials.gov/show/NCT006055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inicaltrials.gov/show/NCT00709800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Furong Qin</dc:creator>
  <cp:lastModifiedBy>Furong Qin</cp:lastModifiedBy>
  <cp:revision>2</cp:revision>
  <dcterms:created xsi:type="dcterms:W3CDTF">2021-05-17T02:15:00Z</dcterms:created>
  <dcterms:modified xsi:type="dcterms:W3CDTF">2021-05-17T02:15:00Z</dcterms:modified>
</cp:coreProperties>
</file>