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754D378" w14:textId="1617FA10" w:rsidR="00994A3D" w:rsidRPr="00F67387" w:rsidRDefault="00994A3D" w:rsidP="00672EFC">
      <w:pPr>
        <w:pStyle w:val="Heading2"/>
        <w:keepNext/>
      </w:pPr>
      <w:r w:rsidRPr="0001436A">
        <w:lastRenderedPageBreak/>
        <w:t>Supplementary</w:t>
      </w:r>
      <w:r w:rsidRPr="001549D3">
        <w:t xml:space="preserve"> Figures</w:t>
      </w:r>
    </w:p>
    <w:p w14:paraId="3C419443" w14:textId="09FE6D41" w:rsidR="00994A3D" w:rsidRPr="001549D3" w:rsidRDefault="00CC5553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GB" w:eastAsia="en-GB"/>
        </w:rPr>
        <w:drawing>
          <wp:inline distT="0" distB="0" distL="0" distR="0" wp14:anchorId="00B1FA82" wp14:editId="46E400ED">
            <wp:extent cx="6096000" cy="609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s_distribution_split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6E1D8717" w:rsidR="00DE23E8" w:rsidRDefault="00994A3D" w:rsidP="00B249F1">
      <w:pPr>
        <w:keepNext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="00F67387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607B21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 w:rsidR="00B249F1" w:rsidRPr="00B249F1">
        <w:rPr>
          <w:rFonts w:cs="Times New Roman"/>
          <w:szCs w:val="24"/>
        </w:rPr>
        <w:t xml:space="preserve">Distribution of elements of GCS </w:t>
      </w:r>
      <w:r w:rsidR="00B249F1">
        <w:rPr>
          <w:rFonts w:cs="Times New Roman"/>
          <w:szCs w:val="24"/>
        </w:rPr>
        <w:t xml:space="preserve">recorded prehospital </w:t>
      </w:r>
      <w:r w:rsidR="00B249F1" w:rsidRPr="00B249F1">
        <w:rPr>
          <w:rFonts w:cs="Times New Roman"/>
          <w:szCs w:val="24"/>
        </w:rPr>
        <w:t xml:space="preserve">for </w:t>
      </w:r>
      <w:r w:rsidR="00B249F1">
        <w:rPr>
          <w:rFonts w:cs="Times New Roman"/>
          <w:szCs w:val="24"/>
        </w:rPr>
        <w:t xml:space="preserve">suspected strokes, categorized by final diagnosis of </w:t>
      </w:r>
      <w:r w:rsidR="00B249F1" w:rsidRPr="00B249F1">
        <w:rPr>
          <w:rFonts w:cs="Times New Roman"/>
          <w:szCs w:val="24"/>
        </w:rPr>
        <w:t>stroke, TIA and mimics.</w:t>
      </w:r>
    </w:p>
    <w:p w14:paraId="63263E65" w14:textId="77777777" w:rsidR="00283756" w:rsidRDefault="00283756" w:rsidP="00B249F1">
      <w:pPr>
        <w:keepNext/>
        <w:rPr>
          <w:rFonts w:cs="Times New Roman"/>
          <w:szCs w:val="24"/>
        </w:rPr>
      </w:pPr>
    </w:p>
    <w:p w14:paraId="54EAB00B" w14:textId="471B7E86" w:rsidR="00B249F1" w:rsidRDefault="00CC5553" w:rsidP="00B249F1">
      <w:pPr>
        <w:keepNext/>
      </w:pPr>
      <w:r>
        <w:rPr>
          <w:noProof/>
          <w:lang w:val="en-GB" w:eastAsia="en-GB"/>
        </w:rPr>
        <w:lastRenderedPageBreak/>
        <w:drawing>
          <wp:inline distT="0" distB="0" distL="0" distR="0" wp14:anchorId="04D1B51F" wp14:editId="634F2BE5">
            <wp:extent cx="6208395" cy="248348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s_distribution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EBD0" w14:textId="10A62871" w:rsidR="00B249F1" w:rsidRDefault="00B249F1" w:rsidP="00B249F1">
      <w:pPr>
        <w:keepNext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="00F67387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 w:rsidRPr="00B249F1">
        <w:rPr>
          <w:rFonts w:cs="Times New Roman"/>
          <w:szCs w:val="24"/>
        </w:rPr>
        <w:t xml:space="preserve">Distribution of </w:t>
      </w:r>
      <w:r>
        <w:rPr>
          <w:rFonts w:cs="Times New Roman"/>
          <w:szCs w:val="24"/>
        </w:rPr>
        <w:t>total</w:t>
      </w:r>
      <w:r w:rsidRPr="00B249F1">
        <w:rPr>
          <w:rFonts w:cs="Times New Roman"/>
          <w:szCs w:val="24"/>
        </w:rPr>
        <w:t xml:space="preserve"> GCS </w:t>
      </w:r>
      <w:r>
        <w:rPr>
          <w:rFonts w:cs="Times New Roman"/>
          <w:szCs w:val="24"/>
        </w:rPr>
        <w:t xml:space="preserve">recorded prehospital </w:t>
      </w:r>
      <w:r w:rsidRPr="00B249F1">
        <w:rPr>
          <w:rFonts w:cs="Times New Roman"/>
          <w:szCs w:val="24"/>
        </w:rPr>
        <w:t xml:space="preserve">for </w:t>
      </w:r>
      <w:r>
        <w:rPr>
          <w:rFonts w:cs="Times New Roman"/>
          <w:szCs w:val="24"/>
        </w:rPr>
        <w:t xml:space="preserve">suspected strokes, categorized by final diagnosis of </w:t>
      </w:r>
      <w:r w:rsidRPr="00B249F1">
        <w:rPr>
          <w:rFonts w:cs="Times New Roman"/>
          <w:szCs w:val="24"/>
        </w:rPr>
        <w:t>stroke, TIA and mimics.</w:t>
      </w:r>
    </w:p>
    <w:p w14:paraId="3E8F2D88" w14:textId="28050AC0" w:rsidR="00B249F1" w:rsidRDefault="00CC5553" w:rsidP="00B249F1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GB" w:eastAsia="en-GB"/>
        </w:rPr>
        <w:drawing>
          <wp:inline distT="0" distB="0" distL="0" distR="0" wp14:anchorId="647A2603" wp14:editId="3D113F1F">
            <wp:extent cx="6096000" cy="304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_distribution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6E65" w14:textId="516A3072" w:rsidR="00B249F1" w:rsidRDefault="00B249F1" w:rsidP="00B249F1">
      <w:pPr>
        <w:keepNext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="00F67387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 w:rsidRPr="00B249F1">
        <w:rPr>
          <w:rFonts w:cs="Times New Roman"/>
          <w:szCs w:val="24"/>
        </w:rPr>
        <w:t xml:space="preserve">Distribution of </w:t>
      </w:r>
      <w:r>
        <w:rPr>
          <w:rFonts w:cs="Times New Roman"/>
          <w:szCs w:val="24"/>
        </w:rPr>
        <w:t>pain score recorded prehospital</w:t>
      </w:r>
      <w:r w:rsidRPr="00B249F1">
        <w:rPr>
          <w:rFonts w:cs="Times New Roman"/>
          <w:szCs w:val="24"/>
        </w:rPr>
        <w:t xml:space="preserve"> for </w:t>
      </w:r>
      <w:r>
        <w:rPr>
          <w:rFonts w:cs="Times New Roman"/>
          <w:szCs w:val="24"/>
        </w:rPr>
        <w:t xml:space="preserve">suspected strokes, categorized by final diagnosis of </w:t>
      </w:r>
      <w:r w:rsidRPr="00B249F1">
        <w:rPr>
          <w:rFonts w:cs="Times New Roman"/>
          <w:szCs w:val="24"/>
        </w:rPr>
        <w:t>stroke, TIA and mimics.</w:t>
      </w:r>
    </w:p>
    <w:p w14:paraId="3A5A44BD" w14:textId="13733D0F" w:rsidR="00B249F1" w:rsidRDefault="00B249F1" w:rsidP="00B249F1">
      <w:pPr>
        <w:keepNext/>
      </w:pPr>
    </w:p>
    <w:p w14:paraId="46FA200C" w14:textId="04AC3DA9" w:rsidR="00F67387" w:rsidRDefault="00F67387">
      <w:pPr>
        <w:spacing w:before="0" w:after="200" w:line="276" w:lineRule="auto"/>
      </w:pPr>
      <w:r>
        <w:br w:type="page"/>
      </w:r>
      <w:bookmarkStart w:id="0" w:name="_GoBack"/>
    </w:p>
    <w:bookmarkEnd w:id="0"/>
    <w:p w14:paraId="3317B7CC" w14:textId="66D83CEC" w:rsidR="00F67387" w:rsidRPr="00F67387" w:rsidRDefault="00F67387" w:rsidP="00F67387">
      <w:pPr>
        <w:pStyle w:val="Heading2"/>
        <w:keepNext/>
      </w:pPr>
      <w:r w:rsidRPr="0001436A">
        <w:lastRenderedPageBreak/>
        <w:t>Supplementary</w:t>
      </w:r>
      <w:r w:rsidRPr="001549D3">
        <w:t xml:space="preserve"> </w:t>
      </w:r>
      <w:r>
        <w:t>Tabl</w:t>
      </w:r>
      <w:r w:rsidRPr="001549D3">
        <w:t>es</w:t>
      </w:r>
    </w:p>
    <w:p w14:paraId="7ADA2077" w14:textId="49C06BDB" w:rsidR="00F67387" w:rsidRPr="00F67387" w:rsidRDefault="00F67387" w:rsidP="00F67387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cs="Times New Roman"/>
          <w:szCs w:val="24"/>
        </w:rPr>
      </w:pPr>
      <w:r w:rsidRPr="00F67387">
        <w:rPr>
          <w:rFonts w:cs="Times New Roman"/>
          <w:b/>
          <w:bCs/>
          <w:szCs w:val="24"/>
        </w:rPr>
        <w:t>Supplementary Table S1</w:t>
      </w:r>
      <w:r w:rsidRPr="00F67387">
        <w:rPr>
          <w:rFonts w:cs="Times New Roman"/>
          <w:szCs w:val="24"/>
        </w:rPr>
        <w:t>: Full description of variables recorded in the patient record form</w:t>
      </w:r>
    </w:p>
    <w:tbl>
      <w:tblPr>
        <w:tblStyle w:val="TableGrid"/>
        <w:tblW w:w="1046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305"/>
        <w:gridCol w:w="1771"/>
        <w:gridCol w:w="7385"/>
      </w:tblGrid>
      <w:tr w:rsidR="00F67387" w:rsidRPr="00F67387" w14:paraId="4397036D" w14:textId="77777777" w:rsidTr="004B2355">
        <w:trPr>
          <w:trHeight w:val="569"/>
        </w:trPr>
        <w:tc>
          <w:tcPr>
            <w:tcW w:w="1305" w:type="dxa"/>
          </w:tcPr>
          <w:p w14:paraId="1D1C7F53" w14:textId="77777777" w:rsidR="00F67387" w:rsidRPr="00F67387" w:rsidRDefault="00F67387" w:rsidP="004B2355">
            <w:pPr>
              <w:rPr>
                <w:rFonts w:cs="Times New Roman"/>
                <w:b/>
                <w:szCs w:val="24"/>
              </w:rPr>
            </w:pPr>
            <w:r w:rsidRPr="00F67387">
              <w:rPr>
                <w:rFonts w:cs="Times New Roman"/>
                <w:b/>
                <w:szCs w:val="24"/>
              </w:rPr>
              <w:t>Category</w:t>
            </w:r>
          </w:p>
        </w:tc>
        <w:tc>
          <w:tcPr>
            <w:tcW w:w="1771" w:type="dxa"/>
          </w:tcPr>
          <w:p w14:paraId="694D63FF" w14:textId="77777777" w:rsidR="00F67387" w:rsidRPr="00F67387" w:rsidRDefault="00F67387" w:rsidP="004B2355">
            <w:pPr>
              <w:rPr>
                <w:rFonts w:cs="Times New Roman"/>
                <w:b/>
                <w:szCs w:val="24"/>
              </w:rPr>
            </w:pPr>
            <w:r w:rsidRPr="00F67387">
              <w:rPr>
                <w:rFonts w:cs="Times New Roman"/>
                <w:b/>
                <w:szCs w:val="24"/>
              </w:rPr>
              <w:t>Field</w:t>
            </w:r>
          </w:p>
        </w:tc>
        <w:tc>
          <w:tcPr>
            <w:tcW w:w="7385" w:type="dxa"/>
          </w:tcPr>
          <w:p w14:paraId="59022D77" w14:textId="77777777" w:rsidR="00F67387" w:rsidRPr="00F67387" w:rsidRDefault="00F67387" w:rsidP="004B2355">
            <w:pPr>
              <w:rPr>
                <w:rFonts w:cs="Times New Roman"/>
                <w:b/>
                <w:szCs w:val="24"/>
              </w:rPr>
            </w:pPr>
            <w:r w:rsidRPr="00F67387">
              <w:rPr>
                <w:rFonts w:cs="Times New Roman"/>
                <w:b/>
                <w:szCs w:val="24"/>
              </w:rPr>
              <w:t>Notes</w:t>
            </w:r>
          </w:p>
        </w:tc>
      </w:tr>
      <w:tr w:rsidR="00F67387" w:rsidRPr="00F67387" w14:paraId="332CFA84" w14:textId="77777777" w:rsidTr="004B2355">
        <w:trPr>
          <w:trHeight w:val="288"/>
        </w:trPr>
        <w:tc>
          <w:tcPr>
            <w:tcW w:w="1305" w:type="dxa"/>
            <w:vMerge w:val="restart"/>
          </w:tcPr>
          <w:p w14:paraId="136B343B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Previous  History</w:t>
            </w:r>
          </w:p>
        </w:tc>
        <w:tc>
          <w:tcPr>
            <w:tcW w:w="1771" w:type="dxa"/>
          </w:tcPr>
          <w:p w14:paraId="12BF87CA" w14:textId="75F67F01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PMH ischemic heart disease</w:t>
            </w:r>
          </w:p>
        </w:tc>
        <w:tc>
          <w:tcPr>
            <w:tcW w:w="7385" w:type="dxa"/>
          </w:tcPr>
          <w:p w14:paraId="58C90761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Include angina, previous MI</w:t>
            </w:r>
          </w:p>
        </w:tc>
      </w:tr>
      <w:tr w:rsidR="00F67387" w:rsidRPr="00F67387" w14:paraId="74986047" w14:textId="77777777" w:rsidTr="004B2355">
        <w:trPr>
          <w:trHeight w:val="576"/>
        </w:trPr>
        <w:tc>
          <w:tcPr>
            <w:tcW w:w="1305" w:type="dxa"/>
            <w:vMerge/>
          </w:tcPr>
          <w:p w14:paraId="5F937178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3674E86E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PMH atrial fibrillation or flutter</w:t>
            </w:r>
          </w:p>
        </w:tc>
        <w:tc>
          <w:tcPr>
            <w:tcW w:w="7385" w:type="dxa"/>
          </w:tcPr>
          <w:p w14:paraId="3E0583A7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Prior history of atrial fibrillation, atrial flutter. Includes permanent and paroxysmal</w:t>
            </w:r>
          </w:p>
        </w:tc>
      </w:tr>
      <w:tr w:rsidR="00F67387" w:rsidRPr="00F67387" w14:paraId="035E6172" w14:textId="77777777" w:rsidTr="004B2355">
        <w:trPr>
          <w:trHeight w:val="296"/>
        </w:trPr>
        <w:tc>
          <w:tcPr>
            <w:tcW w:w="1305" w:type="dxa"/>
            <w:vMerge/>
          </w:tcPr>
          <w:p w14:paraId="14B26FFE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1C7F21D7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PMH hypertension</w:t>
            </w:r>
          </w:p>
        </w:tc>
        <w:tc>
          <w:tcPr>
            <w:tcW w:w="7385" w:type="dxa"/>
          </w:tcPr>
          <w:p w14:paraId="54420248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Documented as high blood pressure or hypertension</w:t>
            </w:r>
          </w:p>
        </w:tc>
      </w:tr>
      <w:tr w:rsidR="00F67387" w:rsidRPr="00F67387" w14:paraId="307757DB" w14:textId="77777777" w:rsidTr="004B2355">
        <w:trPr>
          <w:trHeight w:val="296"/>
        </w:trPr>
        <w:tc>
          <w:tcPr>
            <w:tcW w:w="1305" w:type="dxa"/>
            <w:vMerge/>
          </w:tcPr>
          <w:p w14:paraId="56CD0B5C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1339A410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PMH diabetes</w:t>
            </w:r>
          </w:p>
        </w:tc>
        <w:tc>
          <w:tcPr>
            <w:tcW w:w="7385" w:type="dxa"/>
          </w:tcPr>
          <w:p w14:paraId="2557B2E9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Documented as type 1 or 2 diabetes mellitus</w:t>
            </w:r>
          </w:p>
        </w:tc>
      </w:tr>
      <w:tr w:rsidR="00F67387" w:rsidRPr="00F67387" w14:paraId="1B0E345E" w14:textId="77777777" w:rsidTr="004B2355">
        <w:trPr>
          <w:trHeight w:val="576"/>
        </w:trPr>
        <w:tc>
          <w:tcPr>
            <w:tcW w:w="1305" w:type="dxa"/>
            <w:vMerge/>
          </w:tcPr>
          <w:p w14:paraId="6D7243C6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539EED41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PMH Epilepsy</w:t>
            </w:r>
          </w:p>
        </w:tc>
        <w:tc>
          <w:tcPr>
            <w:tcW w:w="7385" w:type="dxa"/>
          </w:tcPr>
          <w:p w14:paraId="1300A6DD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Prior history of epilepsy. Include any patient with a prior history of seizures. Do not include if incident is first ever seizure.</w:t>
            </w:r>
          </w:p>
        </w:tc>
      </w:tr>
      <w:tr w:rsidR="00F67387" w:rsidRPr="00F67387" w14:paraId="264B0C73" w14:textId="77777777" w:rsidTr="004B2355">
        <w:trPr>
          <w:trHeight w:val="296"/>
        </w:trPr>
        <w:tc>
          <w:tcPr>
            <w:tcW w:w="1305" w:type="dxa"/>
            <w:vMerge/>
          </w:tcPr>
          <w:p w14:paraId="0AFBC9F3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787F33E9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PMH Stroke or TIA</w:t>
            </w:r>
          </w:p>
        </w:tc>
        <w:tc>
          <w:tcPr>
            <w:tcW w:w="7385" w:type="dxa"/>
          </w:tcPr>
          <w:p w14:paraId="42F75A2B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Prior history of stroke or TIA, do not include current incident</w:t>
            </w:r>
          </w:p>
        </w:tc>
      </w:tr>
      <w:tr w:rsidR="00F67387" w:rsidRPr="00F67387" w14:paraId="36EFF7D5" w14:textId="77777777" w:rsidTr="004B2355">
        <w:trPr>
          <w:trHeight w:val="296"/>
        </w:trPr>
        <w:tc>
          <w:tcPr>
            <w:tcW w:w="1305" w:type="dxa"/>
            <w:vMerge/>
          </w:tcPr>
          <w:p w14:paraId="28294FAD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53E266A7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PMH Migraine</w:t>
            </w:r>
          </w:p>
        </w:tc>
        <w:tc>
          <w:tcPr>
            <w:tcW w:w="7385" w:type="dxa"/>
          </w:tcPr>
          <w:p w14:paraId="2F890776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Prior history of migraine, with or without aura. Do not include if only says ‘headaches’</w:t>
            </w:r>
          </w:p>
        </w:tc>
      </w:tr>
      <w:tr w:rsidR="00F67387" w:rsidRPr="00F67387" w14:paraId="39A94334" w14:textId="77777777" w:rsidTr="004B2355">
        <w:trPr>
          <w:trHeight w:val="296"/>
        </w:trPr>
        <w:tc>
          <w:tcPr>
            <w:tcW w:w="1305" w:type="dxa"/>
            <w:vMerge/>
          </w:tcPr>
          <w:p w14:paraId="2F038889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3599C7A9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PMH Dementia</w:t>
            </w:r>
          </w:p>
        </w:tc>
        <w:tc>
          <w:tcPr>
            <w:tcW w:w="7385" w:type="dxa"/>
          </w:tcPr>
          <w:p w14:paraId="678D7AB4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Prior history of any type of dementia</w:t>
            </w:r>
          </w:p>
        </w:tc>
      </w:tr>
      <w:tr w:rsidR="00F67387" w:rsidRPr="00F67387" w14:paraId="6996F476" w14:textId="77777777" w:rsidTr="004B2355">
        <w:trPr>
          <w:trHeight w:val="576"/>
        </w:trPr>
        <w:tc>
          <w:tcPr>
            <w:tcW w:w="1305" w:type="dxa"/>
            <w:vMerge/>
          </w:tcPr>
          <w:p w14:paraId="2D83E660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3829CB77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 xml:space="preserve">PMH Mental health </w:t>
            </w:r>
          </w:p>
        </w:tc>
        <w:tc>
          <w:tcPr>
            <w:tcW w:w="7385" w:type="dxa"/>
          </w:tcPr>
          <w:p w14:paraId="366F5EDC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 xml:space="preserve">Prior history of any mental health condition </w:t>
            </w:r>
            <w:proofErr w:type="spellStart"/>
            <w:r w:rsidRPr="00F67387">
              <w:rPr>
                <w:rFonts w:cs="Times New Roman"/>
                <w:szCs w:val="24"/>
              </w:rPr>
              <w:t>eg</w:t>
            </w:r>
            <w:proofErr w:type="spellEnd"/>
            <w:r w:rsidRPr="00F67387">
              <w:rPr>
                <w:rFonts w:cs="Times New Roman"/>
                <w:szCs w:val="24"/>
              </w:rPr>
              <w:t>: depression, anxiety, psychosis, schizophrenia but NOT dementia</w:t>
            </w:r>
          </w:p>
        </w:tc>
      </w:tr>
      <w:tr w:rsidR="00F67387" w:rsidRPr="00F67387" w14:paraId="107F05AA" w14:textId="77777777" w:rsidTr="004B2355">
        <w:trPr>
          <w:trHeight w:val="296"/>
        </w:trPr>
        <w:tc>
          <w:tcPr>
            <w:tcW w:w="1305" w:type="dxa"/>
            <w:vMerge/>
          </w:tcPr>
          <w:p w14:paraId="5F2D4B33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67AAD8CA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Substance misuse</w:t>
            </w:r>
          </w:p>
        </w:tc>
        <w:tc>
          <w:tcPr>
            <w:tcW w:w="7385" w:type="dxa"/>
          </w:tcPr>
          <w:p w14:paraId="204BA17D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Mark yes if any prior or incident related drug abuse</w:t>
            </w:r>
          </w:p>
        </w:tc>
      </w:tr>
      <w:tr w:rsidR="00F67387" w:rsidRPr="00F67387" w14:paraId="46DF7ED4" w14:textId="77777777" w:rsidTr="004B2355">
        <w:trPr>
          <w:trHeight w:val="296"/>
        </w:trPr>
        <w:tc>
          <w:tcPr>
            <w:tcW w:w="1305" w:type="dxa"/>
            <w:vMerge/>
          </w:tcPr>
          <w:p w14:paraId="740908A5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199DA37F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Alcohol misuse</w:t>
            </w:r>
          </w:p>
        </w:tc>
        <w:tc>
          <w:tcPr>
            <w:tcW w:w="7385" w:type="dxa"/>
          </w:tcPr>
          <w:p w14:paraId="4F95F4DC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History of any prior or incident related excessive or problematic alcohol use</w:t>
            </w:r>
          </w:p>
        </w:tc>
      </w:tr>
      <w:tr w:rsidR="00F67387" w:rsidRPr="00F67387" w14:paraId="5A96CE36" w14:textId="77777777" w:rsidTr="004B2355">
        <w:trPr>
          <w:trHeight w:val="288"/>
        </w:trPr>
        <w:tc>
          <w:tcPr>
            <w:tcW w:w="1305" w:type="dxa"/>
            <w:vMerge w:val="restart"/>
          </w:tcPr>
          <w:p w14:paraId="07115BDE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Other symptoms:</w:t>
            </w:r>
          </w:p>
          <w:p w14:paraId="3FFE06C0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lastRenderedPageBreak/>
              <w:t>as part of presenting incident (include things that patient reports but have resolved or not objectively seen by the paramedic)</w:t>
            </w:r>
          </w:p>
        </w:tc>
        <w:tc>
          <w:tcPr>
            <w:tcW w:w="1771" w:type="dxa"/>
          </w:tcPr>
          <w:p w14:paraId="0F55C8F2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lastRenderedPageBreak/>
              <w:t>Unilateral leg weakness</w:t>
            </w:r>
          </w:p>
        </w:tc>
        <w:tc>
          <w:tcPr>
            <w:tcW w:w="7385" w:type="dxa"/>
          </w:tcPr>
          <w:p w14:paraId="690AB38B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Unilateral leg weakness or drift downwards with gravity</w:t>
            </w:r>
          </w:p>
        </w:tc>
      </w:tr>
      <w:tr w:rsidR="00F67387" w:rsidRPr="00F67387" w14:paraId="36AB426B" w14:textId="77777777" w:rsidTr="004B2355">
        <w:trPr>
          <w:trHeight w:val="576"/>
        </w:trPr>
        <w:tc>
          <w:tcPr>
            <w:tcW w:w="1305" w:type="dxa"/>
            <w:vMerge/>
          </w:tcPr>
          <w:p w14:paraId="6671CAFA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3684BF19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 xml:space="preserve">Reduced mobility/ Unable to </w:t>
            </w:r>
            <w:proofErr w:type="spellStart"/>
            <w:r w:rsidRPr="00F67387">
              <w:rPr>
                <w:rFonts w:cs="Times New Roman"/>
                <w:szCs w:val="24"/>
              </w:rPr>
              <w:t>mobilise</w:t>
            </w:r>
            <w:proofErr w:type="spellEnd"/>
          </w:p>
        </w:tc>
        <w:tc>
          <w:tcPr>
            <w:tcW w:w="7385" w:type="dxa"/>
          </w:tcPr>
          <w:p w14:paraId="1DA3F99A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Documented inability or difficulty with standing or walking whatever the reason, including unilateral leg weakness</w:t>
            </w:r>
          </w:p>
        </w:tc>
      </w:tr>
      <w:tr w:rsidR="00F67387" w:rsidRPr="00F67387" w14:paraId="1D336464" w14:textId="77777777" w:rsidTr="004B2355">
        <w:trPr>
          <w:trHeight w:val="576"/>
        </w:trPr>
        <w:tc>
          <w:tcPr>
            <w:tcW w:w="1305" w:type="dxa"/>
            <w:vMerge/>
          </w:tcPr>
          <w:p w14:paraId="631FC28F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5477D0EC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Unsteadiness/ ataxia</w:t>
            </w:r>
          </w:p>
        </w:tc>
        <w:tc>
          <w:tcPr>
            <w:tcW w:w="7385" w:type="dxa"/>
          </w:tcPr>
          <w:p w14:paraId="1396D9EF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Documented to be unsteady, have poor balance or be ataxia which may be leading to reduced mobility or immobility</w:t>
            </w:r>
          </w:p>
        </w:tc>
      </w:tr>
      <w:tr w:rsidR="00F67387" w:rsidRPr="00F67387" w14:paraId="7D4AB42B" w14:textId="77777777" w:rsidTr="004B2355">
        <w:trPr>
          <w:trHeight w:val="584"/>
        </w:trPr>
        <w:tc>
          <w:tcPr>
            <w:tcW w:w="1305" w:type="dxa"/>
            <w:vMerge/>
          </w:tcPr>
          <w:p w14:paraId="579F1D81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0E3BBB27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Visual disturbance/ changes</w:t>
            </w:r>
          </w:p>
        </w:tc>
        <w:tc>
          <w:tcPr>
            <w:tcW w:w="7385" w:type="dxa"/>
          </w:tcPr>
          <w:p w14:paraId="2487801E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 xml:space="preserve">Any disturbance of vision including double vision / diplopia, visual field loss, loss of vision in one or both eyes. Do </w:t>
            </w:r>
            <w:r w:rsidRPr="00F67387">
              <w:rPr>
                <w:rFonts w:cs="Times New Roman"/>
                <w:b/>
                <w:szCs w:val="24"/>
              </w:rPr>
              <w:t>not</w:t>
            </w:r>
            <w:r w:rsidRPr="00F67387">
              <w:rPr>
                <w:rFonts w:cs="Times New Roman"/>
                <w:szCs w:val="24"/>
              </w:rPr>
              <w:t xml:space="preserve"> include gaze deviation noted on examination.</w:t>
            </w:r>
          </w:p>
        </w:tc>
      </w:tr>
      <w:tr w:rsidR="00F67387" w:rsidRPr="00F67387" w14:paraId="6FB593B5" w14:textId="77777777" w:rsidTr="004B2355">
        <w:trPr>
          <w:trHeight w:val="576"/>
        </w:trPr>
        <w:tc>
          <w:tcPr>
            <w:tcW w:w="1305" w:type="dxa"/>
            <w:vMerge/>
          </w:tcPr>
          <w:p w14:paraId="35EEDB72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276567C7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Gaze deviation</w:t>
            </w:r>
          </w:p>
        </w:tc>
        <w:tc>
          <w:tcPr>
            <w:tcW w:w="7385" w:type="dxa"/>
          </w:tcPr>
          <w:p w14:paraId="784AFC14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 xml:space="preserve">Gaze deviation </w:t>
            </w:r>
            <w:r w:rsidRPr="00F67387">
              <w:rPr>
                <w:rFonts w:eastAsia="Times New Roman" w:cs="Times New Roman"/>
                <w:szCs w:val="24"/>
              </w:rPr>
              <w:t>gaze deviation’, ‘staring/looking/gazing to left/right’ ‘eyes fixed to left/</w:t>
            </w:r>
            <w:r w:rsidRPr="00F67387">
              <w:rPr>
                <w:rFonts w:cs="Times New Roman"/>
                <w:szCs w:val="24"/>
              </w:rPr>
              <w:t xml:space="preserve"> noted on examination’</w:t>
            </w:r>
          </w:p>
        </w:tc>
      </w:tr>
      <w:tr w:rsidR="00F67387" w:rsidRPr="00F67387" w14:paraId="1457B85A" w14:textId="77777777" w:rsidTr="004B2355">
        <w:trPr>
          <w:trHeight w:val="576"/>
        </w:trPr>
        <w:tc>
          <w:tcPr>
            <w:tcW w:w="1305" w:type="dxa"/>
            <w:vMerge/>
          </w:tcPr>
          <w:p w14:paraId="23F07E1E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5C230602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Seizures</w:t>
            </w:r>
          </w:p>
        </w:tc>
        <w:tc>
          <w:tcPr>
            <w:tcW w:w="7385" w:type="dxa"/>
          </w:tcPr>
          <w:p w14:paraId="46AA7502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Include if documented seizure(s) as part of the incident. Include if described as ‘seizure’, ‘fit’, or if loss or altered consciousness with limb shaking.</w:t>
            </w:r>
          </w:p>
        </w:tc>
      </w:tr>
      <w:tr w:rsidR="00F67387" w:rsidRPr="00F67387" w14:paraId="1FABE5BC" w14:textId="77777777" w:rsidTr="004B2355">
        <w:trPr>
          <w:trHeight w:val="296"/>
        </w:trPr>
        <w:tc>
          <w:tcPr>
            <w:tcW w:w="1305" w:type="dxa"/>
            <w:vMerge/>
          </w:tcPr>
          <w:p w14:paraId="04481A62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5D28D23B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Vomiting</w:t>
            </w:r>
          </w:p>
        </w:tc>
        <w:tc>
          <w:tcPr>
            <w:tcW w:w="7385" w:type="dxa"/>
          </w:tcPr>
          <w:p w14:paraId="0215F6DB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Any vomiting as part of incident, record as no if nausea only</w:t>
            </w:r>
          </w:p>
        </w:tc>
      </w:tr>
      <w:tr w:rsidR="00F67387" w:rsidRPr="00F67387" w14:paraId="0EB08DC4" w14:textId="77777777" w:rsidTr="004B2355">
        <w:trPr>
          <w:trHeight w:val="296"/>
        </w:trPr>
        <w:tc>
          <w:tcPr>
            <w:tcW w:w="1305" w:type="dxa"/>
            <w:vMerge/>
          </w:tcPr>
          <w:p w14:paraId="20991D4A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2D056F02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Difficulty swallowing</w:t>
            </w:r>
          </w:p>
        </w:tc>
        <w:tc>
          <w:tcPr>
            <w:tcW w:w="7385" w:type="dxa"/>
          </w:tcPr>
          <w:p w14:paraId="4480725F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Coughing or choking on eating or drinking, or any other change in swallowing</w:t>
            </w:r>
          </w:p>
        </w:tc>
      </w:tr>
      <w:tr w:rsidR="00F67387" w:rsidRPr="00F67387" w14:paraId="6CC7E539" w14:textId="77777777" w:rsidTr="004B2355">
        <w:trPr>
          <w:trHeight w:val="296"/>
        </w:trPr>
        <w:tc>
          <w:tcPr>
            <w:tcW w:w="1305" w:type="dxa"/>
            <w:vMerge/>
          </w:tcPr>
          <w:p w14:paraId="263B5738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4D8DCFF7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Dizziness</w:t>
            </w:r>
          </w:p>
        </w:tc>
        <w:tc>
          <w:tcPr>
            <w:tcW w:w="7385" w:type="dxa"/>
          </w:tcPr>
          <w:p w14:paraId="547021A7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Dizziness or vertigo</w:t>
            </w:r>
          </w:p>
        </w:tc>
      </w:tr>
      <w:tr w:rsidR="00F67387" w:rsidRPr="00F67387" w14:paraId="13DC84BB" w14:textId="77777777" w:rsidTr="004B2355">
        <w:trPr>
          <w:trHeight w:val="296"/>
        </w:trPr>
        <w:tc>
          <w:tcPr>
            <w:tcW w:w="1305" w:type="dxa"/>
            <w:vMerge/>
          </w:tcPr>
          <w:p w14:paraId="4BB1A894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799D0CC1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Leaning to one side</w:t>
            </w:r>
          </w:p>
        </w:tc>
        <w:tc>
          <w:tcPr>
            <w:tcW w:w="7385" w:type="dxa"/>
          </w:tcPr>
          <w:p w14:paraId="18FF43E6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Noted to be leaning or slumped to one side as main complaint</w:t>
            </w:r>
          </w:p>
        </w:tc>
      </w:tr>
      <w:tr w:rsidR="00F67387" w:rsidRPr="00F67387" w14:paraId="0349F884" w14:textId="77777777" w:rsidTr="004B2355">
        <w:trPr>
          <w:trHeight w:val="296"/>
        </w:trPr>
        <w:tc>
          <w:tcPr>
            <w:tcW w:w="1305" w:type="dxa"/>
            <w:vMerge/>
          </w:tcPr>
          <w:p w14:paraId="0DDCB9ED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67D57138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Fall</w:t>
            </w:r>
          </w:p>
        </w:tc>
        <w:tc>
          <w:tcPr>
            <w:tcW w:w="7385" w:type="dxa"/>
          </w:tcPr>
          <w:p w14:paraId="02654D0F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Any fall from sitting or standing</w:t>
            </w:r>
          </w:p>
        </w:tc>
      </w:tr>
      <w:tr w:rsidR="00F67387" w:rsidRPr="00F67387" w14:paraId="4AD3A805" w14:textId="77777777" w:rsidTr="004B2355">
        <w:trPr>
          <w:trHeight w:val="296"/>
        </w:trPr>
        <w:tc>
          <w:tcPr>
            <w:tcW w:w="1305" w:type="dxa"/>
            <w:vMerge/>
          </w:tcPr>
          <w:p w14:paraId="47CF9F0C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03155797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Headache</w:t>
            </w:r>
          </w:p>
        </w:tc>
        <w:tc>
          <w:tcPr>
            <w:tcW w:w="7385" w:type="dxa"/>
          </w:tcPr>
          <w:p w14:paraId="64CDEB95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Headache as part of current incident, regardless of prior history</w:t>
            </w:r>
          </w:p>
        </w:tc>
      </w:tr>
      <w:tr w:rsidR="00F67387" w:rsidRPr="00F67387" w14:paraId="7D160F9F" w14:textId="77777777" w:rsidTr="004B2355">
        <w:trPr>
          <w:trHeight w:val="288"/>
        </w:trPr>
        <w:tc>
          <w:tcPr>
            <w:tcW w:w="1305" w:type="dxa"/>
            <w:vMerge/>
          </w:tcPr>
          <w:p w14:paraId="34E1A015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4EC71E6B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Loss of consciousness</w:t>
            </w:r>
          </w:p>
        </w:tc>
        <w:tc>
          <w:tcPr>
            <w:tcW w:w="7385" w:type="dxa"/>
          </w:tcPr>
          <w:p w14:paraId="47E6D213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 xml:space="preserve">Complete loss of consciousness as part of current incident, regardless of whether recovered before paramedics arrive or </w:t>
            </w:r>
            <w:proofErr w:type="spellStart"/>
            <w:r w:rsidRPr="00F67387">
              <w:rPr>
                <w:rFonts w:cs="Times New Roman"/>
                <w:szCs w:val="24"/>
              </w:rPr>
              <w:t>en</w:t>
            </w:r>
            <w:proofErr w:type="spellEnd"/>
            <w:r w:rsidRPr="00F67387">
              <w:rPr>
                <w:rFonts w:cs="Times New Roman"/>
                <w:szCs w:val="24"/>
              </w:rPr>
              <w:t xml:space="preserve"> route to hospital</w:t>
            </w:r>
          </w:p>
        </w:tc>
      </w:tr>
      <w:tr w:rsidR="00F67387" w:rsidRPr="00F67387" w14:paraId="4198EC95" w14:textId="77777777" w:rsidTr="004B2355">
        <w:trPr>
          <w:trHeight w:val="288"/>
        </w:trPr>
        <w:tc>
          <w:tcPr>
            <w:tcW w:w="1305" w:type="dxa"/>
            <w:vMerge/>
          </w:tcPr>
          <w:p w14:paraId="5262361B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1CC280A7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proofErr w:type="spellStart"/>
            <w:r w:rsidRPr="00F67387">
              <w:rPr>
                <w:rFonts w:cs="Times New Roman"/>
                <w:szCs w:val="24"/>
              </w:rPr>
              <w:t>Generalised</w:t>
            </w:r>
            <w:proofErr w:type="spellEnd"/>
            <w:r w:rsidRPr="00F67387">
              <w:rPr>
                <w:rFonts w:cs="Times New Roman"/>
                <w:szCs w:val="24"/>
              </w:rPr>
              <w:t xml:space="preserve"> weakness</w:t>
            </w:r>
          </w:p>
        </w:tc>
        <w:tc>
          <w:tcPr>
            <w:tcW w:w="7385" w:type="dxa"/>
          </w:tcPr>
          <w:p w14:paraId="6CCE4E26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General weakness of all 4 limbs, if worse on one side mark ‘N’ and record as arm and/or leg weakness</w:t>
            </w:r>
          </w:p>
        </w:tc>
      </w:tr>
      <w:tr w:rsidR="00F67387" w:rsidRPr="00F67387" w14:paraId="7B150D7A" w14:textId="77777777" w:rsidTr="004B2355">
        <w:trPr>
          <w:trHeight w:val="288"/>
        </w:trPr>
        <w:tc>
          <w:tcPr>
            <w:tcW w:w="1305" w:type="dxa"/>
            <w:vMerge/>
          </w:tcPr>
          <w:p w14:paraId="22B8F5CF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2CBACC55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Memory loss</w:t>
            </w:r>
          </w:p>
        </w:tc>
        <w:tc>
          <w:tcPr>
            <w:tcW w:w="7385" w:type="dxa"/>
          </w:tcPr>
          <w:p w14:paraId="153DB352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Any amnesia around time of incident, either prompting the call or noted by paramedics</w:t>
            </w:r>
          </w:p>
        </w:tc>
      </w:tr>
      <w:tr w:rsidR="00F67387" w:rsidRPr="00F67387" w14:paraId="3944EA70" w14:textId="77777777" w:rsidTr="004B2355">
        <w:trPr>
          <w:trHeight w:val="288"/>
        </w:trPr>
        <w:tc>
          <w:tcPr>
            <w:tcW w:w="1305" w:type="dxa"/>
            <w:vMerge/>
          </w:tcPr>
          <w:p w14:paraId="71B30677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7C0BFAE3" w14:textId="0C735063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Behavioral changes</w:t>
            </w:r>
          </w:p>
        </w:tc>
        <w:tc>
          <w:tcPr>
            <w:tcW w:w="7385" w:type="dxa"/>
          </w:tcPr>
          <w:p w14:paraId="72A4D9D0" w14:textId="3EDFA5BB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Any noted alteration in behavior not meeting other symptoms in list</w:t>
            </w:r>
          </w:p>
        </w:tc>
      </w:tr>
      <w:tr w:rsidR="00F67387" w:rsidRPr="00F67387" w14:paraId="4B8A66F5" w14:textId="77777777" w:rsidTr="004B2355">
        <w:trPr>
          <w:trHeight w:val="288"/>
        </w:trPr>
        <w:tc>
          <w:tcPr>
            <w:tcW w:w="1305" w:type="dxa"/>
            <w:vMerge/>
          </w:tcPr>
          <w:p w14:paraId="23E2977E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46DA7738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Confusion</w:t>
            </w:r>
          </w:p>
        </w:tc>
        <w:tc>
          <w:tcPr>
            <w:tcW w:w="7385" w:type="dxa"/>
          </w:tcPr>
          <w:p w14:paraId="461C6CE5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Clear new onset confusion, clouding of consciousness, lack of attention</w:t>
            </w:r>
          </w:p>
        </w:tc>
      </w:tr>
      <w:tr w:rsidR="00F67387" w:rsidRPr="00F67387" w14:paraId="1A25CCF0" w14:textId="77777777" w:rsidTr="004B2355">
        <w:trPr>
          <w:trHeight w:val="288"/>
        </w:trPr>
        <w:tc>
          <w:tcPr>
            <w:tcW w:w="1305" w:type="dxa"/>
            <w:vMerge/>
          </w:tcPr>
          <w:p w14:paraId="179C8FB6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</w:p>
        </w:tc>
        <w:tc>
          <w:tcPr>
            <w:tcW w:w="1771" w:type="dxa"/>
          </w:tcPr>
          <w:p w14:paraId="6C41F043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Loss/ change in sensation</w:t>
            </w:r>
          </w:p>
        </w:tc>
        <w:tc>
          <w:tcPr>
            <w:tcW w:w="7385" w:type="dxa"/>
          </w:tcPr>
          <w:p w14:paraId="38AB2E8E" w14:textId="77777777" w:rsidR="00F67387" w:rsidRPr="00F67387" w:rsidRDefault="00F67387" w:rsidP="004B2355">
            <w:pPr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 xml:space="preserve">Loss of/ change in feeling anywhere in body as part of current incident </w:t>
            </w:r>
            <w:proofErr w:type="spellStart"/>
            <w:r w:rsidRPr="00F67387">
              <w:rPr>
                <w:rFonts w:cs="Times New Roman"/>
                <w:szCs w:val="24"/>
              </w:rPr>
              <w:t>eg</w:t>
            </w:r>
            <w:proofErr w:type="spellEnd"/>
            <w:r w:rsidRPr="00F67387">
              <w:rPr>
                <w:rFonts w:cs="Times New Roman"/>
                <w:szCs w:val="24"/>
              </w:rPr>
              <w:t xml:space="preserve"> numbness, </w:t>
            </w:r>
            <w:proofErr w:type="spellStart"/>
            <w:r w:rsidRPr="00F67387">
              <w:rPr>
                <w:rFonts w:cs="Times New Roman"/>
                <w:color w:val="222222"/>
                <w:szCs w:val="24"/>
                <w:shd w:val="clear" w:color="auto" w:fill="FFFFFF"/>
              </w:rPr>
              <w:t>paraesthesia</w:t>
            </w:r>
            <w:proofErr w:type="spellEnd"/>
          </w:p>
        </w:tc>
      </w:tr>
    </w:tbl>
    <w:p w14:paraId="3733D460" w14:textId="77777777" w:rsidR="00F67387" w:rsidRPr="00F67387" w:rsidRDefault="00F67387" w:rsidP="00F67387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cs="Times New Roman"/>
          <w:szCs w:val="24"/>
        </w:rPr>
      </w:pPr>
    </w:p>
    <w:p w14:paraId="5A6741C3" w14:textId="77777777" w:rsidR="00F67387" w:rsidRPr="00F67387" w:rsidRDefault="00F67387" w:rsidP="00F67387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cs="Times New Roman"/>
          <w:szCs w:val="24"/>
        </w:rPr>
      </w:pPr>
    </w:p>
    <w:p w14:paraId="4652BC57" w14:textId="245CDB47" w:rsidR="00F67387" w:rsidRPr="00F67387" w:rsidRDefault="00F67387" w:rsidP="00F67387">
      <w:pPr>
        <w:widowControl w:val="0"/>
        <w:autoSpaceDE w:val="0"/>
        <w:autoSpaceDN w:val="0"/>
        <w:adjustRightInd w:val="0"/>
        <w:spacing w:line="360" w:lineRule="auto"/>
        <w:ind w:left="640" w:hanging="640"/>
        <w:rPr>
          <w:rFonts w:cs="Times New Roman"/>
          <w:szCs w:val="24"/>
        </w:rPr>
      </w:pPr>
      <w:r w:rsidRPr="00F67387">
        <w:rPr>
          <w:rFonts w:cs="Times New Roman"/>
          <w:b/>
          <w:bCs/>
          <w:szCs w:val="24"/>
        </w:rPr>
        <w:t>Supplementary Table S</w:t>
      </w:r>
      <w:r>
        <w:rPr>
          <w:rFonts w:cs="Times New Roman"/>
          <w:b/>
          <w:bCs/>
          <w:szCs w:val="24"/>
        </w:rPr>
        <w:t>2</w:t>
      </w:r>
      <w:r w:rsidRPr="00F67387">
        <w:rPr>
          <w:rFonts w:cs="Times New Roman"/>
          <w:szCs w:val="24"/>
        </w:rPr>
        <w:t>: Patients that died within 30 days of admission, broken down by ambulance pathway adherence, area and final diagnosis</w:t>
      </w:r>
    </w:p>
    <w:tbl>
      <w:tblPr>
        <w:tblStyle w:val="TableGrid"/>
        <w:tblW w:w="9705" w:type="dxa"/>
        <w:tblInd w:w="640" w:type="dxa"/>
        <w:tblLook w:val="04A0" w:firstRow="1" w:lastRow="0" w:firstColumn="1" w:lastColumn="0" w:noHBand="0" w:noVBand="1"/>
      </w:tblPr>
      <w:tblGrid>
        <w:gridCol w:w="1136"/>
        <w:gridCol w:w="1112"/>
        <w:gridCol w:w="1012"/>
        <w:gridCol w:w="1112"/>
        <w:gridCol w:w="1012"/>
        <w:gridCol w:w="1012"/>
        <w:gridCol w:w="1142"/>
        <w:gridCol w:w="2167"/>
      </w:tblGrid>
      <w:tr w:rsidR="00F67387" w:rsidRPr="00F67387" w14:paraId="6D5ACA7C" w14:textId="77777777" w:rsidTr="004B2355">
        <w:trPr>
          <w:trHeight w:val="425"/>
        </w:trPr>
        <w:tc>
          <w:tcPr>
            <w:tcW w:w="1130" w:type="dxa"/>
          </w:tcPr>
          <w:p w14:paraId="6F104206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2821" w:type="dxa"/>
            <w:gridSpan w:val="3"/>
          </w:tcPr>
          <w:p w14:paraId="5DC1DA03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OOA suspected strokes</w:t>
            </w:r>
          </w:p>
        </w:tc>
        <w:tc>
          <w:tcPr>
            <w:tcW w:w="2877" w:type="dxa"/>
            <w:gridSpan w:val="3"/>
          </w:tcPr>
          <w:p w14:paraId="70D58C6A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Local suspected strokes</w:t>
            </w:r>
          </w:p>
        </w:tc>
        <w:tc>
          <w:tcPr>
            <w:tcW w:w="2877" w:type="dxa"/>
            <w:vMerge w:val="restart"/>
          </w:tcPr>
          <w:p w14:paraId="4B78AADB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All local strokes and TIAs</w:t>
            </w:r>
          </w:p>
          <w:p w14:paraId="6F3F6035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(n=886)</w:t>
            </w:r>
          </w:p>
        </w:tc>
      </w:tr>
      <w:tr w:rsidR="00F67387" w:rsidRPr="00F67387" w14:paraId="41F92F8E" w14:textId="77777777" w:rsidTr="004B2355">
        <w:trPr>
          <w:trHeight w:val="843"/>
        </w:trPr>
        <w:tc>
          <w:tcPr>
            <w:tcW w:w="1130" w:type="dxa"/>
          </w:tcPr>
          <w:p w14:paraId="4F16F35A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893" w:type="dxa"/>
          </w:tcPr>
          <w:p w14:paraId="3E82AAB9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Stroke</w:t>
            </w:r>
          </w:p>
          <w:p w14:paraId="35DC4BAE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(n=1697)</w:t>
            </w:r>
          </w:p>
        </w:tc>
        <w:tc>
          <w:tcPr>
            <w:tcW w:w="899" w:type="dxa"/>
          </w:tcPr>
          <w:p w14:paraId="5F502F32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TIA</w:t>
            </w:r>
          </w:p>
          <w:p w14:paraId="222F7AF7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(n=334)</w:t>
            </w:r>
          </w:p>
        </w:tc>
        <w:tc>
          <w:tcPr>
            <w:tcW w:w="1027" w:type="dxa"/>
          </w:tcPr>
          <w:p w14:paraId="128D1B7E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Mimic</w:t>
            </w:r>
          </w:p>
          <w:p w14:paraId="4A64685F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(n=1072)</w:t>
            </w:r>
          </w:p>
        </w:tc>
        <w:tc>
          <w:tcPr>
            <w:tcW w:w="822" w:type="dxa"/>
          </w:tcPr>
          <w:p w14:paraId="0904D5D0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Stroke</w:t>
            </w:r>
          </w:p>
          <w:p w14:paraId="198B431D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(n=494)</w:t>
            </w:r>
          </w:p>
        </w:tc>
        <w:tc>
          <w:tcPr>
            <w:tcW w:w="822" w:type="dxa"/>
          </w:tcPr>
          <w:p w14:paraId="0E9A6C01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TIA</w:t>
            </w:r>
          </w:p>
          <w:p w14:paraId="552E2C3E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(n=149)</w:t>
            </w:r>
          </w:p>
        </w:tc>
        <w:tc>
          <w:tcPr>
            <w:tcW w:w="1233" w:type="dxa"/>
          </w:tcPr>
          <w:p w14:paraId="6764241B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Mimic</w:t>
            </w:r>
          </w:p>
          <w:p w14:paraId="07CA1AFF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(n=426)</w:t>
            </w:r>
          </w:p>
        </w:tc>
        <w:tc>
          <w:tcPr>
            <w:tcW w:w="2877" w:type="dxa"/>
            <w:vMerge/>
          </w:tcPr>
          <w:p w14:paraId="6F7A4D6D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F67387" w:rsidRPr="00F67387" w14:paraId="3A2E0DE0" w14:textId="77777777" w:rsidTr="004B2355">
        <w:trPr>
          <w:trHeight w:val="416"/>
        </w:trPr>
        <w:tc>
          <w:tcPr>
            <w:tcW w:w="1130" w:type="dxa"/>
          </w:tcPr>
          <w:p w14:paraId="0FA2363A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FAST-</w:t>
            </w:r>
          </w:p>
        </w:tc>
        <w:tc>
          <w:tcPr>
            <w:tcW w:w="893" w:type="dxa"/>
          </w:tcPr>
          <w:p w14:paraId="5D07082A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&lt;5 (&lt;0.2%)</w:t>
            </w:r>
          </w:p>
        </w:tc>
        <w:tc>
          <w:tcPr>
            <w:tcW w:w="899" w:type="dxa"/>
          </w:tcPr>
          <w:p w14:paraId="71D11CD4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&lt;5 (&lt;1.5%)</w:t>
            </w:r>
          </w:p>
        </w:tc>
        <w:tc>
          <w:tcPr>
            <w:tcW w:w="1027" w:type="dxa"/>
          </w:tcPr>
          <w:p w14:paraId="7E4BEE98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&lt;5 (&lt;0.4%)</w:t>
            </w:r>
          </w:p>
        </w:tc>
        <w:tc>
          <w:tcPr>
            <w:tcW w:w="822" w:type="dxa"/>
          </w:tcPr>
          <w:p w14:paraId="420D278B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&lt;5 (&lt;1.0%)</w:t>
            </w:r>
          </w:p>
        </w:tc>
        <w:tc>
          <w:tcPr>
            <w:tcW w:w="822" w:type="dxa"/>
          </w:tcPr>
          <w:p w14:paraId="0DB2CFBF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&lt;5</w:t>
            </w:r>
          </w:p>
          <w:p w14:paraId="1FD89A78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(&lt;3.4%)</w:t>
            </w:r>
          </w:p>
        </w:tc>
        <w:tc>
          <w:tcPr>
            <w:tcW w:w="1233" w:type="dxa"/>
          </w:tcPr>
          <w:p w14:paraId="53AABD64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0</w:t>
            </w:r>
          </w:p>
          <w:p w14:paraId="58309053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(0.0%)</w:t>
            </w:r>
          </w:p>
        </w:tc>
        <w:tc>
          <w:tcPr>
            <w:tcW w:w="2877" w:type="dxa"/>
          </w:tcPr>
          <w:p w14:paraId="5A1DA8AD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7</w:t>
            </w:r>
          </w:p>
          <w:p w14:paraId="3EDCDD99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(0.8%)</w:t>
            </w:r>
          </w:p>
        </w:tc>
      </w:tr>
      <w:tr w:rsidR="00F67387" w:rsidRPr="00F67387" w14:paraId="03BED2B5" w14:textId="77777777" w:rsidTr="004B2355">
        <w:trPr>
          <w:trHeight w:val="843"/>
        </w:trPr>
        <w:tc>
          <w:tcPr>
            <w:tcW w:w="1130" w:type="dxa"/>
          </w:tcPr>
          <w:p w14:paraId="13D7154E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Pathway exclusion</w:t>
            </w:r>
          </w:p>
        </w:tc>
        <w:tc>
          <w:tcPr>
            <w:tcW w:w="893" w:type="dxa"/>
          </w:tcPr>
          <w:p w14:paraId="3D591D63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22</w:t>
            </w:r>
          </w:p>
          <w:p w14:paraId="1EC946D1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(1.3%)</w:t>
            </w:r>
          </w:p>
        </w:tc>
        <w:tc>
          <w:tcPr>
            <w:tcW w:w="899" w:type="dxa"/>
          </w:tcPr>
          <w:p w14:paraId="2AAE9053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0 (0.0%)</w:t>
            </w:r>
          </w:p>
        </w:tc>
        <w:tc>
          <w:tcPr>
            <w:tcW w:w="1027" w:type="dxa"/>
          </w:tcPr>
          <w:p w14:paraId="05E3962D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 xml:space="preserve">8 </w:t>
            </w:r>
          </w:p>
          <w:p w14:paraId="0704DD8B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(0.7%)</w:t>
            </w:r>
          </w:p>
        </w:tc>
        <w:tc>
          <w:tcPr>
            <w:tcW w:w="822" w:type="dxa"/>
          </w:tcPr>
          <w:p w14:paraId="60B3E2E1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13</w:t>
            </w:r>
          </w:p>
          <w:p w14:paraId="7013B338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(2.6%)</w:t>
            </w:r>
          </w:p>
        </w:tc>
        <w:tc>
          <w:tcPr>
            <w:tcW w:w="822" w:type="dxa"/>
          </w:tcPr>
          <w:p w14:paraId="3ECF513F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0</w:t>
            </w:r>
          </w:p>
          <w:p w14:paraId="326CB8ED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(0.0%)</w:t>
            </w:r>
          </w:p>
        </w:tc>
        <w:tc>
          <w:tcPr>
            <w:tcW w:w="1233" w:type="dxa"/>
          </w:tcPr>
          <w:p w14:paraId="0FFF2A2D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10</w:t>
            </w:r>
          </w:p>
          <w:p w14:paraId="4B01BE2A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(2.3%)</w:t>
            </w:r>
          </w:p>
        </w:tc>
        <w:tc>
          <w:tcPr>
            <w:tcW w:w="2877" w:type="dxa"/>
          </w:tcPr>
          <w:p w14:paraId="1CE9257B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18</w:t>
            </w:r>
          </w:p>
          <w:p w14:paraId="374F9974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(2.0%)</w:t>
            </w:r>
          </w:p>
        </w:tc>
      </w:tr>
      <w:tr w:rsidR="00F67387" w:rsidRPr="00F67387" w14:paraId="3137488B" w14:textId="77777777" w:rsidTr="004B2355">
        <w:trPr>
          <w:trHeight w:val="425"/>
        </w:trPr>
        <w:tc>
          <w:tcPr>
            <w:tcW w:w="1130" w:type="dxa"/>
          </w:tcPr>
          <w:p w14:paraId="4AA61BE1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Total</w:t>
            </w:r>
          </w:p>
        </w:tc>
        <w:tc>
          <w:tcPr>
            <w:tcW w:w="893" w:type="dxa"/>
          </w:tcPr>
          <w:p w14:paraId="6188746E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204 (12.0%)</w:t>
            </w:r>
          </w:p>
        </w:tc>
        <w:tc>
          <w:tcPr>
            <w:tcW w:w="899" w:type="dxa"/>
          </w:tcPr>
          <w:p w14:paraId="4AE79D2A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7 (2.1%)</w:t>
            </w:r>
          </w:p>
        </w:tc>
        <w:tc>
          <w:tcPr>
            <w:tcW w:w="1027" w:type="dxa"/>
          </w:tcPr>
          <w:p w14:paraId="3285421B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63</w:t>
            </w:r>
          </w:p>
          <w:p w14:paraId="3D45C439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(5.9%)</w:t>
            </w:r>
          </w:p>
        </w:tc>
        <w:tc>
          <w:tcPr>
            <w:tcW w:w="822" w:type="dxa"/>
          </w:tcPr>
          <w:p w14:paraId="3885A450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71</w:t>
            </w:r>
          </w:p>
          <w:p w14:paraId="79FD5039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(14.4%)</w:t>
            </w:r>
          </w:p>
        </w:tc>
        <w:tc>
          <w:tcPr>
            <w:tcW w:w="822" w:type="dxa"/>
          </w:tcPr>
          <w:p w14:paraId="05FB9FA2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&lt;5</w:t>
            </w:r>
          </w:p>
          <w:p w14:paraId="2127C652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(&lt;3.4%)</w:t>
            </w:r>
          </w:p>
        </w:tc>
        <w:tc>
          <w:tcPr>
            <w:tcW w:w="1233" w:type="dxa"/>
          </w:tcPr>
          <w:p w14:paraId="0DF001AC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30</w:t>
            </w:r>
          </w:p>
          <w:p w14:paraId="4B7CDAB5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(7.0%)</w:t>
            </w:r>
          </w:p>
        </w:tc>
        <w:tc>
          <w:tcPr>
            <w:tcW w:w="2877" w:type="dxa"/>
          </w:tcPr>
          <w:p w14:paraId="0FDF2693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91</w:t>
            </w:r>
          </w:p>
          <w:p w14:paraId="7ED7A08D" w14:textId="77777777" w:rsidR="00F67387" w:rsidRPr="00F67387" w:rsidRDefault="00F67387" w:rsidP="004B235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 w:rsidRPr="00F67387">
              <w:rPr>
                <w:rFonts w:cs="Times New Roman"/>
                <w:szCs w:val="24"/>
              </w:rPr>
              <w:t>(10.3%)</w:t>
            </w:r>
          </w:p>
        </w:tc>
      </w:tr>
    </w:tbl>
    <w:p w14:paraId="5EC632F1" w14:textId="77777777" w:rsidR="00F67387" w:rsidRPr="001549D3" w:rsidRDefault="00F67387" w:rsidP="00B249F1">
      <w:pPr>
        <w:keepNext/>
      </w:pPr>
    </w:p>
    <w:sectPr w:rsidR="00F67387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C9ADFD" w14:textId="77777777" w:rsidR="00AC662B" w:rsidRDefault="00AC662B" w:rsidP="00117666">
      <w:pPr>
        <w:spacing w:after="0"/>
      </w:pPr>
      <w:r>
        <w:separator/>
      </w:r>
    </w:p>
  </w:endnote>
  <w:endnote w:type="continuationSeparator" w:id="0">
    <w:p w14:paraId="6EC34AB8" w14:textId="77777777" w:rsidR="00AC662B" w:rsidRDefault="00AC662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C555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C5553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C555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C5553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3A16C9" w14:textId="77777777" w:rsidR="00AC662B" w:rsidRDefault="00AC662B" w:rsidP="00117666">
      <w:pPr>
        <w:spacing w:after="0"/>
      </w:pPr>
      <w:r>
        <w:separator/>
      </w:r>
    </w:p>
  </w:footnote>
  <w:footnote w:type="continuationSeparator" w:id="0">
    <w:p w14:paraId="27E29483" w14:textId="77777777" w:rsidR="00AC662B" w:rsidRDefault="00AC662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320F4"/>
    <w:rsid w:val="00267D18"/>
    <w:rsid w:val="00274347"/>
    <w:rsid w:val="00283756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07B21"/>
    <w:rsid w:val="00617D13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C662B"/>
    <w:rsid w:val="00B1671E"/>
    <w:rsid w:val="00B249F1"/>
    <w:rsid w:val="00B25EB8"/>
    <w:rsid w:val="00B37F4D"/>
    <w:rsid w:val="00C52A7B"/>
    <w:rsid w:val="00C56BAF"/>
    <w:rsid w:val="00C679AA"/>
    <w:rsid w:val="00C75972"/>
    <w:rsid w:val="00CC5553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67387"/>
    <w:rsid w:val="00FA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87D17E5-A0F6-4B92-9774-C6D86AABB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6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 Sammut-Powell</cp:lastModifiedBy>
  <cp:revision>2</cp:revision>
  <cp:lastPrinted>2020-12-24T14:55:00Z</cp:lastPrinted>
  <dcterms:created xsi:type="dcterms:W3CDTF">2021-04-20T15:41:00Z</dcterms:created>
  <dcterms:modified xsi:type="dcterms:W3CDTF">2021-04-20T15:41:00Z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