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823C788" w14:textId="1CBC2B01" w:rsidR="007951C6" w:rsidRDefault="007951C6" w:rsidP="007951C6">
      <w:pPr>
        <w:rPr>
          <w:rFonts w:cs="Times New Roman"/>
          <w:b/>
          <w:bCs/>
          <w:szCs w:val="24"/>
          <w:lang w:eastAsia="zh-CN"/>
        </w:rPr>
      </w:pPr>
      <w:bookmarkStart w:id="0" w:name="_Hlk59791571"/>
      <w:bookmarkStart w:id="1" w:name="OLE_LINK20"/>
      <w:r w:rsidRPr="007951C6">
        <w:rPr>
          <w:rFonts w:cs="Times New Roman"/>
          <w:b/>
          <w:bCs/>
          <w:szCs w:val="24"/>
          <w:lang w:eastAsia="zh-CN"/>
        </w:rPr>
        <w:t xml:space="preserve">Phytochemical Characterization of Cortex </w:t>
      </w:r>
      <w:proofErr w:type="spellStart"/>
      <w:r w:rsidRPr="007951C6">
        <w:rPr>
          <w:rFonts w:cs="Times New Roman"/>
          <w:b/>
          <w:bCs/>
          <w:szCs w:val="24"/>
          <w:lang w:eastAsia="zh-CN"/>
        </w:rPr>
        <w:t>Daphnes</w:t>
      </w:r>
      <w:proofErr w:type="spellEnd"/>
      <w:r>
        <w:rPr>
          <w:rFonts w:cs="Times New Roman"/>
          <w:b/>
          <w:bCs/>
          <w:szCs w:val="24"/>
          <w:lang w:eastAsia="zh-CN"/>
        </w:rPr>
        <w:t xml:space="preserve"> patch</w:t>
      </w:r>
    </w:p>
    <w:p w14:paraId="2556F9AF" w14:textId="2713D1B0" w:rsidR="007951C6" w:rsidRDefault="007951C6" w:rsidP="00066A56">
      <w:pPr>
        <w:pStyle w:val="1"/>
        <w:numPr>
          <w:ilvl w:val="0"/>
          <w:numId w:val="0"/>
        </w:numPr>
        <w:spacing w:before="0" w:after="0"/>
        <w:ind w:left="567" w:hanging="567"/>
        <w:rPr>
          <w:lang w:eastAsia="zh-CN"/>
        </w:rPr>
      </w:pPr>
      <w:r>
        <w:rPr>
          <w:lang w:eastAsia="zh-CN"/>
        </w:rPr>
        <w:t xml:space="preserve">1. Method: </w:t>
      </w:r>
      <w:r w:rsidRPr="007951C6">
        <w:rPr>
          <w:lang w:eastAsia="zh-CN"/>
        </w:rPr>
        <w:t>LC/MS/MS method</w:t>
      </w:r>
    </w:p>
    <w:p w14:paraId="3E600489" w14:textId="77777777" w:rsidR="00066A56" w:rsidRPr="00066A56" w:rsidRDefault="00066A56" w:rsidP="00066A56">
      <w:pPr>
        <w:spacing w:before="0" w:after="0"/>
        <w:rPr>
          <w:lang w:eastAsia="zh-CN"/>
        </w:rPr>
      </w:pPr>
    </w:p>
    <w:p w14:paraId="0FE3A2DA" w14:textId="0125C293" w:rsidR="007951C6" w:rsidRPr="007951C6" w:rsidRDefault="007951C6" w:rsidP="00066A56">
      <w:pPr>
        <w:pStyle w:val="1"/>
        <w:numPr>
          <w:ilvl w:val="0"/>
          <w:numId w:val="0"/>
        </w:numPr>
        <w:spacing w:before="0" w:after="0"/>
        <w:rPr>
          <w:rFonts w:eastAsiaTheme="minorEastAsia"/>
          <w:lang w:eastAsia="zh-CN"/>
        </w:rPr>
      </w:pPr>
      <w:bookmarkStart w:id="2" w:name="_Toc411000687"/>
      <w:bookmarkEnd w:id="0"/>
      <w:bookmarkEnd w:id="1"/>
      <w:r>
        <w:rPr>
          <w:rFonts w:eastAsiaTheme="minorEastAsia"/>
          <w:bCs/>
          <w:lang w:eastAsia="zh-CN"/>
        </w:rPr>
        <w:t>2.</w:t>
      </w:r>
      <w:r w:rsidR="00FE0F3A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 xml:space="preserve"> </w:t>
      </w:r>
      <w:r w:rsidRPr="007951C6">
        <w:rPr>
          <w:rFonts w:eastAsiaTheme="minorEastAsia"/>
          <w:bCs/>
          <w:lang w:eastAsia="zh-CN"/>
        </w:rPr>
        <w:t>Sample preparation</w:t>
      </w:r>
    </w:p>
    <w:bookmarkEnd w:id="2"/>
    <w:p w14:paraId="1D88090C" w14:textId="638E3308" w:rsidR="007951C6" w:rsidRDefault="007951C6" w:rsidP="005571D0">
      <w:pPr>
        <w:spacing w:before="0" w:after="0"/>
        <w:rPr>
          <w:rFonts w:cs="Times New Roman"/>
          <w:szCs w:val="24"/>
          <w:lang w:eastAsia="zh-CN"/>
        </w:rPr>
      </w:pPr>
      <w:r w:rsidRPr="007951C6">
        <w:rPr>
          <w:rFonts w:cs="Times New Roman"/>
          <w:szCs w:val="24"/>
          <w:lang w:eastAsia="zh-CN"/>
        </w:rPr>
        <w:t xml:space="preserve">The powder of </w:t>
      </w:r>
      <w:bookmarkStart w:id="3" w:name="_Hlk59794681"/>
      <w:r w:rsidRPr="007951C6">
        <w:rPr>
          <w:rFonts w:cs="Times New Roman"/>
          <w:szCs w:val="24"/>
          <w:lang w:eastAsia="zh-CN"/>
        </w:rPr>
        <w:t xml:space="preserve">Daphne </w:t>
      </w:r>
      <w:proofErr w:type="spellStart"/>
      <w:r w:rsidRPr="007951C6">
        <w:rPr>
          <w:rFonts w:cs="Times New Roman"/>
          <w:szCs w:val="24"/>
          <w:lang w:eastAsia="zh-CN"/>
        </w:rPr>
        <w:t>giraldii</w:t>
      </w:r>
      <w:bookmarkEnd w:id="3"/>
      <w:proofErr w:type="spellEnd"/>
      <w:r w:rsidRPr="007951C6">
        <w:rPr>
          <w:rFonts w:cs="Times New Roman"/>
          <w:szCs w:val="24"/>
          <w:lang w:eastAsia="zh-CN"/>
        </w:rPr>
        <w:t xml:space="preserve"> were diluted 100-fold with ethanol and vortex-mixed. Following </w:t>
      </w:r>
      <w:proofErr w:type="gramStart"/>
      <w:r w:rsidRPr="007951C6">
        <w:rPr>
          <w:rFonts w:cs="Times New Roman"/>
          <w:szCs w:val="24"/>
          <w:lang w:eastAsia="zh-CN"/>
        </w:rPr>
        <w:t>centrifugation</w:t>
      </w:r>
      <w:proofErr w:type="gramEnd"/>
      <w:r w:rsidRPr="007951C6">
        <w:rPr>
          <w:rFonts w:cs="Times New Roman"/>
          <w:szCs w:val="24"/>
          <w:lang w:eastAsia="zh-CN"/>
        </w:rPr>
        <w:t xml:space="preserve"> the supernatant was transferred to a Waters Maximum Recovery vial and triplicate injections were analyzed.</w:t>
      </w:r>
    </w:p>
    <w:p w14:paraId="6148AD38" w14:textId="77777777" w:rsidR="007951C6" w:rsidRDefault="007951C6" w:rsidP="005571D0">
      <w:pPr>
        <w:spacing w:before="0" w:after="0"/>
        <w:rPr>
          <w:rFonts w:cs="Times New Roman"/>
          <w:szCs w:val="24"/>
          <w:lang w:eastAsia="zh-CN"/>
        </w:rPr>
      </w:pPr>
    </w:p>
    <w:p w14:paraId="06CFC7E9" w14:textId="203C7076" w:rsidR="007951C6" w:rsidRPr="007951C6" w:rsidRDefault="007951C6" w:rsidP="005571D0">
      <w:pPr>
        <w:pStyle w:val="1"/>
        <w:numPr>
          <w:ilvl w:val="0"/>
          <w:numId w:val="0"/>
        </w:numPr>
        <w:spacing w:before="0" w:after="0"/>
        <w:rPr>
          <w:lang w:eastAsia="zh-CN"/>
        </w:rPr>
      </w:pPr>
      <w:r>
        <w:rPr>
          <w:lang w:eastAsia="zh-CN"/>
        </w:rPr>
        <w:t>3.</w:t>
      </w:r>
      <w:r w:rsidR="00FE0F3A">
        <w:rPr>
          <w:lang w:eastAsia="zh-CN"/>
        </w:rPr>
        <w:t xml:space="preserve"> </w:t>
      </w:r>
      <w:r w:rsidRPr="007951C6">
        <w:rPr>
          <w:lang w:eastAsia="zh-CN"/>
        </w:rPr>
        <w:t>LC conditions</w:t>
      </w:r>
    </w:p>
    <w:p w14:paraId="6C34F21C" w14:textId="77777777" w:rsidR="007951C6" w:rsidRPr="007951C6" w:rsidRDefault="007951C6" w:rsidP="005571D0">
      <w:pPr>
        <w:spacing w:before="0" w:after="0"/>
        <w:rPr>
          <w:rFonts w:cs="Times New Roman"/>
          <w:szCs w:val="24"/>
          <w:lang w:eastAsia="zh-CN"/>
        </w:rPr>
      </w:pPr>
      <w:r w:rsidRPr="007951C6">
        <w:rPr>
          <w:rFonts w:cs="Times New Roman"/>
          <w:szCs w:val="24"/>
          <w:lang w:eastAsia="zh-CN"/>
        </w:rPr>
        <w:t>system: ACQUITY UPLC (binary solvent manager, sample manager, HT column oven),</w:t>
      </w:r>
    </w:p>
    <w:p w14:paraId="46390C6A" w14:textId="5B9CC011" w:rsidR="007951C6" w:rsidRPr="007951C6" w:rsidRDefault="007951C6" w:rsidP="005571D0">
      <w:pPr>
        <w:spacing w:before="0" w:after="0"/>
        <w:rPr>
          <w:rFonts w:cs="Times New Roman"/>
          <w:szCs w:val="24"/>
          <w:lang w:eastAsia="zh-CN"/>
        </w:rPr>
      </w:pPr>
      <w:r w:rsidRPr="007951C6">
        <w:rPr>
          <w:rFonts w:cs="Times New Roman"/>
          <w:szCs w:val="24"/>
          <w:lang w:eastAsia="zh-CN"/>
        </w:rPr>
        <w:t>Column: Luna C18</w:t>
      </w:r>
      <w:r w:rsidRPr="007951C6">
        <w:rPr>
          <w:rFonts w:cs="Times New Roman"/>
          <w:szCs w:val="24"/>
          <w:lang w:eastAsia="zh-CN"/>
        </w:rPr>
        <w:t>（</w:t>
      </w:r>
      <w:r w:rsidRPr="007951C6">
        <w:rPr>
          <w:rFonts w:cs="Times New Roman"/>
          <w:szCs w:val="24"/>
          <w:lang w:eastAsia="zh-CN"/>
        </w:rPr>
        <w:t>φ4.6×250mm</w:t>
      </w:r>
      <w:r w:rsidRPr="007951C6">
        <w:rPr>
          <w:rFonts w:cs="Times New Roman"/>
          <w:szCs w:val="24"/>
          <w:lang w:eastAsia="zh-CN"/>
        </w:rPr>
        <w:t>，</w:t>
      </w:r>
      <w:r w:rsidRPr="007951C6">
        <w:rPr>
          <w:rFonts w:cs="Times New Roman"/>
          <w:szCs w:val="24"/>
          <w:lang w:eastAsia="zh-CN"/>
        </w:rPr>
        <w:t>5μm</w:t>
      </w:r>
      <w:r w:rsidRPr="007951C6">
        <w:rPr>
          <w:rFonts w:cs="Times New Roman"/>
          <w:szCs w:val="24"/>
          <w:lang w:eastAsia="zh-CN"/>
        </w:rPr>
        <w:t>）</w:t>
      </w:r>
    </w:p>
    <w:p w14:paraId="76D4C092" w14:textId="77777777" w:rsidR="005571D0" w:rsidRDefault="007951C6" w:rsidP="005571D0">
      <w:pPr>
        <w:spacing w:before="0" w:after="0"/>
        <w:rPr>
          <w:rFonts w:cs="Times New Roman"/>
          <w:szCs w:val="24"/>
          <w:lang w:eastAsia="zh-CN"/>
        </w:rPr>
      </w:pPr>
      <w:r w:rsidRPr="007951C6">
        <w:rPr>
          <w:rFonts w:cs="Times New Roman"/>
          <w:szCs w:val="24"/>
          <w:lang w:eastAsia="zh-CN"/>
        </w:rPr>
        <w:t>Column temperature: 35 °C</w:t>
      </w:r>
    </w:p>
    <w:p w14:paraId="6DAE5947" w14:textId="5AEC8E82" w:rsidR="007951C6" w:rsidRPr="007951C6" w:rsidRDefault="007951C6" w:rsidP="005571D0">
      <w:pPr>
        <w:spacing w:before="0" w:after="0"/>
        <w:rPr>
          <w:rFonts w:cs="Times New Roman"/>
          <w:szCs w:val="24"/>
          <w:lang w:eastAsia="zh-CN"/>
        </w:rPr>
      </w:pPr>
      <w:r w:rsidRPr="007951C6">
        <w:rPr>
          <w:rFonts w:cs="Times New Roman"/>
          <w:szCs w:val="24"/>
          <w:lang w:eastAsia="zh-CN"/>
        </w:rPr>
        <w:t xml:space="preserve">Injection volume: 5 µL </w:t>
      </w:r>
    </w:p>
    <w:p w14:paraId="54A3E211" w14:textId="4023F99A" w:rsidR="007951C6" w:rsidRPr="007951C6" w:rsidRDefault="007951C6" w:rsidP="005571D0">
      <w:pPr>
        <w:spacing w:before="0" w:after="0"/>
        <w:rPr>
          <w:rFonts w:cs="Times New Roman"/>
          <w:szCs w:val="24"/>
          <w:lang w:eastAsia="zh-CN"/>
        </w:rPr>
      </w:pPr>
      <w:r w:rsidRPr="007951C6">
        <w:rPr>
          <w:rFonts w:cs="Times New Roman"/>
          <w:szCs w:val="24"/>
          <w:lang w:eastAsia="zh-CN"/>
        </w:rPr>
        <w:t>Flow rate: 1 mL/min</w:t>
      </w:r>
    </w:p>
    <w:p w14:paraId="2E2487F5" w14:textId="3F2B63C2" w:rsidR="007951C6" w:rsidRPr="007951C6" w:rsidRDefault="007951C6" w:rsidP="005571D0">
      <w:pPr>
        <w:spacing w:before="0" w:after="0"/>
        <w:rPr>
          <w:rFonts w:cs="Times New Roman"/>
          <w:szCs w:val="24"/>
          <w:lang w:eastAsia="zh-CN"/>
        </w:rPr>
      </w:pPr>
      <w:r w:rsidRPr="007951C6">
        <w:rPr>
          <w:rFonts w:cs="Times New Roman"/>
          <w:szCs w:val="24"/>
          <w:lang w:eastAsia="zh-CN"/>
        </w:rPr>
        <w:t xml:space="preserve">Mobile phase A: Acetonitrile </w:t>
      </w:r>
    </w:p>
    <w:p w14:paraId="7C157A8A" w14:textId="7E9EE902" w:rsidR="007951C6" w:rsidRPr="007951C6" w:rsidRDefault="007951C6" w:rsidP="005571D0">
      <w:pPr>
        <w:spacing w:before="0" w:after="0"/>
        <w:rPr>
          <w:rFonts w:cs="Times New Roman"/>
          <w:szCs w:val="24"/>
          <w:lang w:eastAsia="zh-CN"/>
        </w:rPr>
      </w:pPr>
      <w:r w:rsidRPr="007951C6">
        <w:rPr>
          <w:rFonts w:cs="Times New Roman"/>
          <w:szCs w:val="24"/>
          <w:lang w:eastAsia="zh-CN"/>
        </w:rPr>
        <w:t>Mobile phase B: Water + 0.1% formic acid</w:t>
      </w:r>
    </w:p>
    <w:tbl>
      <w:tblPr>
        <w:tblpPr w:leftFromText="180" w:rightFromText="180" w:vertAnchor="text" w:horzAnchor="page" w:tblpX="2122" w:tblpY="46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969"/>
        <w:gridCol w:w="2108"/>
      </w:tblGrid>
      <w:tr w:rsidR="007951C6" w:rsidRPr="007951C6" w14:paraId="64391CCA" w14:textId="77777777" w:rsidTr="00846D2B">
        <w:tc>
          <w:tcPr>
            <w:tcW w:w="1727" w:type="dxa"/>
          </w:tcPr>
          <w:p w14:paraId="4323DC6D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  <w:lang w:eastAsia="zh-CN"/>
              </w:rPr>
            </w:pPr>
            <w:r w:rsidRPr="007951C6">
              <w:rPr>
                <w:rFonts w:cs="Times New Roman"/>
                <w:color w:val="000000"/>
                <w:szCs w:val="24"/>
                <w:lang w:eastAsia="zh-CN"/>
              </w:rPr>
              <w:t>Time</w:t>
            </w:r>
          </w:p>
        </w:tc>
        <w:tc>
          <w:tcPr>
            <w:tcW w:w="2969" w:type="dxa"/>
          </w:tcPr>
          <w:p w14:paraId="51CC112C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7951C6">
              <w:rPr>
                <w:rFonts w:cs="Times New Roman"/>
                <w:szCs w:val="24"/>
                <w:lang w:eastAsia="zh-CN"/>
              </w:rPr>
              <w:t>Mobile phase A</w:t>
            </w:r>
          </w:p>
        </w:tc>
        <w:tc>
          <w:tcPr>
            <w:tcW w:w="2108" w:type="dxa"/>
          </w:tcPr>
          <w:p w14:paraId="1CBB9B14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7951C6">
              <w:rPr>
                <w:rFonts w:cs="Times New Roman"/>
                <w:szCs w:val="24"/>
                <w:lang w:eastAsia="zh-CN"/>
              </w:rPr>
              <w:t>Mobile phase B</w:t>
            </w:r>
          </w:p>
        </w:tc>
      </w:tr>
      <w:tr w:rsidR="007951C6" w:rsidRPr="007951C6" w14:paraId="2227A0C4" w14:textId="77777777" w:rsidTr="00846D2B">
        <w:trPr>
          <w:trHeight w:val="300"/>
        </w:trPr>
        <w:tc>
          <w:tcPr>
            <w:tcW w:w="1727" w:type="dxa"/>
          </w:tcPr>
          <w:p w14:paraId="7E125901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7951C6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969" w:type="dxa"/>
          </w:tcPr>
          <w:p w14:paraId="20ED8396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7951C6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108" w:type="dxa"/>
          </w:tcPr>
          <w:p w14:paraId="52DDCDA9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7951C6">
              <w:rPr>
                <w:rFonts w:cs="Times New Roman"/>
                <w:color w:val="000000"/>
                <w:szCs w:val="24"/>
              </w:rPr>
              <w:t>82</w:t>
            </w:r>
          </w:p>
        </w:tc>
      </w:tr>
      <w:tr w:rsidR="007951C6" w:rsidRPr="007951C6" w14:paraId="1837BFC0" w14:textId="77777777" w:rsidTr="00846D2B">
        <w:trPr>
          <w:trHeight w:val="149"/>
        </w:trPr>
        <w:tc>
          <w:tcPr>
            <w:tcW w:w="1727" w:type="dxa"/>
          </w:tcPr>
          <w:p w14:paraId="654F46E8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7951C6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969" w:type="dxa"/>
          </w:tcPr>
          <w:p w14:paraId="2D602BF7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7951C6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108" w:type="dxa"/>
          </w:tcPr>
          <w:p w14:paraId="5D837BF8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color w:val="000000"/>
                <w:szCs w:val="24"/>
              </w:rPr>
            </w:pPr>
            <w:r w:rsidRPr="007951C6">
              <w:rPr>
                <w:rFonts w:cs="Times New Roman"/>
                <w:color w:val="000000"/>
                <w:szCs w:val="24"/>
              </w:rPr>
              <w:t>82</w:t>
            </w:r>
          </w:p>
        </w:tc>
      </w:tr>
      <w:tr w:rsidR="007951C6" w:rsidRPr="007951C6" w14:paraId="799B68EA" w14:textId="77777777" w:rsidTr="00846D2B">
        <w:tc>
          <w:tcPr>
            <w:tcW w:w="1727" w:type="dxa"/>
          </w:tcPr>
          <w:p w14:paraId="2DC3D662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35</w:t>
            </w:r>
          </w:p>
        </w:tc>
        <w:tc>
          <w:tcPr>
            <w:tcW w:w="2969" w:type="dxa"/>
          </w:tcPr>
          <w:p w14:paraId="4D0438D4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33</w:t>
            </w:r>
          </w:p>
        </w:tc>
        <w:tc>
          <w:tcPr>
            <w:tcW w:w="2108" w:type="dxa"/>
          </w:tcPr>
          <w:p w14:paraId="360504F1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67</w:t>
            </w:r>
          </w:p>
        </w:tc>
      </w:tr>
      <w:tr w:rsidR="007951C6" w:rsidRPr="007951C6" w14:paraId="0276DE0E" w14:textId="77777777" w:rsidTr="00846D2B">
        <w:tc>
          <w:tcPr>
            <w:tcW w:w="1727" w:type="dxa"/>
          </w:tcPr>
          <w:p w14:paraId="5A14D144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50</w:t>
            </w:r>
          </w:p>
        </w:tc>
        <w:tc>
          <w:tcPr>
            <w:tcW w:w="2969" w:type="dxa"/>
          </w:tcPr>
          <w:p w14:paraId="6BAD0C12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33</w:t>
            </w:r>
          </w:p>
        </w:tc>
        <w:tc>
          <w:tcPr>
            <w:tcW w:w="2108" w:type="dxa"/>
          </w:tcPr>
          <w:p w14:paraId="68B4FDBB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67</w:t>
            </w:r>
          </w:p>
        </w:tc>
      </w:tr>
      <w:tr w:rsidR="007951C6" w:rsidRPr="007951C6" w14:paraId="57B74783" w14:textId="77777777" w:rsidTr="00846D2B">
        <w:tc>
          <w:tcPr>
            <w:tcW w:w="1727" w:type="dxa"/>
          </w:tcPr>
          <w:p w14:paraId="253180E0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60</w:t>
            </w:r>
          </w:p>
        </w:tc>
        <w:tc>
          <w:tcPr>
            <w:tcW w:w="2969" w:type="dxa"/>
          </w:tcPr>
          <w:p w14:paraId="7729D748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18</w:t>
            </w:r>
          </w:p>
        </w:tc>
        <w:tc>
          <w:tcPr>
            <w:tcW w:w="2108" w:type="dxa"/>
          </w:tcPr>
          <w:p w14:paraId="1B34E80F" w14:textId="77777777" w:rsidR="007951C6" w:rsidRPr="007951C6" w:rsidRDefault="007951C6" w:rsidP="005571D0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7951C6">
              <w:rPr>
                <w:rFonts w:cs="Times New Roman"/>
                <w:szCs w:val="24"/>
              </w:rPr>
              <w:t>82</w:t>
            </w:r>
          </w:p>
        </w:tc>
      </w:tr>
    </w:tbl>
    <w:p w14:paraId="48509292" w14:textId="77777777" w:rsidR="00846D2B" w:rsidRDefault="00846D2B" w:rsidP="00846D2B">
      <w:pPr>
        <w:spacing w:before="0" w:after="0"/>
        <w:rPr>
          <w:lang w:eastAsia="zh-CN"/>
        </w:rPr>
      </w:pPr>
      <w:r w:rsidRPr="00FE0F3A">
        <w:rPr>
          <w:rFonts w:hint="eastAsia"/>
          <w:b/>
          <w:bCs/>
          <w:lang w:eastAsia="zh-CN"/>
        </w:rPr>
        <w:t>T</w:t>
      </w:r>
      <w:r w:rsidRPr="00FE0F3A">
        <w:rPr>
          <w:b/>
          <w:bCs/>
          <w:lang w:eastAsia="zh-CN"/>
        </w:rPr>
        <w:t xml:space="preserve">able 1. </w:t>
      </w:r>
      <w:r>
        <w:rPr>
          <w:lang w:eastAsia="zh-CN"/>
        </w:rPr>
        <w:t>The gradient of</w:t>
      </w:r>
      <w:r w:rsidRPr="00FE0F3A">
        <w:t xml:space="preserve"> </w:t>
      </w:r>
      <w:r w:rsidRPr="00FE0F3A">
        <w:rPr>
          <w:lang w:eastAsia="zh-CN"/>
        </w:rPr>
        <w:t xml:space="preserve">Daphne </w:t>
      </w:r>
      <w:proofErr w:type="spellStart"/>
      <w:r w:rsidRPr="00FE0F3A">
        <w:rPr>
          <w:lang w:eastAsia="zh-CN"/>
        </w:rPr>
        <w:t>giraldii</w:t>
      </w:r>
      <w:proofErr w:type="spellEnd"/>
    </w:p>
    <w:p w14:paraId="713B4796" w14:textId="77777777" w:rsidR="007951C6" w:rsidRPr="00846D2B" w:rsidRDefault="007951C6" w:rsidP="005571D0">
      <w:pPr>
        <w:spacing w:before="0" w:after="0"/>
        <w:rPr>
          <w:rFonts w:cs="Times New Roman"/>
          <w:szCs w:val="24"/>
          <w:lang w:eastAsia="zh-CN"/>
        </w:rPr>
      </w:pPr>
    </w:p>
    <w:p w14:paraId="0A362C4C" w14:textId="77777777" w:rsidR="007951C6" w:rsidRPr="007951C6" w:rsidRDefault="007951C6" w:rsidP="007951C6">
      <w:pPr>
        <w:rPr>
          <w:rFonts w:cs="Times New Roman"/>
          <w:szCs w:val="24"/>
          <w:lang w:eastAsia="zh-CN"/>
        </w:rPr>
      </w:pPr>
    </w:p>
    <w:p w14:paraId="5B4E1B2D" w14:textId="77777777" w:rsidR="007951C6" w:rsidRPr="007951C6" w:rsidRDefault="007951C6" w:rsidP="007951C6">
      <w:pPr>
        <w:rPr>
          <w:rFonts w:cs="Times New Roman"/>
          <w:szCs w:val="24"/>
          <w:lang w:eastAsia="zh-CN"/>
        </w:rPr>
      </w:pPr>
    </w:p>
    <w:p w14:paraId="5E7576B2" w14:textId="77777777" w:rsidR="007951C6" w:rsidRPr="007951C6" w:rsidRDefault="007951C6" w:rsidP="007951C6">
      <w:pPr>
        <w:rPr>
          <w:rFonts w:cs="Times New Roman"/>
          <w:szCs w:val="24"/>
          <w:lang w:eastAsia="zh-CN"/>
        </w:rPr>
      </w:pPr>
    </w:p>
    <w:p w14:paraId="7C7C61C7" w14:textId="77777777" w:rsidR="005571D0" w:rsidRDefault="005571D0" w:rsidP="005571D0">
      <w:pPr>
        <w:spacing w:before="0" w:after="0"/>
        <w:rPr>
          <w:rFonts w:hint="eastAsia"/>
          <w:lang w:eastAsia="zh-CN"/>
        </w:rPr>
      </w:pPr>
    </w:p>
    <w:p w14:paraId="75A1809E" w14:textId="57861CE6" w:rsidR="005571D0" w:rsidRPr="0092235F" w:rsidRDefault="00FE0F3A" w:rsidP="005571D0">
      <w:pPr>
        <w:spacing w:before="0" w:after="0"/>
        <w:rPr>
          <w:rFonts w:hint="eastAsia"/>
          <w:b/>
          <w:lang w:eastAsia="zh-CN"/>
        </w:rPr>
      </w:pPr>
      <w:r w:rsidRPr="00FE0F3A">
        <w:rPr>
          <w:b/>
          <w:bCs/>
          <w:lang w:eastAsia="zh-CN"/>
        </w:rPr>
        <w:t>4.</w:t>
      </w:r>
      <w:r>
        <w:rPr>
          <w:lang w:eastAsia="zh-CN"/>
        </w:rPr>
        <w:t xml:space="preserve"> </w:t>
      </w:r>
      <w:r w:rsidRPr="0092235F">
        <w:rPr>
          <w:b/>
          <w:lang w:eastAsia="zh-CN"/>
        </w:rPr>
        <w:t>MS conditions</w:t>
      </w:r>
    </w:p>
    <w:p w14:paraId="2D5CA91D" w14:textId="77777777" w:rsidR="00FE0F3A" w:rsidRPr="0092235F" w:rsidRDefault="00FE0F3A" w:rsidP="005571D0">
      <w:pPr>
        <w:spacing w:before="0" w:after="0"/>
        <w:rPr>
          <w:rFonts w:cs="Times New Roman"/>
          <w:szCs w:val="24"/>
          <w:lang w:eastAsia="zh-CN"/>
        </w:rPr>
      </w:pPr>
      <w:r w:rsidRPr="0092235F">
        <w:rPr>
          <w:rFonts w:cs="Times New Roman"/>
          <w:szCs w:val="24"/>
          <w:lang w:eastAsia="zh-CN"/>
        </w:rPr>
        <w:t xml:space="preserve">MS system: </w:t>
      </w:r>
      <w:proofErr w:type="spellStart"/>
      <w:r w:rsidRPr="0092235F">
        <w:rPr>
          <w:rFonts w:cs="Times New Roman"/>
          <w:szCs w:val="24"/>
          <w:lang w:eastAsia="zh-CN"/>
        </w:rPr>
        <w:t>Acquity</w:t>
      </w:r>
      <w:proofErr w:type="spellEnd"/>
      <w:r w:rsidRPr="0092235F">
        <w:rPr>
          <w:rFonts w:cs="Times New Roman"/>
          <w:szCs w:val="24"/>
          <w:lang w:eastAsia="zh-CN"/>
        </w:rPr>
        <w:t xml:space="preserve"> </w:t>
      </w:r>
      <w:proofErr w:type="spellStart"/>
      <w:r w:rsidRPr="0092235F">
        <w:rPr>
          <w:rFonts w:cs="Times New Roman"/>
          <w:szCs w:val="24"/>
          <w:lang w:eastAsia="zh-CN"/>
        </w:rPr>
        <w:t>Xevo</w:t>
      </w:r>
      <w:proofErr w:type="spellEnd"/>
      <w:r w:rsidRPr="0092235F">
        <w:rPr>
          <w:rFonts w:cs="Times New Roman"/>
          <w:szCs w:val="24"/>
          <w:lang w:eastAsia="zh-CN"/>
        </w:rPr>
        <w:t xml:space="preserve"> TQ-S (Waters, USA),</w:t>
      </w:r>
    </w:p>
    <w:p w14:paraId="56D081DE" w14:textId="77777777" w:rsidR="00FE0F3A" w:rsidRPr="0092235F" w:rsidRDefault="00FE0F3A" w:rsidP="005571D0">
      <w:pPr>
        <w:spacing w:before="0" w:after="0"/>
        <w:rPr>
          <w:rFonts w:cs="Times New Roman"/>
          <w:szCs w:val="24"/>
          <w:lang w:eastAsia="zh-CN"/>
        </w:rPr>
      </w:pPr>
      <w:r w:rsidRPr="0092235F">
        <w:rPr>
          <w:rFonts w:cs="Times New Roman"/>
          <w:szCs w:val="24"/>
          <w:lang w:eastAsia="zh-CN"/>
        </w:rPr>
        <w:t>Ionization: ESI positive,</w:t>
      </w:r>
    </w:p>
    <w:p w14:paraId="181314AB" w14:textId="77777777" w:rsidR="00FE0F3A" w:rsidRPr="0092235F" w:rsidRDefault="00FE0F3A" w:rsidP="00FE0F3A">
      <w:pPr>
        <w:spacing w:before="0" w:after="0"/>
        <w:rPr>
          <w:rFonts w:cs="Times New Roman"/>
          <w:szCs w:val="24"/>
          <w:lang w:eastAsia="zh-CN"/>
        </w:rPr>
      </w:pPr>
      <w:r w:rsidRPr="0092235F">
        <w:rPr>
          <w:rFonts w:cs="Times New Roman"/>
          <w:szCs w:val="24"/>
          <w:lang w:eastAsia="zh-CN"/>
        </w:rPr>
        <w:t>Capillary voltage: 5.5 kV,</w:t>
      </w:r>
    </w:p>
    <w:p w14:paraId="2F0C90A1" w14:textId="77777777" w:rsidR="00FE0F3A" w:rsidRPr="0092235F" w:rsidRDefault="00FE0F3A" w:rsidP="00FE0F3A">
      <w:pPr>
        <w:spacing w:before="0" w:after="0"/>
        <w:rPr>
          <w:rFonts w:cs="Times New Roman"/>
          <w:szCs w:val="24"/>
          <w:lang w:eastAsia="zh-CN"/>
        </w:rPr>
      </w:pPr>
      <w:r w:rsidRPr="0092235F">
        <w:rPr>
          <w:rFonts w:cs="Times New Roman"/>
          <w:szCs w:val="24"/>
          <w:lang w:eastAsia="zh-CN"/>
        </w:rPr>
        <w:t>Cone voltage: 10 V,</w:t>
      </w:r>
    </w:p>
    <w:p w14:paraId="10154649" w14:textId="77777777" w:rsidR="00FE0F3A" w:rsidRPr="0092235F" w:rsidRDefault="00FE0F3A" w:rsidP="00FE0F3A">
      <w:pPr>
        <w:spacing w:before="0" w:after="0"/>
        <w:rPr>
          <w:rFonts w:cs="Times New Roman"/>
          <w:szCs w:val="24"/>
          <w:lang w:eastAsia="zh-CN"/>
        </w:rPr>
      </w:pPr>
      <w:r w:rsidRPr="0092235F">
        <w:rPr>
          <w:rFonts w:cs="Times New Roman"/>
          <w:szCs w:val="24"/>
          <w:lang w:eastAsia="zh-CN"/>
        </w:rPr>
        <w:t>Source temperature: 150 °C,</w:t>
      </w:r>
    </w:p>
    <w:p w14:paraId="1B36112C" w14:textId="77777777" w:rsidR="00FE0F3A" w:rsidRPr="0092235F" w:rsidRDefault="00FE0F3A" w:rsidP="00FE0F3A">
      <w:pPr>
        <w:spacing w:before="0" w:after="0"/>
        <w:rPr>
          <w:rFonts w:cs="Times New Roman"/>
          <w:szCs w:val="24"/>
          <w:lang w:eastAsia="zh-CN"/>
        </w:rPr>
      </w:pPr>
      <w:proofErr w:type="spellStart"/>
      <w:r w:rsidRPr="0092235F">
        <w:rPr>
          <w:rFonts w:cs="Times New Roman"/>
          <w:szCs w:val="24"/>
          <w:lang w:eastAsia="zh-CN"/>
        </w:rPr>
        <w:t>Desolvation</w:t>
      </w:r>
      <w:proofErr w:type="spellEnd"/>
      <w:r w:rsidRPr="0092235F">
        <w:rPr>
          <w:rFonts w:cs="Times New Roman"/>
          <w:szCs w:val="24"/>
          <w:lang w:eastAsia="zh-CN"/>
        </w:rPr>
        <w:t xml:space="preserve"> gas temperature: 600 °C,</w:t>
      </w:r>
    </w:p>
    <w:p w14:paraId="043D96BC" w14:textId="77777777" w:rsidR="00FE0F3A" w:rsidRDefault="00FE0F3A" w:rsidP="00FE0F3A">
      <w:pPr>
        <w:spacing w:before="0" w:after="0"/>
        <w:rPr>
          <w:rFonts w:cs="Times New Roman"/>
          <w:lang w:eastAsia="zh-CN"/>
        </w:rPr>
      </w:pPr>
      <w:proofErr w:type="spellStart"/>
      <w:r>
        <w:rPr>
          <w:rFonts w:cs="Times New Roman"/>
          <w:lang w:eastAsia="zh-CN"/>
        </w:rPr>
        <w:t>Desolvation</w:t>
      </w:r>
      <w:proofErr w:type="spellEnd"/>
      <w:r>
        <w:rPr>
          <w:rFonts w:cs="Times New Roman"/>
          <w:lang w:eastAsia="zh-CN"/>
        </w:rPr>
        <w:t xml:space="preserve"> gas pressure: 60psi,</w:t>
      </w:r>
    </w:p>
    <w:p w14:paraId="49CC644B" w14:textId="77777777" w:rsidR="00FE0F3A" w:rsidRDefault="00FE0F3A" w:rsidP="00FE0F3A">
      <w:pPr>
        <w:spacing w:before="0" w:after="0"/>
        <w:rPr>
          <w:rFonts w:cs="Times New Roman"/>
          <w:lang w:eastAsia="zh-CN"/>
        </w:rPr>
      </w:pPr>
      <w:proofErr w:type="spellStart"/>
      <w:r>
        <w:rPr>
          <w:rFonts w:cs="Times New Roman"/>
          <w:lang w:eastAsia="zh-CN"/>
        </w:rPr>
        <w:t>Desolvation</w:t>
      </w:r>
      <w:proofErr w:type="spellEnd"/>
      <w:r>
        <w:rPr>
          <w:rFonts w:cs="Times New Roman"/>
          <w:lang w:eastAsia="zh-CN"/>
        </w:rPr>
        <w:t xml:space="preserve"> gas: 800 L/</w:t>
      </w:r>
      <w:proofErr w:type="spellStart"/>
      <w:r>
        <w:rPr>
          <w:rFonts w:cs="Times New Roman"/>
          <w:lang w:eastAsia="zh-CN"/>
        </w:rPr>
        <w:t>hr</w:t>
      </w:r>
      <w:proofErr w:type="spellEnd"/>
      <w:r>
        <w:rPr>
          <w:rFonts w:cs="Times New Roman"/>
          <w:lang w:eastAsia="zh-CN"/>
        </w:rPr>
        <w:t>,</w:t>
      </w:r>
    </w:p>
    <w:p w14:paraId="41305B5A" w14:textId="77777777" w:rsidR="00FE0F3A" w:rsidRDefault="00FE0F3A" w:rsidP="00FE0F3A">
      <w:pPr>
        <w:spacing w:before="0" w:after="0"/>
        <w:rPr>
          <w:rFonts w:cs="Times New Roman"/>
          <w:lang w:eastAsia="zh-CN"/>
        </w:rPr>
      </w:pPr>
      <w:r>
        <w:rPr>
          <w:rFonts w:cs="Times New Roman"/>
          <w:lang w:eastAsia="zh-CN"/>
        </w:rPr>
        <w:t>Cone gas flow: 20 L/</w:t>
      </w:r>
      <w:proofErr w:type="spellStart"/>
      <w:r>
        <w:rPr>
          <w:rFonts w:cs="Times New Roman"/>
          <w:lang w:eastAsia="zh-CN"/>
        </w:rPr>
        <w:t>hr</w:t>
      </w:r>
      <w:proofErr w:type="spellEnd"/>
      <w:r>
        <w:rPr>
          <w:rFonts w:cs="Times New Roman"/>
          <w:lang w:eastAsia="zh-CN"/>
        </w:rPr>
        <w:t>,</w:t>
      </w:r>
    </w:p>
    <w:p w14:paraId="772D57D2" w14:textId="097AB242" w:rsidR="00FE0F3A" w:rsidRDefault="00FE0F3A" w:rsidP="00FE0F3A">
      <w:pPr>
        <w:spacing w:before="0" w:after="0"/>
        <w:rPr>
          <w:rFonts w:cs="Times New Roman"/>
          <w:lang w:eastAsia="zh-CN"/>
        </w:rPr>
      </w:pPr>
      <w:r>
        <w:rPr>
          <w:rFonts w:cs="Times New Roman"/>
          <w:lang w:eastAsia="zh-CN"/>
        </w:rPr>
        <w:t>Collision gas: Argon.</w:t>
      </w:r>
    </w:p>
    <w:p w14:paraId="4315347D" w14:textId="77777777" w:rsidR="00FE0F3A" w:rsidRDefault="00FE0F3A" w:rsidP="00FE0F3A">
      <w:pPr>
        <w:spacing w:before="0" w:after="0"/>
        <w:rPr>
          <w:rFonts w:cs="Times New Roman"/>
          <w:lang w:eastAsia="zh-CN"/>
        </w:rPr>
      </w:pPr>
    </w:p>
    <w:p w14:paraId="7134BE8F" w14:textId="64C16476" w:rsidR="007951C6" w:rsidRDefault="00FE0F3A" w:rsidP="00FE0F3A">
      <w:pPr>
        <w:spacing w:before="0" w:after="0"/>
      </w:pPr>
      <w:r>
        <w:rPr>
          <w:noProof/>
        </w:rPr>
        <w:lastRenderedPageBreak/>
        <w:drawing>
          <wp:inline distT="0" distB="0" distL="0" distR="0" wp14:anchorId="4501CDC6" wp14:editId="43DBDD30">
            <wp:extent cx="6208395" cy="284289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4CBC" w14:textId="51AFAB04" w:rsidR="00846D2B" w:rsidRDefault="00FE0F3A" w:rsidP="00FE0F3A">
      <w:pPr>
        <w:spacing w:before="0" w:after="0"/>
        <w:rPr>
          <w:lang w:eastAsia="zh-CN"/>
        </w:rPr>
      </w:pPr>
      <w:r w:rsidRPr="00FE0F3A">
        <w:rPr>
          <w:b/>
          <w:bCs/>
          <w:lang w:eastAsia="zh-CN"/>
        </w:rPr>
        <w:t>Figure 1.</w:t>
      </w:r>
      <w:r w:rsidR="008B6EBC" w:rsidRPr="008B6EBC">
        <w:t xml:space="preserve"> </w:t>
      </w:r>
      <w:r w:rsidR="008B6EBC" w:rsidRPr="008B6EBC">
        <w:rPr>
          <w:lang w:eastAsia="zh-CN"/>
        </w:rPr>
        <w:t xml:space="preserve">LC/MS/MS Chromatograms of representative compounds in Cortex </w:t>
      </w:r>
      <w:proofErr w:type="spellStart"/>
      <w:r w:rsidR="008B6EBC" w:rsidRPr="008B6EBC">
        <w:rPr>
          <w:lang w:eastAsia="zh-CN"/>
        </w:rPr>
        <w:t>Daphnes</w:t>
      </w:r>
      <w:proofErr w:type="spellEnd"/>
      <w:r w:rsidR="008B6EBC" w:rsidRPr="008B6EBC">
        <w:rPr>
          <w:lang w:eastAsia="zh-CN"/>
        </w:rPr>
        <w:t xml:space="preserve"> patch</w:t>
      </w:r>
    </w:p>
    <w:p w14:paraId="5B40998F" w14:textId="77777777" w:rsidR="008B6EBC" w:rsidRPr="00846D2B" w:rsidRDefault="008B6EBC" w:rsidP="00FE0F3A">
      <w:pPr>
        <w:spacing w:before="0" w:after="0"/>
        <w:rPr>
          <w:lang w:eastAsia="zh-CN"/>
        </w:rPr>
      </w:pPr>
    </w:p>
    <w:p w14:paraId="46D9F8F8" w14:textId="7DD8571D" w:rsidR="005571D0" w:rsidRDefault="00846D2B" w:rsidP="00FE0F3A">
      <w:pPr>
        <w:spacing w:before="0" w:after="0"/>
        <w:rPr>
          <w:lang w:eastAsia="zh-CN"/>
        </w:rPr>
      </w:pPr>
      <w:r w:rsidRPr="00846D2B">
        <w:rPr>
          <w:b/>
          <w:bCs/>
          <w:lang w:eastAsia="zh-CN"/>
        </w:rPr>
        <w:t>Table2.</w:t>
      </w:r>
      <w:r>
        <w:rPr>
          <w:lang w:eastAsia="zh-CN"/>
        </w:rPr>
        <w:t xml:space="preserve"> </w:t>
      </w:r>
      <w:r w:rsidRPr="00846D2B">
        <w:rPr>
          <w:lang w:eastAsia="zh-CN"/>
        </w:rPr>
        <w:t xml:space="preserve">Chemical profiling of Cortex </w:t>
      </w:r>
      <w:proofErr w:type="spellStart"/>
      <w:r w:rsidRPr="00846D2B">
        <w:rPr>
          <w:lang w:eastAsia="zh-CN"/>
        </w:rPr>
        <w:t>Daphnes</w:t>
      </w:r>
      <w:proofErr w:type="spellEnd"/>
      <w:r w:rsidRPr="00846D2B">
        <w:rPr>
          <w:lang w:eastAsia="zh-CN"/>
        </w:rPr>
        <w:t xml:space="preserve"> patch</w:t>
      </w:r>
    </w:p>
    <w:p w14:paraId="6F92F3F6" w14:textId="77777777" w:rsidR="00846D2B" w:rsidRDefault="00846D2B" w:rsidP="00FE0F3A">
      <w:pPr>
        <w:spacing w:before="0" w:after="0"/>
        <w:rPr>
          <w:lang w:eastAsia="zh-CN"/>
        </w:rPr>
      </w:pPr>
    </w:p>
    <w:tbl>
      <w:tblPr>
        <w:tblStyle w:val="aff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2266"/>
        <w:gridCol w:w="5905"/>
      </w:tblGrid>
      <w:tr w:rsidR="00846D2B" w:rsidRPr="00FE0F3A" w14:paraId="09F77C7B" w14:textId="77777777" w:rsidTr="00112708">
        <w:trPr>
          <w:trHeight w:val="454"/>
        </w:trPr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F95D9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bookmarkStart w:id="4" w:name="_Hlk59792133"/>
            <w:r w:rsidRPr="00FE0F3A">
              <w:rPr>
                <w:szCs w:val="24"/>
                <w:lang w:eastAsia="zh-CN"/>
              </w:rPr>
              <w:t>No.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47661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Retention time (min)</w:t>
            </w:r>
          </w:p>
        </w:tc>
        <w:tc>
          <w:tcPr>
            <w:tcW w:w="30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4B32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Compound</w:t>
            </w:r>
          </w:p>
        </w:tc>
      </w:tr>
      <w:tr w:rsidR="00846D2B" w:rsidRPr="00FE0F3A" w14:paraId="2F710CC3" w14:textId="77777777" w:rsidTr="00112708">
        <w:trPr>
          <w:trHeight w:val="454"/>
        </w:trPr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766F40D0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14:paraId="25166C5E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6.852</w:t>
            </w:r>
          </w:p>
        </w:tc>
        <w:tc>
          <w:tcPr>
            <w:tcW w:w="3020" w:type="pct"/>
            <w:tcBorders>
              <w:top w:val="single" w:sz="4" w:space="0" w:color="auto"/>
            </w:tcBorders>
            <w:vAlign w:val="center"/>
          </w:tcPr>
          <w:p w14:paraId="68480EEA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Daphnetin 7,8-di-o-β-D-glucoside</w:t>
            </w:r>
          </w:p>
        </w:tc>
      </w:tr>
      <w:tr w:rsidR="00846D2B" w:rsidRPr="00FE0F3A" w14:paraId="50731287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1F0361F2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2</w:t>
            </w:r>
          </w:p>
        </w:tc>
        <w:tc>
          <w:tcPr>
            <w:tcW w:w="1159" w:type="pct"/>
            <w:vAlign w:val="center"/>
          </w:tcPr>
          <w:p w14:paraId="5FD130DE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15.802</w:t>
            </w:r>
          </w:p>
        </w:tc>
        <w:tc>
          <w:tcPr>
            <w:tcW w:w="3020" w:type="pct"/>
            <w:vAlign w:val="center"/>
          </w:tcPr>
          <w:p w14:paraId="774C9813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bookmarkStart w:id="5" w:name="_Hlk59792596"/>
            <w:r w:rsidRPr="00FE0F3A">
              <w:rPr>
                <w:szCs w:val="24"/>
                <w:lang w:eastAsia="zh-CN"/>
              </w:rPr>
              <w:t>Daphnetin-8-o-β-D-glucoside</w:t>
            </w:r>
            <w:bookmarkEnd w:id="5"/>
          </w:p>
        </w:tc>
      </w:tr>
      <w:tr w:rsidR="00846D2B" w:rsidRPr="00FE0F3A" w14:paraId="578FBF3B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699AA82C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3</w:t>
            </w:r>
          </w:p>
        </w:tc>
        <w:tc>
          <w:tcPr>
            <w:tcW w:w="1159" w:type="pct"/>
            <w:vAlign w:val="center"/>
          </w:tcPr>
          <w:p w14:paraId="6D3285BC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24.842</w:t>
            </w:r>
          </w:p>
        </w:tc>
        <w:tc>
          <w:tcPr>
            <w:tcW w:w="3020" w:type="pct"/>
            <w:vAlign w:val="center"/>
          </w:tcPr>
          <w:p w14:paraId="464170C3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8-hydroxy-7-methoxycoumarin</w:t>
            </w:r>
          </w:p>
        </w:tc>
      </w:tr>
      <w:tr w:rsidR="00846D2B" w:rsidRPr="00FE0F3A" w14:paraId="3FDF8DC7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40A824D5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4</w:t>
            </w:r>
          </w:p>
        </w:tc>
        <w:tc>
          <w:tcPr>
            <w:tcW w:w="1159" w:type="pct"/>
            <w:vAlign w:val="center"/>
          </w:tcPr>
          <w:p w14:paraId="0D99D686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26.386</w:t>
            </w:r>
          </w:p>
        </w:tc>
        <w:tc>
          <w:tcPr>
            <w:tcW w:w="3020" w:type="pct"/>
            <w:vAlign w:val="center"/>
          </w:tcPr>
          <w:p w14:paraId="61C78FAB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 xml:space="preserve"> </w:t>
            </w:r>
            <w:proofErr w:type="spellStart"/>
            <w:r w:rsidRPr="00FE0F3A">
              <w:rPr>
                <w:szCs w:val="24"/>
                <w:lang w:eastAsia="zh-CN"/>
              </w:rPr>
              <w:t>Daphnin</w:t>
            </w:r>
            <w:proofErr w:type="spellEnd"/>
          </w:p>
        </w:tc>
      </w:tr>
      <w:tr w:rsidR="00846D2B" w:rsidRPr="00FE0F3A" w14:paraId="2B869907" w14:textId="77777777" w:rsidTr="00112708">
        <w:trPr>
          <w:trHeight w:val="449"/>
        </w:trPr>
        <w:tc>
          <w:tcPr>
            <w:tcW w:w="821" w:type="pct"/>
            <w:vAlign w:val="center"/>
          </w:tcPr>
          <w:p w14:paraId="7E4EF264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5</w:t>
            </w:r>
          </w:p>
        </w:tc>
        <w:tc>
          <w:tcPr>
            <w:tcW w:w="1159" w:type="pct"/>
            <w:vAlign w:val="center"/>
          </w:tcPr>
          <w:p w14:paraId="35B5E422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29.845</w:t>
            </w:r>
          </w:p>
        </w:tc>
        <w:tc>
          <w:tcPr>
            <w:tcW w:w="3020" w:type="pct"/>
            <w:vAlign w:val="center"/>
          </w:tcPr>
          <w:p w14:paraId="1DFDC54B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Daphnetin</w:t>
            </w:r>
          </w:p>
        </w:tc>
      </w:tr>
      <w:tr w:rsidR="00846D2B" w:rsidRPr="00FE0F3A" w14:paraId="405B497E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65A95FA8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6</w:t>
            </w:r>
          </w:p>
        </w:tc>
        <w:tc>
          <w:tcPr>
            <w:tcW w:w="1159" w:type="pct"/>
            <w:vAlign w:val="center"/>
          </w:tcPr>
          <w:p w14:paraId="2DC7A020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31.575</w:t>
            </w:r>
          </w:p>
        </w:tc>
        <w:tc>
          <w:tcPr>
            <w:tcW w:w="3020" w:type="pct"/>
            <w:vAlign w:val="center"/>
          </w:tcPr>
          <w:p w14:paraId="5E56BB46" w14:textId="77777777" w:rsidR="00846D2B" w:rsidRPr="00FE0F3A" w:rsidRDefault="00846D2B" w:rsidP="00112708">
            <w:pPr>
              <w:jc w:val="center"/>
              <w:rPr>
                <w:szCs w:val="24"/>
                <w:lang w:val="pt-BR"/>
              </w:rPr>
            </w:pPr>
            <w:r w:rsidRPr="00FE0F3A">
              <w:rPr>
                <w:szCs w:val="24"/>
                <w:lang w:val="pt-BR"/>
              </w:rPr>
              <w:t>5-hydroxy-7-methoxyocumarin-8-O-β-D-gluocpyrnaoside</w:t>
            </w:r>
          </w:p>
        </w:tc>
      </w:tr>
      <w:tr w:rsidR="00846D2B" w:rsidRPr="00FE0F3A" w14:paraId="64429CE5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091F312E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7</w:t>
            </w:r>
          </w:p>
        </w:tc>
        <w:tc>
          <w:tcPr>
            <w:tcW w:w="1159" w:type="pct"/>
            <w:vAlign w:val="center"/>
          </w:tcPr>
          <w:p w14:paraId="0CAE735A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36.297</w:t>
            </w:r>
          </w:p>
        </w:tc>
        <w:tc>
          <w:tcPr>
            <w:tcW w:w="3020" w:type="pct"/>
            <w:vAlign w:val="center"/>
          </w:tcPr>
          <w:p w14:paraId="1B8BFBAB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proofErr w:type="spellStart"/>
            <w:r w:rsidRPr="00FE0F3A">
              <w:rPr>
                <w:szCs w:val="24"/>
                <w:lang w:eastAsia="zh-CN"/>
              </w:rPr>
              <w:t>Syringoside</w:t>
            </w:r>
            <w:proofErr w:type="spellEnd"/>
          </w:p>
        </w:tc>
      </w:tr>
      <w:tr w:rsidR="00846D2B" w:rsidRPr="00FE0F3A" w14:paraId="4B53C720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6A89EBDC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8</w:t>
            </w:r>
          </w:p>
        </w:tc>
        <w:tc>
          <w:tcPr>
            <w:tcW w:w="1159" w:type="pct"/>
            <w:vAlign w:val="center"/>
          </w:tcPr>
          <w:p w14:paraId="482A3BA0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37.207</w:t>
            </w:r>
          </w:p>
        </w:tc>
        <w:tc>
          <w:tcPr>
            <w:tcW w:w="3020" w:type="pct"/>
            <w:vAlign w:val="center"/>
          </w:tcPr>
          <w:p w14:paraId="173E47C3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proofErr w:type="spellStart"/>
            <w:r w:rsidRPr="00FE0F3A">
              <w:rPr>
                <w:szCs w:val="24"/>
                <w:lang w:eastAsia="zh-CN"/>
              </w:rPr>
              <w:t>Umbelliferone</w:t>
            </w:r>
            <w:proofErr w:type="spellEnd"/>
          </w:p>
        </w:tc>
      </w:tr>
      <w:tr w:rsidR="00846D2B" w:rsidRPr="00FE0F3A" w14:paraId="6FA011AF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680AF4CF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9</w:t>
            </w:r>
          </w:p>
        </w:tc>
        <w:tc>
          <w:tcPr>
            <w:tcW w:w="1159" w:type="pct"/>
            <w:vAlign w:val="center"/>
          </w:tcPr>
          <w:p w14:paraId="075E8F68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37.772</w:t>
            </w:r>
          </w:p>
        </w:tc>
        <w:tc>
          <w:tcPr>
            <w:tcW w:w="3020" w:type="pct"/>
            <w:vAlign w:val="center"/>
          </w:tcPr>
          <w:p w14:paraId="51B032F7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proofErr w:type="spellStart"/>
            <w:r w:rsidRPr="00FE0F3A">
              <w:rPr>
                <w:szCs w:val="24"/>
              </w:rPr>
              <w:t>daphnoretin</w:t>
            </w:r>
            <w:proofErr w:type="spellEnd"/>
          </w:p>
        </w:tc>
      </w:tr>
      <w:tr w:rsidR="00846D2B" w:rsidRPr="00FE0F3A" w14:paraId="7D611777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6AD34C40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10</w:t>
            </w:r>
          </w:p>
        </w:tc>
        <w:tc>
          <w:tcPr>
            <w:tcW w:w="1159" w:type="pct"/>
            <w:vAlign w:val="center"/>
          </w:tcPr>
          <w:p w14:paraId="47211FD2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42.784</w:t>
            </w:r>
          </w:p>
        </w:tc>
        <w:tc>
          <w:tcPr>
            <w:tcW w:w="3020" w:type="pct"/>
            <w:vAlign w:val="center"/>
          </w:tcPr>
          <w:p w14:paraId="5CCE9CC5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val="pt-BR"/>
              </w:rPr>
              <w:t>woonenoside XI</w:t>
            </w:r>
          </w:p>
        </w:tc>
      </w:tr>
      <w:tr w:rsidR="00846D2B" w:rsidRPr="00FE0F3A" w14:paraId="029352E8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10CE31A3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11</w:t>
            </w:r>
          </w:p>
        </w:tc>
        <w:tc>
          <w:tcPr>
            <w:tcW w:w="1159" w:type="pct"/>
            <w:vAlign w:val="center"/>
          </w:tcPr>
          <w:p w14:paraId="5152E200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46.417</w:t>
            </w:r>
          </w:p>
        </w:tc>
        <w:tc>
          <w:tcPr>
            <w:tcW w:w="3020" w:type="pct"/>
            <w:vAlign w:val="center"/>
          </w:tcPr>
          <w:p w14:paraId="73B50525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oleanolic acid</w:t>
            </w:r>
          </w:p>
        </w:tc>
      </w:tr>
      <w:tr w:rsidR="00846D2B" w:rsidRPr="00FE0F3A" w14:paraId="0D1ABF17" w14:textId="77777777" w:rsidTr="00112708">
        <w:trPr>
          <w:trHeight w:val="454"/>
        </w:trPr>
        <w:tc>
          <w:tcPr>
            <w:tcW w:w="821" w:type="pct"/>
            <w:vAlign w:val="center"/>
          </w:tcPr>
          <w:p w14:paraId="68E04880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12</w:t>
            </w:r>
          </w:p>
        </w:tc>
        <w:tc>
          <w:tcPr>
            <w:tcW w:w="1159" w:type="pct"/>
            <w:vAlign w:val="center"/>
          </w:tcPr>
          <w:p w14:paraId="7F4A3582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>52.780</w:t>
            </w:r>
          </w:p>
        </w:tc>
        <w:tc>
          <w:tcPr>
            <w:tcW w:w="3020" w:type="pct"/>
            <w:vAlign w:val="center"/>
          </w:tcPr>
          <w:p w14:paraId="5CF3B95B" w14:textId="77777777" w:rsidR="00846D2B" w:rsidRPr="00FE0F3A" w:rsidRDefault="00846D2B" w:rsidP="00112708">
            <w:pPr>
              <w:jc w:val="center"/>
              <w:rPr>
                <w:szCs w:val="24"/>
                <w:lang w:eastAsia="zh-CN"/>
              </w:rPr>
            </w:pPr>
            <w:r w:rsidRPr="00FE0F3A">
              <w:rPr>
                <w:szCs w:val="24"/>
                <w:lang w:eastAsia="zh-CN"/>
              </w:rPr>
              <w:t xml:space="preserve">Daphne </w:t>
            </w:r>
            <w:proofErr w:type="spellStart"/>
            <w:r w:rsidRPr="00FE0F3A">
              <w:rPr>
                <w:szCs w:val="24"/>
                <w:lang w:eastAsia="zh-CN"/>
              </w:rPr>
              <w:t>flavane</w:t>
            </w:r>
            <w:proofErr w:type="spellEnd"/>
            <w:r w:rsidRPr="00FE0F3A">
              <w:rPr>
                <w:szCs w:val="24"/>
                <w:lang w:eastAsia="zh-CN"/>
              </w:rPr>
              <w:t xml:space="preserve"> E/F</w:t>
            </w:r>
          </w:p>
        </w:tc>
      </w:tr>
    </w:tbl>
    <w:p w14:paraId="685C43D2" w14:textId="77777777" w:rsidR="005571D0" w:rsidRDefault="005571D0" w:rsidP="005571D0">
      <w:pPr>
        <w:spacing w:before="0" w:after="0"/>
        <w:rPr>
          <w:rFonts w:cs="Times New Roman" w:hint="eastAsia"/>
          <w:lang w:eastAsia="zh-CN"/>
        </w:rPr>
      </w:pPr>
      <w:bookmarkStart w:id="6" w:name="OLE_LINK1"/>
      <w:bookmarkStart w:id="7" w:name="OLE_LINK2"/>
      <w:bookmarkEnd w:id="4"/>
    </w:p>
    <w:p w14:paraId="5D14353E" w14:textId="7E35932E" w:rsidR="00756F5E" w:rsidRPr="00590D07" w:rsidRDefault="00756F5E" w:rsidP="005571D0">
      <w:pPr>
        <w:spacing w:before="0" w:after="0"/>
        <w:rPr>
          <w:rFonts w:cs="Times New Roman"/>
          <w:lang w:eastAsia="zh-CN"/>
        </w:rPr>
      </w:pPr>
      <w:r w:rsidRPr="00590D07">
        <w:rPr>
          <w:rFonts w:cs="Times New Roman"/>
          <w:lang w:eastAsia="zh-CN"/>
        </w:rPr>
        <w:t xml:space="preserve">Previous phytochemical studies of D. </w:t>
      </w:r>
      <w:proofErr w:type="spellStart"/>
      <w:r w:rsidRPr="00590D07">
        <w:rPr>
          <w:rFonts w:cs="Times New Roman"/>
          <w:lang w:eastAsia="zh-CN"/>
        </w:rPr>
        <w:t>giraldii</w:t>
      </w:r>
      <w:proofErr w:type="spellEnd"/>
      <w:r w:rsidRPr="00590D07">
        <w:rPr>
          <w:rFonts w:cs="Times New Roman"/>
          <w:lang w:eastAsia="zh-CN"/>
        </w:rPr>
        <w:t xml:space="preserve"> have identified more than 150 compounds including coumarins, </w:t>
      </w:r>
      <w:proofErr w:type="spellStart"/>
      <w:r w:rsidRPr="00590D07">
        <w:rPr>
          <w:rFonts w:cs="Times New Roman"/>
          <w:lang w:eastAsia="zh-CN"/>
        </w:rPr>
        <w:t>flavnoids</w:t>
      </w:r>
      <w:proofErr w:type="spellEnd"/>
      <w:r w:rsidRPr="00590D07">
        <w:rPr>
          <w:rFonts w:cs="Times New Roman"/>
          <w:lang w:eastAsia="zh-CN"/>
        </w:rPr>
        <w:t xml:space="preserve">, lignans, diterpenes and miscellaneous ingredients, among which coumarins and flavonoids are the two major classes (Sun et al., 2008; Zhao et al., 2012; Sun et al., 2016, 2017). The content of total coumarins in D. </w:t>
      </w:r>
      <w:proofErr w:type="spellStart"/>
      <w:r w:rsidRPr="00590D07">
        <w:rPr>
          <w:rFonts w:cs="Times New Roman"/>
          <w:lang w:eastAsia="zh-CN"/>
        </w:rPr>
        <w:t>giraldii</w:t>
      </w:r>
      <w:proofErr w:type="spellEnd"/>
      <w:r w:rsidRPr="00590D07">
        <w:rPr>
          <w:rFonts w:cs="Times New Roman"/>
          <w:lang w:eastAsia="zh-CN"/>
        </w:rPr>
        <w:t xml:space="preserve"> was analyzed at the range of 18.44–31.73 mg/g, which showed a high similarity to that of D. </w:t>
      </w:r>
      <w:proofErr w:type="spellStart"/>
      <w:r w:rsidRPr="00590D07">
        <w:rPr>
          <w:rFonts w:cs="Times New Roman"/>
          <w:lang w:eastAsia="zh-CN"/>
        </w:rPr>
        <w:t>tangutica</w:t>
      </w:r>
      <w:proofErr w:type="spellEnd"/>
      <w:r w:rsidRPr="00590D07">
        <w:rPr>
          <w:rFonts w:cs="Times New Roman"/>
          <w:lang w:eastAsia="zh-CN"/>
        </w:rPr>
        <w:t xml:space="preserve"> from Shaanxi province (</w:t>
      </w:r>
      <w:proofErr w:type="spellStart"/>
      <w:r w:rsidRPr="00590D07">
        <w:rPr>
          <w:rFonts w:cs="Times New Roman"/>
          <w:lang w:eastAsia="zh-CN"/>
        </w:rPr>
        <w:t>Su</w:t>
      </w:r>
      <w:proofErr w:type="spellEnd"/>
      <w:r w:rsidRPr="00590D07">
        <w:rPr>
          <w:rFonts w:cs="Times New Roman"/>
          <w:lang w:eastAsia="zh-CN"/>
        </w:rPr>
        <w:t xml:space="preserve"> et al., 2009).</w:t>
      </w:r>
    </w:p>
    <w:bookmarkEnd w:id="6"/>
    <w:bookmarkEnd w:id="7"/>
    <w:p w14:paraId="6B4B6EF3" w14:textId="77777777" w:rsidR="00756F5E" w:rsidRDefault="00756F5E" w:rsidP="005571D0">
      <w:pPr>
        <w:spacing w:before="0" w:after="0"/>
        <w:rPr>
          <w:rFonts w:cs="Times New Roman"/>
          <w:lang w:eastAsia="zh-CN"/>
        </w:rPr>
      </w:pPr>
    </w:p>
    <w:p w14:paraId="47EC61E7" w14:textId="77777777" w:rsidR="00756F5E" w:rsidRPr="00590D07" w:rsidRDefault="00756F5E" w:rsidP="005571D0">
      <w:pPr>
        <w:spacing w:before="0" w:after="0"/>
        <w:rPr>
          <w:rFonts w:cs="Times New Roman"/>
          <w:szCs w:val="24"/>
          <w:lang w:eastAsia="zh-CN"/>
        </w:rPr>
      </w:pPr>
      <w:r w:rsidRPr="00590D07">
        <w:rPr>
          <w:rFonts w:cs="Times New Roman"/>
          <w:szCs w:val="24"/>
          <w:lang w:eastAsia="zh-CN"/>
        </w:rPr>
        <w:t>Reference</w:t>
      </w:r>
    </w:p>
    <w:p w14:paraId="5274BE0C" w14:textId="77777777" w:rsidR="00756F5E" w:rsidRPr="00590D07" w:rsidRDefault="00756F5E" w:rsidP="00756F5E">
      <w:pPr>
        <w:spacing w:after="0"/>
        <w:ind w:left="720" w:hangingChars="300" w:hanging="720"/>
        <w:rPr>
          <w:rFonts w:cs="Times New Roman"/>
          <w:szCs w:val="24"/>
          <w:lang w:eastAsia="zh-CN"/>
        </w:rPr>
      </w:pPr>
      <w:r w:rsidRPr="00590D07">
        <w:rPr>
          <w:rFonts w:cs="Times New Roman"/>
          <w:szCs w:val="24"/>
          <w:lang w:eastAsia="zh-CN"/>
        </w:rPr>
        <w:t xml:space="preserve">Wang, Q.M., Ni, Y.C., Xu, Y.Q., Ha, S.H., Cai, Y., 2000. The </w:t>
      </w:r>
      <w:proofErr w:type="spellStart"/>
      <w:r w:rsidRPr="00590D07">
        <w:rPr>
          <w:rFonts w:cs="Times New Roman"/>
          <w:szCs w:val="24"/>
          <w:lang w:eastAsia="zh-CN"/>
        </w:rPr>
        <w:t>schizontocidal</w:t>
      </w:r>
      <w:proofErr w:type="spellEnd"/>
      <w:r w:rsidRPr="00590D07">
        <w:rPr>
          <w:rFonts w:cs="Times New Roman"/>
          <w:szCs w:val="24"/>
          <w:lang w:eastAsia="zh-CN"/>
        </w:rPr>
        <w:t xml:space="preserve"> activity of</w:t>
      </w:r>
      <w:r w:rsidRPr="00590D07">
        <w:rPr>
          <w:rFonts w:cs="Times New Roman" w:hint="eastAsia"/>
          <w:szCs w:val="24"/>
          <w:lang w:eastAsia="zh-CN"/>
        </w:rPr>
        <w:t xml:space="preserve"> </w:t>
      </w:r>
      <w:r w:rsidRPr="00590D07">
        <w:rPr>
          <w:rFonts w:cs="Times New Roman"/>
          <w:szCs w:val="24"/>
          <w:lang w:eastAsia="zh-CN"/>
        </w:rPr>
        <w:t xml:space="preserve">daphnetin against malaria parasites in vitro and in vivo. Chin. J. </w:t>
      </w:r>
      <w:proofErr w:type="spellStart"/>
      <w:r w:rsidRPr="00590D07">
        <w:rPr>
          <w:rFonts w:cs="Times New Roman"/>
          <w:szCs w:val="24"/>
          <w:lang w:eastAsia="zh-CN"/>
        </w:rPr>
        <w:t>Parasitol</w:t>
      </w:r>
      <w:proofErr w:type="spellEnd"/>
      <w:r w:rsidRPr="00590D07">
        <w:rPr>
          <w:rFonts w:cs="Times New Roman"/>
          <w:szCs w:val="24"/>
          <w:lang w:eastAsia="zh-CN"/>
        </w:rPr>
        <w:t xml:space="preserve">. </w:t>
      </w:r>
      <w:proofErr w:type="spellStart"/>
      <w:r w:rsidRPr="00590D07">
        <w:rPr>
          <w:rFonts w:cs="Times New Roman"/>
          <w:szCs w:val="24"/>
          <w:lang w:eastAsia="zh-CN"/>
        </w:rPr>
        <w:t>Parasit</w:t>
      </w:r>
      <w:proofErr w:type="spellEnd"/>
      <w:r w:rsidRPr="00590D07">
        <w:rPr>
          <w:rFonts w:cs="Times New Roman"/>
          <w:szCs w:val="24"/>
          <w:lang w:eastAsia="zh-CN"/>
        </w:rPr>
        <w:t>. Dis.18, 204–206.</w:t>
      </w:r>
    </w:p>
    <w:p w14:paraId="63ABB81C" w14:textId="77777777" w:rsidR="00756F5E" w:rsidRPr="00590D07" w:rsidRDefault="00756F5E" w:rsidP="00756F5E">
      <w:pPr>
        <w:spacing w:after="0"/>
        <w:ind w:left="720" w:hangingChars="300" w:hanging="720"/>
        <w:rPr>
          <w:rFonts w:cs="Times New Roman"/>
          <w:szCs w:val="24"/>
          <w:lang w:eastAsia="zh-CN"/>
        </w:rPr>
      </w:pPr>
      <w:r w:rsidRPr="00590D07">
        <w:rPr>
          <w:rFonts w:cs="Times New Roman"/>
          <w:szCs w:val="24"/>
          <w:lang w:eastAsia="zh-CN"/>
        </w:rPr>
        <w:t>Sun, J., Wu, Z.J., Shen, Y.H., Zhang, C., Zhang, W.D., 2008. Studies on the chemical</w:t>
      </w:r>
      <w:r w:rsidRPr="00590D07">
        <w:rPr>
          <w:rFonts w:cs="Times New Roman" w:hint="eastAsia"/>
          <w:szCs w:val="24"/>
          <w:lang w:eastAsia="zh-CN"/>
        </w:rPr>
        <w:t xml:space="preserve"> </w:t>
      </w:r>
      <w:r w:rsidRPr="00590D07">
        <w:rPr>
          <w:rFonts w:cs="Times New Roman"/>
          <w:szCs w:val="24"/>
          <w:lang w:eastAsia="zh-CN"/>
        </w:rPr>
        <w:t xml:space="preserve">constituents of </w:t>
      </w:r>
      <w:r w:rsidRPr="00590D07">
        <w:rPr>
          <w:rFonts w:cs="Times New Roman"/>
          <w:i/>
          <w:iCs/>
          <w:szCs w:val="24"/>
          <w:lang w:eastAsia="zh-CN"/>
        </w:rPr>
        <w:t xml:space="preserve">Daphne </w:t>
      </w:r>
      <w:proofErr w:type="spellStart"/>
      <w:r w:rsidRPr="00590D07">
        <w:rPr>
          <w:rFonts w:cs="Times New Roman"/>
          <w:i/>
          <w:iCs/>
          <w:szCs w:val="24"/>
          <w:lang w:eastAsia="zh-CN"/>
        </w:rPr>
        <w:t>giraldii</w:t>
      </w:r>
      <w:proofErr w:type="spellEnd"/>
      <w:r w:rsidRPr="00590D07">
        <w:rPr>
          <w:rFonts w:cs="Times New Roman"/>
          <w:szCs w:val="24"/>
          <w:lang w:eastAsia="zh-CN"/>
        </w:rPr>
        <w:t xml:space="preserve"> </w:t>
      </w:r>
      <w:proofErr w:type="spellStart"/>
      <w:r w:rsidRPr="00590D07">
        <w:rPr>
          <w:rFonts w:cs="Times New Roman"/>
          <w:szCs w:val="24"/>
          <w:lang w:eastAsia="zh-CN"/>
        </w:rPr>
        <w:t>Nitsche</w:t>
      </w:r>
      <w:proofErr w:type="spellEnd"/>
      <w:r w:rsidRPr="00590D07">
        <w:rPr>
          <w:rFonts w:cs="Times New Roman"/>
          <w:szCs w:val="24"/>
          <w:lang w:eastAsia="zh-CN"/>
        </w:rPr>
        <w:t xml:space="preserve">. Chin. </w:t>
      </w:r>
      <w:proofErr w:type="spellStart"/>
      <w:r w:rsidRPr="00590D07">
        <w:rPr>
          <w:rFonts w:cs="Times New Roman"/>
          <w:szCs w:val="24"/>
          <w:lang w:eastAsia="zh-CN"/>
        </w:rPr>
        <w:t>Tradit</w:t>
      </w:r>
      <w:proofErr w:type="spellEnd"/>
      <w:r w:rsidRPr="00590D07">
        <w:rPr>
          <w:rFonts w:cs="Times New Roman"/>
          <w:szCs w:val="24"/>
          <w:lang w:eastAsia="zh-CN"/>
        </w:rPr>
        <w:t>. Herb. Drugs 39, 1781–1783.</w:t>
      </w:r>
    </w:p>
    <w:p w14:paraId="4DC2FDA3" w14:textId="77777777" w:rsidR="00756F5E" w:rsidRPr="00590D07" w:rsidRDefault="00756F5E" w:rsidP="00756F5E">
      <w:pPr>
        <w:spacing w:after="0"/>
        <w:ind w:left="720" w:hangingChars="300" w:hanging="720"/>
        <w:rPr>
          <w:rFonts w:cs="Times New Roman"/>
          <w:szCs w:val="24"/>
          <w:lang w:eastAsia="zh-CN"/>
        </w:rPr>
      </w:pPr>
      <w:r w:rsidRPr="00590D07">
        <w:rPr>
          <w:rFonts w:cs="Times New Roman"/>
          <w:szCs w:val="24"/>
          <w:lang w:eastAsia="zh-CN"/>
        </w:rPr>
        <w:t>Sun, Q., Li, F.F., Wang, D., Wu, J., Yao, G.D., Li, X., Li, L.Z., Liu, Q.B., Huang, X.X., Song,</w:t>
      </w:r>
      <w:r w:rsidRPr="00590D07">
        <w:rPr>
          <w:rFonts w:cs="Times New Roman" w:hint="eastAsia"/>
          <w:szCs w:val="24"/>
          <w:lang w:eastAsia="zh-CN"/>
        </w:rPr>
        <w:t xml:space="preserve"> </w:t>
      </w:r>
      <w:r w:rsidRPr="00590D07">
        <w:rPr>
          <w:rFonts w:cs="Times New Roman"/>
          <w:szCs w:val="24"/>
          <w:lang w:eastAsia="zh-CN"/>
        </w:rPr>
        <w:t xml:space="preserve">S.J., 2016. </w:t>
      </w:r>
      <w:proofErr w:type="spellStart"/>
      <w:r w:rsidRPr="00590D07">
        <w:rPr>
          <w:rFonts w:cs="Times New Roman"/>
          <w:szCs w:val="24"/>
          <w:lang w:eastAsia="zh-CN"/>
        </w:rPr>
        <w:t>Flavans</w:t>
      </w:r>
      <w:proofErr w:type="spellEnd"/>
      <w:r w:rsidRPr="00590D07">
        <w:rPr>
          <w:rFonts w:cs="Times New Roman"/>
          <w:szCs w:val="24"/>
          <w:lang w:eastAsia="zh-CN"/>
        </w:rPr>
        <w:t xml:space="preserve"> with cytotoxic activity from the stem and root bark of </w:t>
      </w:r>
      <w:r w:rsidRPr="00590D07">
        <w:rPr>
          <w:rFonts w:cs="Times New Roman"/>
          <w:i/>
          <w:iCs/>
          <w:szCs w:val="24"/>
          <w:lang w:eastAsia="zh-CN"/>
        </w:rPr>
        <w:t>Daphne</w:t>
      </w:r>
      <w:r w:rsidRPr="00590D07">
        <w:rPr>
          <w:rFonts w:cs="Times New Roman" w:hint="eastAsia"/>
          <w:i/>
          <w:iCs/>
          <w:szCs w:val="24"/>
          <w:lang w:eastAsia="zh-CN"/>
        </w:rPr>
        <w:t xml:space="preserve"> </w:t>
      </w:r>
      <w:proofErr w:type="spellStart"/>
      <w:r w:rsidRPr="00590D07">
        <w:rPr>
          <w:rFonts w:cs="Times New Roman"/>
          <w:i/>
          <w:iCs/>
          <w:szCs w:val="24"/>
          <w:lang w:eastAsia="zh-CN"/>
        </w:rPr>
        <w:t>giraldii</w:t>
      </w:r>
      <w:proofErr w:type="spellEnd"/>
      <w:r w:rsidRPr="00590D07">
        <w:rPr>
          <w:rFonts w:cs="Times New Roman"/>
          <w:szCs w:val="24"/>
          <w:lang w:eastAsia="zh-CN"/>
        </w:rPr>
        <w:t xml:space="preserve">. RSC Adv. 6, 55919–55929. </w:t>
      </w:r>
      <w:hyperlink r:id="rId9" w:history="1">
        <w:r w:rsidRPr="00590D07">
          <w:rPr>
            <w:rStyle w:val="afc"/>
            <w:rFonts w:cs="Times New Roman"/>
            <w:szCs w:val="24"/>
            <w:lang w:eastAsia="zh-CN"/>
          </w:rPr>
          <w:t>https://doi.org/10.1039/C6RA08537G.</w:t>
        </w:r>
      </w:hyperlink>
    </w:p>
    <w:p w14:paraId="4C892C88" w14:textId="77777777" w:rsidR="00756F5E" w:rsidRPr="00590D07" w:rsidRDefault="00756F5E" w:rsidP="00756F5E">
      <w:pPr>
        <w:spacing w:after="0"/>
        <w:ind w:left="720" w:hangingChars="300" w:hanging="720"/>
        <w:rPr>
          <w:rFonts w:cs="Times New Roman"/>
          <w:szCs w:val="24"/>
          <w:lang w:eastAsia="zh-CN"/>
        </w:rPr>
      </w:pPr>
      <w:r w:rsidRPr="00590D07">
        <w:rPr>
          <w:rFonts w:cs="Times New Roman"/>
          <w:szCs w:val="24"/>
          <w:lang w:eastAsia="zh-CN"/>
        </w:rPr>
        <w:t>Sun, Q., Yao, G.D., Song, X.Y., Qi, X.L., Xi, Y.F., Li, L.Z., Huang, X.X., Song, S.J., 2017.</w:t>
      </w:r>
      <w:r w:rsidRPr="00590D07">
        <w:rPr>
          <w:rFonts w:cs="Times New Roman" w:hint="eastAsia"/>
          <w:szCs w:val="24"/>
          <w:lang w:eastAsia="zh-CN"/>
        </w:rPr>
        <w:t xml:space="preserve"> </w:t>
      </w:r>
      <w:r w:rsidRPr="00590D07">
        <w:rPr>
          <w:rFonts w:cs="Times New Roman"/>
          <w:szCs w:val="24"/>
          <w:lang w:eastAsia="zh-CN"/>
        </w:rPr>
        <w:t xml:space="preserve">Autophagy antagonizes apoptosis induced by </w:t>
      </w:r>
      <w:proofErr w:type="spellStart"/>
      <w:r w:rsidRPr="00590D07">
        <w:rPr>
          <w:rFonts w:cs="Times New Roman"/>
          <w:szCs w:val="24"/>
          <w:lang w:eastAsia="zh-CN"/>
        </w:rPr>
        <w:t>flavan</w:t>
      </w:r>
      <w:proofErr w:type="spellEnd"/>
      <w:r w:rsidRPr="00590D07">
        <w:rPr>
          <w:rFonts w:cs="Times New Roman"/>
          <w:szCs w:val="24"/>
          <w:lang w:eastAsia="zh-CN"/>
        </w:rPr>
        <w:t xml:space="preserve"> enantiomers from</w:t>
      </w:r>
      <w:r w:rsidRPr="00590D07">
        <w:rPr>
          <w:rFonts w:cs="Times New Roman"/>
          <w:i/>
          <w:iCs/>
          <w:szCs w:val="24"/>
          <w:lang w:eastAsia="zh-CN"/>
        </w:rPr>
        <w:t xml:space="preserve"> Daphne </w:t>
      </w:r>
      <w:proofErr w:type="spellStart"/>
      <w:r w:rsidRPr="00590D07">
        <w:rPr>
          <w:rFonts w:cs="Times New Roman"/>
          <w:i/>
          <w:iCs/>
          <w:szCs w:val="24"/>
          <w:lang w:eastAsia="zh-CN"/>
        </w:rPr>
        <w:t>giraldii</w:t>
      </w:r>
      <w:proofErr w:type="spellEnd"/>
      <w:r w:rsidRPr="00590D07">
        <w:rPr>
          <w:rFonts w:cs="Times New Roman" w:hint="eastAsia"/>
          <w:i/>
          <w:iCs/>
          <w:szCs w:val="24"/>
          <w:lang w:eastAsia="zh-CN"/>
        </w:rPr>
        <w:t xml:space="preserve"> </w:t>
      </w:r>
      <w:r w:rsidRPr="00590D07">
        <w:rPr>
          <w:rFonts w:cs="Times New Roman"/>
          <w:szCs w:val="24"/>
          <w:lang w:eastAsia="zh-CN"/>
        </w:rPr>
        <w:t>in hepatic carcinoma cells in vitro. Eur. J. Med. Chem. 133, 1–10. https://doi.org/10.1016/j.ejmech.2017.03.072.</w:t>
      </w:r>
    </w:p>
    <w:p w14:paraId="457E40D6" w14:textId="77777777" w:rsidR="00756F5E" w:rsidRPr="00590D07" w:rsidRDefault="00756F5E" w:rsidP="00756F5E">
      <w:pPr>
        <w:spacing w:after="0"/>
        <w:ind w:left="720" w:hangingChars="300" w:hanging="720"/>
        <w:rPr>
          <w:rFonts w:cs="Times New Roman"/>
          <w:szCs w:val="24"/>
          <w:lang w:eastAsia="zh-CN"/>
        </w:rPr>
      </w:pPr>
      <w:r w:rsidRPr="00590D07">
        <w:rPr>
          <w:rFonts w:cs="Times New Roman"/>
          <w:szCs w:val="24"/>
          <w:lang w:eastAsia="zh-CN"/>
        </w:rPr>
        <w:t xml:space="preserve">Zhao, J., </w:t>
      </w:r>
      <w:proofErr w:type="spellStart"/>
      <w:r w:rsidRPr="00590D07">
        <w:rPr>
          <w:rFonts w:cs="Times New Roman"/>
          <w:szCs w:val="24"/>
          <w:lang w:eastAsia="zh-CN"/>
        </w:rPr>
        <w:t>Jin</w:t>
      </w:r>
      <w:proofErr w:type="spellEnd"/>
      <w:r w:rsidRPr="00590D07">
        <w:rPr>
          <w:rFonts w:cs="Times New Roman"/>
          <w:szCs w:val="24"/>
          <w:lang w:eastAsia="zh-CN"/>
        </w:rPr>
        <w:t xml:space="preserve">, X.J., Zhang, H.J., 2012. Research progress of </w:t>
      </w:r>
      <w:r w:rsidRPr="00590D07">
        <w:rPr>
          <w:rFonts w:cs="Times New Roman"/>
          <w:i/>
          <w:iCs/>
          <w:szCs w:val="24"/>
          <w:lang w:eastAsia="zh-CN"/>
        </w:rPr>
        <w:t xml:space="preserve">Daphne </w:t>
      </w:r>
      <w:proofErr w:type="spellStart"/>
      <w:r w:rsidRPr="00590D07">
        <w:rPr>
          <w:rFonts w:cs="Times New Roman"/>
          <w:i/>
          <w:iCs/>
          <w:szCs w:val="24"/>
          <w:lang w:eastAsia="zh-CN"/>
        </w:rPr>
        <w:t>giraldii</w:t>
      </w:r>
      <w:proofErr w:type="spellEnd"/>
      <w:r w:rsidRPr="00590D07">
        <w:rPr>
          <w:rFonts w:cs="Times New Roman"/>
          <w:szCs w:val="24"/>
          <w:lang w:eastAsia="zh-CN"/>
        </w:rPr>
        <w:t>. Chinese Wild</w:t>
      </w:r>
      <w:r w:rsidRPr="00590D07">
        <w:rPr>
          <w:rFonts w:cs="Times New Roman" w:hint="eastAsia"/>
          <w:szCs w:val="24"/>
          <w:lang w:eastAsia="zh-CN"/>
        </w:rPr>
        <w:t xml:space="preserve"> </w:t>
      </w:r>
      <w:r w:rsidRPr="00590D07">
        <w:rPr>
          <w:rFonts w:cs="Times New Roman"/>
          <w:szCs w:val="24"/>
          <w:lang w:eastAsia="zh-CN"/>
        </w:rPr>
        <w:t>Plant Resources 31, 12–14. https://doi.org/10.3969/j.issn.1006-9690- 2012.06.003.</w:t>
      </w:r>
    </w:p>
    <w:p w14:paraId="178A2D02" w14:textId="77777777" w:rsidR="00756F5E" w:rsidRPr="00590D07" w:rsidRDefault="00756F5E" w:rsidP="00756F5E">
      <w:pPr>
        <w:spacing w:after="0"/>
        <w:ind w:left="720" w:hangingChars="300" w:hanging="720"/>
        <w:rPr>
          <w:rFonts w:cs="Times New Roman"/>
          <w:szCs w:val="24"/>
          <w:lang w:eastAsia="zh-CN"/>
        </w:rPr>
      </w:pPr>
      <w:proofErr w:type="spellStart"/>
      <w:r w:rsidRPr="00590D07">
        <w:rPr>
          <w:rFonts w:cs="Times New Roman"/>
          <w:szCs w:val="24"/>
          <w:lang w:eastAsia="zh-CN"/>
        </w:rPr>
        <w:t>Su</w:t>
      </w:r>
      <w:proofErr w:type="spellEnd"/>
      <w:r w:rsidRPr="00590D07">
        <w:rPr>
          <w:rFonts w:cs="Times New Roman"/>
          <w:szCs w:val="24"/>
          <w:lang w:eastAsia="zh-CN"/>
        </w:rPr>
        <w:t>, J., Zhang, C., Zhang, W., Shen, Y.H., Li, H.L., Liu, R.H., Zhang, X., Hu, X.J., Zhang,</w:t>
      </w:r>
      <w:r w:rsidRPr="00590D07">
        <w:rPr>
          <w:rFonts w:cs="Times New Roman" w:hint="eastAsia"/>
          <w:szCs w:val="24"/>
          <w:lang w:eastAsia="zh-CN"/>
        </w:rPr>
        <w:t xml:space="preserve"> </w:t>
      </w:r>
      <w:r w:rsidRPr="00590D07">
        <w:rPr>
          <w:rFonts w:cs="Times New Roman"/>
          <w:szCs w:val="24"/>
          <w:lang w:eastAsia="zh-CN"/>
        </w:rPr>
        <w:t>W.D., 2009. Qualitative and quantitative determination of the major coumarins in</w:t>
      </w:r>
      <w:r w:rsidRPr="00590D07">
        <w:rPr>
          <w:rFonts w:cs="Times New Roman" w:hint="eastAsia"/>
          <w:szCs w:val="24"/>
          <w:lang w:eastAsia="zh-CN"/>
        </w:rPr>
        <w:t xml:space="preserve"> </w:t>
      </w:r>
      <w:proofErr w:type="spellStart"/>
      <w:r w:rsidRPr="00590D07">
        <w:rPr>
          <w:rFonts w:cs="Times New Roman"/>
          <w:szCs w:val="24"/>
          <w:lang w:eastAsia="zh-CN"/>
        </w:rPr>
        <w:t>Zushima</w:t>
      </w:r>
      <w:proofErr w:type="spellEnd"/>
      <w:r w:rsidRPr="00590D07">
        <w:rPr>
          <w:rFonts w:cs="Times New Roman"/>
          <w:szCs w:val="24"/>
          <w:lang w:eastAsia="zh-CN"/>
        </w:rPr>
        <w:t xml:space="preserve"> by high performance liquid chromatography with diode array detector and</w:t>
      </w:r>
      <w:r w:rsidRPr="00590D07">
        <w:rPr>
          <w:rFonts w:cs="Times New Roman" w:hint="eastAsia"/>
          <w:szCs w:val="24"/>
          <w:lang w:eastAsia="zh-CN"/>
        </w:rPr>
        <w:t xml:space="preserve"> </w:t>
      </w:r>
      <w:r w:rsidRPr="00590D07">
        <w:rPr>
          <w:rFonts w:cs="Times New Roman"/>
          <w:szCs w:val="24"/>
          <w:lang w:eastAsia="zh-CN"/>
        </w:rPr>
        <w:t xml:space="preserve">mass spectrometry. J. </w:t>
      </w:r>
      <w:proofErr w:type="spellStart"/>
      <w:r w:rsidRPr="00590D07">
        <w:rPr>
          <w:rFonts w:cs="Times New Roman"/>
          <w:szCs w:val="24"/>
          <w:lang w:eastAsia="zh-CN"/>
        </w:rPr>
        <w:t>Chromatogr</w:t>
      </w:r>
      <w:proofErr w:type="spellEnd"/>
      <w:r w:rsidRPr="00590D07">
        <w:rPr>
          <w:rFonts w:cs="Times New Roman"/>
          <w:szCs w:val="24"/>
          <w:lang w:eastAsia="zh-CN"/>
        </w:rPr>
        <w:t>. A 1216, 2111–2117. https://doi.org/10.1016/j.chroma.2008.06.015.</w:t>
      </w:r>
    </w:p>
    <w:p w14:paraId="50D73F88" w14:textId="5B1E3339" w:rsidR="00FE0F3A" w:rsidRPr="001549D3" w:rsidRDefault="00FE0F3A" w:rsidP="00756F5E">
      <w:pPr>
        <w:spacing w:before="0" w:after="0"/>
        <w:rPr>
          <w:lang w:eastAsia="zh-CN"/>
        </w:rPr>
      </w:pPr>
    </w:p>
    <w:sectPr w:rsidR="00FE0F3A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66A56"/>
    <w:rsid w:val="00077D53"/>
    <w:rsid w:val="000C79E2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A4E47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571D0"/>
    <w:rsid w:val="00593EEA"/>
    <w:rsid w:val="005A5EEE"/>
    <w:rsid w:val="006375C7"/>
    <w:rsid w:val="00654E8F"/>
    <w:rsid w:val="00660D05"/>
    <w:rsid w:val="006820B1"/>
    <w:rsid w:val="006B7D14"/>
    <w:rsid w:val="006F0C99"/>
    <w:rsid w:val="00701727"/>
    <w:rsid w:val="0070566C"/>
    <w:rsid w:val="00714C50"/>
    <w:rsid w:val="00725A7D"/>
    <w:rsid w:val="007501BE"/>
    <w:rsid w:val="00756F5E"/>
    <w:rsid w:val="00790BB3"/>
    <w:rsid w:val="007951C6"/>
    <w:rsid w:val="007C206C"/>
    <w:rsid w:val="00817DD6"/>
    <w:rsid w:val="0083759F"/>
    <w:rsid w:val="00846D2B"/>
    <w:rsid w:val="00885156"/>
    <w:rsid w:val="008B6EBC"/>
    <w:rsid w:val="009151AA"/>
    <w:rsid w:val="0093429D"/>
    <w:rsid w:val="00943573"/>
    <w:rsid w:val="00964134"/>
    <w:rsid w:val="00970F7D"/>
    <w:rsid w:val="00994A3D"/>
    <w:rsid w:val="009C1796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87965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1300C"/>
    <w:rsid w:val="00F46900"/>
    <w:rsid w:val="00F61D89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39/C6RA08537G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yanting li</cp:lastModifiedBy>
  <cp:revision>14</cp:revision>
  <cp:lastPrinted>2013-10-03T12:51:00Z</cp:lastPrinted>
  <dcterms:created xsi:type="dcterms:W3CDTF">2020-12-25T05:25:00Z</dcterms:created>
  <dcterms:modified xsi:type="dcterms:W3CDTF">2020-12-25T13:00:00Z</dcterms:modified>
</cp:coreProperties>
</file>