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D22" w:rsidRPr="008E57EB" w:rsidRDefault="008E57EB">
      <w:pPr>
        <w:rPr>
          <w:rFonts w:ascii="Arial" w:hAnsi="Arial" w:cs="Arial"/>
          <w:sz w:val="22"/>
          <w:szCs w:val="22"/>
        </w:rPr>
      </w:pPr>
      <w:bookmarkStart w:id="0" w:name="_GoBack"/>
      <w:bookmarkEnd w:id="0"/>
      <w:r w:rsidRPr="008E57EB">
        <w:rPr>
          <w:rFonts w:ascii="Arial" w:hAnsi="Arial" w:cs="Arial"/>
          <w:sz w:val="22"/>
          <w:szCs w:val="22"/>
        </w:rPr>
        <w:t>The 2010 American College of Rheumatology/European League Against Rheumatism classification criteria for rheumatoid arthritis</w:t>
      </w:r>
    </w:p>
    <w:tbl>
      <w:tblPr>
        <w:tblStyle w:val="a3"/>
        <w:tblW w:w="0" w:type="auto"/>
        <w:tblLook w:val="04A0" w:firstRow="1" w:lastRow="0" w:firstColumn="1" w:lastColumn="0" w:noHBand="0" w:noVBand="1"/>
      </w:tblPr>
      <w:tblGrid>
        <w:gridCol w:w="7650"/>
        <w:gridCol w:w="980"/>
      </w:tblGrid>
      <w:tr w:rsidR="008E57EB" w:rsidRPr="008E57EB" w:rsidTr="00057AC5">
        <w:tc>
          <w:tcPr>
            <w:tcW w:w="8630" w:type="dxa"/>
            <w:gridSpan w:val="2"/>
            <w:tcBorders>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 xml:space="preserve">                                                                      score</w:t>
            </w: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Target population (Who should be tested?): Patients who</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 xml:space="preserve">1) have at least 1 joint with definite clinical synovitis (swelling)* </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 xml:space="preserve">2) with the synovitis not better explained by another disease† </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Classification criteria for RA (score-based algorithm: add score of categories A–D;</w:t>
            </w:r>
            <w:r>
              <w:rPr>
                <w:rFonts w:ascii="Arial" w:hAnsi="Arial" w:cs="Arial"/>
                <w:color w:val="211E1E"/>
                <w:sz w:val="22"/>
                <w:szCs w:val="22"/>
              </w:rPr>
              <w:t xml:space="preserve"> </w:t>
            </w:r>
            <w:r w:rsidRPr="008E57EB">
              <w:rPr>
                <w:rFonts w:ascii="Arial" w:hAnsi="Arial" w:cs="Arial"/>
                <w:color w:val="211E1E"/>
                <w:sz w:val="22"/>
                <w:szCs w:val="22"/>
              </w:rPr>
              <w:t xml:space="preserve">a score of ≥6/10 is needed for classification of a patient as having definite RA) ‡ </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A. Joint involvement§</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pPr>
            <w:r w:rsidRPr="008E57EB">
              <w:rPr>
                <w:rFonts w:ascii="Arial" w:hAnsi="Arial" w:cs="Arial"/>
                <w:color w:val="211E1E"/>
                <w:sz w:val="22"/>
                <w:szCs w:val="22"/>
              </w:rPr>
              <w:t xml:space="preserve">1 large joint ¶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0</w:t>
            </w: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2-10 large joints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1</w:t>
            </w: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1-3 small joints (with or without involvement of large joints) #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2</w:t>
            </w: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4-10 small joints (with or without involvement of large joints)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3</w:t>
            </w: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&gt;10 joints (at least 1 small joint) **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5</w:t>
            </w: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B. Serology (at least 1 test result is needed for classification) ††</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Negative RF </w:t>
            </w:r>
            <w:r w:rsidRPr="008E57EB">
              <w:rPr>
                <w:rFonts w:ascii="Arial" w:hAnsi="Arial" w:cs="Arial"/>
                <w:i/>
                <w:iCs/>
                <w:color w:val="211E1E"/>
                <w:sz w:val="22"/>
                <w:szCs w:val="22"/>
              </w:rPr>
              <w:t xml:space="preserve">and </w:t>
            </w:r>
            <w:r w:rsidRPr="008E57EB">
              <w:rPr>
                <w:rFonts w:ascii="Arial" w:hAnsi="Arial" w:cs="Arial"/>
                <w:color w:val="211E1E"/>
                <w:sz w:val="22"/>
                <w:szCs w:val="22"/>
              </w:rPr>
              <w:t xml:space="preserve">negative ACPA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0</w:t>
            </w: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Low-positive RF </w:t>
            </w:r>
            <w:r w:rsidRPr="008E57EB">
              <w:rPr>
                <w:rFonts w:ascii="Arial" w:hAnsi="Arial" w:cs="Arial"/>
                <w:i/>
                <w:iCs/>
                <w:color w:val="211E1E"/>
                <w:sz w:val="22"/>
                <w:szCs w:val="22"/>
              </w:rPr>
              <w:t xml:space="preserve">or </w:t>
            </w:r>
            <w:r w:rsidRPr="008E57EB">
              <w:rPr>
                <w:rFonts w:ascii="Arial" w:hAnsi="Arial" w:cs="Arial"/>
                <w:color w:val="211E1E"/>
                <w:sz w:val="22"/>
                <w:szCs w:val="22"/>
              </w:rPr>
              <w:t xml:space="preserve">low-positive ACPA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2</w:t>
            </w: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High-positive RF </w:t>
            </w:r>
            <w:r w:rsidRPr="008E57EB">
              <w:rPr>
                <w:rFonts w:ascii="Arial" w:hAnsi="Arial" w:cs="Arial"/>
                <w:i/>
                <w:iCs/>
                <w:color w:val="211E1E"/>
                <w:sz w:val="22"/>
                <w:szCs w:val="22"/>
              </w:rPr>
              <w:t xml:space="preserve">or </w:t>
            </w:r>
            <w:r w:rsidRPr="008E57EB">
              <w:rPr>
                <w:rFonts w:ascii="Arial" w:hAnsi="Arial" w:cs="Arial"/>
                <w:color w:val="211E1E"/>
                <w:sz w:val="22"/>
                <w:szCs w:val="22"/>
              </w:rPr>
              <w:t xml:space="preserve">high-positive ACPA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3</w:t>
            </w: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C. Acute-phase reactants (at least 1 test result is needed for classification) ‡‡</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Normal CRP </w:t>
            </w:r>
            <w:r w:rsidRPr="008E57EB">
              <w:rPr>
                <w:rFonts w:ascii="Arial" w:hAnsi="Arial" w:cs="Arial"/>
                <w:i/>
                <w:iCs/>
                <w:color w:val="211E1E"/>
                <w:sz w:val="22"/>
                <w:szCs w:val="22"/>
              </w:rPr>
              <w:t xml:space="preserve">and </w:t>
            </w:r>
            <w:r w:rsidRPr="008E57EB">
              <w:rPr>
                <w:rFonts w:ascii="Arial" w:hAnsi="Arial" w:cs="Arial"/>
                <w:color w:val="211E1E"/>
                <w:sz w:val="22"/>
                <w:szCs w:val="22"/>
              </w:rPr>
              <w:t xml:space="preserve">normal ESR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0</w:t>
            </w: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sidRPr="008E57EB">
              <w:rPr>
                <w:rFonts w:ascii="Arial" w:hAnsi="Arial" w:cs="Arial"/>
                <w:color w:val="211E1E"/>
                <w:sz w:val="22"/>
                <w:szCs w:val="22"/>
              </w:rPr>
              <w:t xml:space="preserve">Abnormal CRP </w:t>
            </w:r>
            <w:r w:rsidRPr="008E57EB">
              <w:rPr>
                <w:rFonts w:ascii="Arial" w:hAnsi="Arial" w:cs="Arial"/>
                <w:i/>
                <w:iCs/>
                <w:color w:val="211E1E"/>
                <w:sz w:val="22"/>
                <w:szCs w:val="22"/>
              </w:rPr>
              <w:t xml:space="preserve">or </w:t>
            </w:r>
            <w:r w:rsidRPr="008E57EB">
              <w:rPr>
                <w:rFonts w:ascii="Arial" w:hAnsi="Arial" w:cs="Arial"/>
                <w:color w:val="211E1E"/>
                <w:sz w:val="22"/>
                <w:szCs w:val="22"/>
              </w:rPr>
              <w:t xml:space="preserve">abnormal ESR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1</w:t>
            </w:r>
          </w:p>
        </w:tc>
      </w:tr>
      <w:tr w:rsidR="008E57EB" w:rsidRPr="008E57EB" w:rsidTr="00057AC5">
        <w:tc>
          <w:tcPr>
            <w:tcW w:w="7650" w:type="dxa"/>
            <w:tcBorders>
              <w:top w:val="nil"/>
              <w:left w:val="nil"/>
              <w:bottom w:val="nil"/>
              <w:right w:val="nil"/>
            </w:tcBorders>
          </w:tcPr>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t>D. Duration of symptoms §§</w:t>
            </w:r>
          </w:p>
        </w:tc>
        <w:tc>
          <w:tcPr>
            <w:tcW w:w="980" w:type="dxa"/>
            <w:tcBorders>
              <w:top w:val="nil"/>
              <w:left w:val="nil"/>
              <w:bottom w:val="nil"/>
              <w:right w:val="nil"/>
            </w:tcBorders>
          </w:tcPr>
          <w:p w:rsidR="008E57EB" w:rsidRPr="008E57EB" w:rsidRDefault="008E57EB">
            <w:pPr>
              <w:rPr>
                <w:rFonts w:ascii="Arial" w:hAnsi="Arial" w:cs="Arial"/>
                <w:sz w:val="22"/>
                <w:szCs w:val="22"/>
              </w:rPr>
            </w:pPr>
          </w:p>
        </w:tc>
      </w:tr>
      <w:tr w:rsidR="008E57EB" w:rsidRPr="008E57EB" w:rsidTr="00057AC5">
        <w:tc>
          <w:tcPr>
            <w:tcW w:w="7650" w:type="dxa"/>
            <w:tcBorders>
              <w:top w:val="nil"/>
              <w:left w:val="nil"/>
              <w:bottom w:val="nil"/>
              <w:right w:val="nil"/>
            </w:tcBorders>
          </w:tcPr>
          <w:p w:rsidR="008E57EB" w:rsidRPr="008E57EB" w:rsidRDefault="008E57EB" w:rsidP="008E57EB">
            <w:pPr>
              <w:pStyle w:val="a4"/>
              <w:ind w:firstLineChars="100" w:firstLine="220"/>
              <w:rPr>
                <w:rFonts w:ascii="Arial" w:hAnsi="Arial" w:cs="Arial"/>
                <w:sz w:val="22"/>
                <w:szCs w:val="22"/>
              </w:rPr>
            </w:pPr>
            <w:r>
              <w:rPr>
                <w:rFonts w:ascii="Arial" w:hAnsi="Arial" w:cs="Arial" w:hint="eastAsia"/>
                <w:color w:val="211E1E"/>
                <w:sz w:val="22"/>
                <w:szCs w:val="22"/>
              </w:rPr>
              <w:t>&lt;</w:t>
            </w:r>
            <w:r w:rsidRPr="008E57EB">
              <w:rPr>
                <w:rFonts w:ascii="Arial" w:hAnsi="Arial" w:cs="Arial"/>
                <w:color w:val="211E1E"/>
                <w:sz w:val="22"/>
                <w:szCs w:val="22"/>
              </w:rPr>
              <w:t xml:space="preserve">6 weeks </w:t>
            </w:r>
          </w:p>
        </w:tc>
        <w:tc>
          <w:tcPr>
            <w:tcW w:w="980" w:type="dxa"/>
            <w:tcBorders>
              <w:top w:val="nil"/>
              <w:left w:val="nil"/>
              <w:bottom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0</w:t>
            </w:r>
          </w:p>
        </w:tc>
      </w:tr>
      <w:tr w:rsidR="008E57EB" w:rsidRPr="008E57EB" w:rsidTr="00057AC5">
        <w:tc>
          <w:tcPr>
            <w:tcW w:w="7650" w:type="dxa"/>
            <w:tcBorders>
              <w:top w:val="nil"/>
              <w:left w:val="nil"/>
              <w:right w:val="nil"/>
            </w:tcBorders>
          </w:tcPr>
          <w:p w:rsidR="008E57EB" w:rsidRPr="008E57EB" w:rsidRDefault="008E57EB" w:rsidP="008E57EB">
            <w:pPr>
              <w:ind w:firstLineChars="100" w:firstLine="220"/>
              <w:rPr>
                <w:rFonts w:ascii="Arial" w:hAnsi="Arial" w:cs="Arial"/>
                <w:sz w:val="22"/>
                <w:szCs w:val="22"/>
              </w:rPr>
            </w:pPr>
            <w:r w:rsidRPr="008E57EB">
              <w:rPr>
                <w:rFonts w:ascii="Arial" w:hAnsi="Arial" w:cs="Arial"/>
                <w:sz w:val="22"/>
                <w:szCs w:val="22"/>
              </w:rPr>
              <w:t>≥6weeks</w:t>
            </w:r>
          </w:p>
        </w:tc>
        <w:tc>
          <w:tcPr>
            <w:tcW w:w="980" w:type="dxa"/>
            <w:tcBorders>
              <w:top w:val="nil"/>
              <w:left w:val="nil"/>
              <w:right w:val="nil"/>
            </w:tcBorders>
          </w:tcPr>
          <w:p w:rsidR="008E57EB" w:rsidRPr="008E57EB" w:rsidRDefault="008E57EB">
            <w:pPr>
              <w:rPr>
                <w:rFonts w:ascii="Arial" w:hAnsi="Arial" w:cs="Arial"/>
                <w:sz w:val="22"/>
                <w:szCs w:val="22"/>
              </w:rPr>
            </w:pPr>
            <w:r w:rsidRPr="008E57EB">
              <w:rPr>
                <w:rFonts w:ascii="Arial" w:hAnsi="Arial" w:cs="Arial"/>
                <w:sz w:val="22"/>
                <w:szCs w:val="22"/>
              </w:rPr>
              <w:t>1</w:t>
            </w:r>
          </w:p>
        </w:tc>
      </w:tr>
    </w:tbl>
    <w:p w:rsid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xml:space="preserve">* The criteria are aimed at classification of newly presenting patients. In addition, patients with erosive disease typical of rheumatoid arthritis (RA) with a history compatible with prior fulfillment of the 2010 criteria should be classified as having RA. Patients with longstanding disease, including those whose disease is inactive (with or without treatment) who, based on retrospectively available data, have previously fulfilled the 2010 criteria should be classified as having RA. </w:t>
      </w:r>
    </w:p>
    <w:p w:rsid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Differential diagnoses vary among patients with different presentations, but may include conditions such as systemic lupus erythematosus, psoriatic arthritis, and gout. If it is unclear about the relevant differential diagnoses to consider, an expert rheumatologist should be consulted.</w:t>
      </w:r>
    </w:p>
    <w:p w:rsidR="008E57EB" w:rsidRP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xml:space="preserve">‡ Although patients with a score of </w:t>
      </w:r>
      <w:r>
        <w:rPr>
          <w:rFonts w:ascii="Arial" w:hAnsi="Arial" w:cs="Arial"/>
          <w:color w:val="211E1E"/>
          <w:sz w:val="22"/>
          <w:szCs w:val="22"/>
        </w:rPr>
        <w:t>&lt;</w:t>
      </w:r>
      <w:r w:rsidRPr="008E57EB">
        <w:rPr>
          <w:rFonts w:ascii="Arial" w:hAnsi="Arial" w:cs="Arial"/>
          <w:color w:val="211E1E"/>
          <w:sz w:val="22"/>
          <w:szCs w:val="22"/>
        </w:rPr>
        <w:t xml:space="preserve">6/10 are not classifiable as having RA, their status can be reassessed and the criteria might be fulfilled cumulatively over time. </w:t>
      </w:r>
    </w:p>
    <w:p w:rsidR="008E57EB" w:rsidRPr="008E57EB" w:rsidRDefault="008E57EB" w:rsidP="008E57EB">
      <w:pPr>
        <w:pStyle w:val="a4"/>
        <w:rPr>
          <w:rFonts w:ascii="Arial" w:hAnsi="Arial" w:cs="Arial"/>
          <w:sz w:val="22"/>
          <w:szCs w:val="22"/>
        </w:rPr>
      </w:pPr>
      <w:r w:rsidRPr="008E57EB">
        <w:rPr>
          <w:rFonts w:ascii="Arial" w:hAnsi="Arial" w:cs="Arial"/>
          <w:color w:val="211E1E"/>
          <w:sz w:val="22"/>
          <w:szCs w:val="22"/>
        </w:rPr>
        <w:lastRenderedPageBreak/>
        <w:t xml:space="preserve">§ Joint involvement refers to any </w:t>
      </w:r>
      <w:r w:rsidRPr="008E57EB">
        <w:rPr>
          <w:rFonts w:ascii="Arial" w:hAnsi="Arial" w:cs="Arial"/>
          <w:i/>
          <w:iCs/>
          <w:color w:val="211E1E"/>
          <w:sz w:val="22"/>
          <w:szCs w:val="22"/>
        </w:rPr>
        <w:t xml:space="preserve">swollen </w:t>
      </w:r>
      <w:r w:rsidRPr="008E57EB">
        <w:rPr>
          <w:rFonts w:ascii="Arial" w:hAnsi="Arial" w:cs="Arial"/>
          <w:color w:val="211E1E"/>
          <w:sz w:val="22"/>
          <w:szCs w:val="22"/>
        </w:rPr>
        <w:t xml:space="preserve">or </w:t>
      </w:r>
      <w:r w:rsidRPr="008E57EB">
        <w:rPr>
          <w:rFonts w:ascii="Arial" w:hAnsi="Arial" w:cs="Arial"/>
          <w:i/>
          <w:iCs/>
          <w:color w:val="211E1E"/>
          <w:sz w:val="22"/>
          <w:szCs w:val="22"/>
        </w:rPr>
        <w:t xml:space="preserve">tender </w:t>
      </w:r>
      <w:r w:rsidRPr="008E57EB">
        <w:rPr>
          <w:rFonts w:ascii="Arial" w:hAnsi="Arial" w:cs="Arial"/>
          <w:color w:val="211E1E"/>
          <w:sz w:val="22"/>
          <w:szCs w:val="22"/>
        </w:rPr>
        <w:t xml:space="preserve">joint on examination, which may be confirmed by imaging evidence of synovitis. Distal interphalangeal joints, first carpometacarpal joints, and first metatarsophalangeal joints are </w:t>
      </w:r>
      <w:r w:rsidRPr="008E57EB">
        <w:rPr>
          <w:rFonts w:ascii="Arial" w:hAnsi="Arial" w:cs="Arial"/>
          <w:i/>
          <w:iCs/>
          <w:color w:val="211E1E"/>
          <w:sz w:val="22"/>
          <w:szCs w:val="22"/>
        </w:rPr>
        <w:t>excluded from assessment</w:t>
      </w:r>
      <w:r w:rsidRPr="008E57EB">
        <w:rPr>
          <w:rFonts w:ascii="Arial" w:hAnsi="Arial" w:cs="Arial"/>
          <w:color w:val="211E1E"/>
          <w:sz w:val="22"/>
          <w:szCs w:val="22"/>
        </w:rPr>
        <w:t xml:space="preserve">. Categories of joint distribution are classified according to the location and number of involved joints, with placement into the highest category possible based on the pattern of joint involvement. </w:t>
      </w:r>
    </w:p>
    <w:p w:rsid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“Large joints” refers to shoulders, elbows, hips, knees, and ankles.</w:t>
      </w:r>
    </w:p>
    <w:p w:rsid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“Small joints” refers to the metacarpophalangeal joints, proximal interphalangeal joints, second through fifth metatarsophalangeal joints, thumb interphalangeal joints, and wrists.</w:t>
      </w:r>
    </w:p>
    <w:p w:rsid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In this category, at least 1 of the involved joints must be a small joint; the other joints can include any combination of large and additional small joints, as well as other joints not specifically listed elsewhere (e.g., temporomandibular, acromioclavicular, sternoclavicular, etc.).</w:t>
      </w:r>
    </w:p>
    <w:p w:rsid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xml:space="preserve">†† Negative refers to IU values that are less than or equal to the upper limit of normal (ULN) for the laboratory and assay; low-positive refers to IU values that are higher than the ULN but ≤3 times the ULN for the laboratory and assay; high-positive refers to IU values that are </w:t>
      </w:r>
      <w:r>
        <w:rPr>
          <w:rFonts w:ascii="Arial" w:hAnsi="Arial" w:cs="Arial" w:hint="eastAsia"/>
          <w:color w:val="211E1E"/>
          <w:sz w:val="22"/>
          <w:szCs w:val="22"/>
        </w:rPr>
        <w:t>&gt;</w:t>
      </w:r>
      <w:r w:rsidRPr="008E57EB">
        <w:rPr>
          <w:rFonts w:ascii="Arial" w:hAnsi="Arial" w:cs="Arial"/>
          <w:color w:val="211E1E"/>
          <w:sz w:val="22"/>
          <w:szCs w:val="22"/>
        </w:rPr>
        <w:t xml:space="preserve">3 times the ULN for the laboratory and assay. Where rheumatoid factor (RF) information is only available as positive or negative, a positive result should be scored as low-positive for RF. ACPA </w:t>
      </w:r>
      <w:r>
        <w:rPr>
          <w:rFonts w:ascii="Arial" w:hAnsi="Arial" w:cs="Arial"/>
          <w:color w:val="211E1E"/>
          <w:sz w:val="22"/>
          <w:szCs w:val="22"/>
        </w:rPr>
        <w:t>=</w:t>
      </w:r>
      <w:r w:rsidRPr="008E57EB">
        <w:rPr>
          <w:rFonts w:ascii="Arial" w:hAnsi="Arial" w:cs="Arial"/>
          <w:color w:val="211E1E"/>
          <w:sz w:val="22"/>
          <w:szCs w:val="22"/>
        </w:rPr>
        <w:t xml:space="preserve"> anti</w:t>
      </w:r>
      <w:r>
        <w:rPr>
          <w:rFonts w:ascii="Arial" w:hAnsi="Arial" w:cs="Arial"/>
          <w:color w:val="211E1E"/>
          <w:sz w:val="22"/>
          <w:szCs w:val="22"/>
        </w:rPr>
        <w:t>-</w:t>
      </w:r>
      <w:r w:rsidRPr="008E57EB">
        <w:rPr>
          <w:rFonts w:ascii="Arial" w:hAnsi="Arial" w:cs="Arial"/>
          <w:color w:val="211E1E"/>
          <w:sz w:val="22"/>
          <w:szCs w:val="22"/>
        </w:rPr>
        <w:t xml:space="preserve">citrullinated protein antibody. </w:t>
      </w:r>
    </w:p>
    <w:p w:rsid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xml:space="preserve">‡‡ Normal/abnormal is determined by local laboratory standards. CRP </w:t>
      </w:r>
      <w:r>
        <w:rPr>
          <w:rFonts w:ascii="Arial" w:hAnsi="Arial" w:cs="Arial"/>
          <w:color w:val="211E1E"/>
          <w:sz w:val="22"/>
          <w:szCs w:val="22"/>
        </w:rPr>
        <w:t>=</w:t>
      </w:r>
      <w:r w:rsidRPr="008E57EB">
        <w:rPr>
          <w:rFonts w:ascii="Arial" w:hAnsi="Arial" w:cs="Arial"/>
          <w:color w:val="211E1E"/>
          <w:sz w:val="22"/>
          <w:szCs w:val="22"/>
        </w:rPr>
        <w:t xml:space="preserve"> C-reactive protein; ESR = erythrocyte sedimentation rate.</w:t>
      </w:r>
    </w:p>
    <w:p w:rsidR="008E57EB" w:rsidRPr="008E57EB" w:rsidRDefault="008E57EB" w:rsidP="008E57EB">
      <w:pPr>
        <w:pStyle w:val="a4"/>
        <w:rPr>
          <w:rFonts w:ascii="Arial" w:hAnsi="Arial" w:cs="Arial"/>
          <w:color w:val="211E1E"/>
          <w:sz w:val="22"/>
          <w:szCs w:val="22"/>
        </w:rPr>
      </w:pPr>
      <w:r w:rsidRPr="008E57EB">
        <w:rPr>
          <w:rFonts w:ascii="Arial" w:hAnsi="Arial" w:cs="Arial"/>
          <w:color w:val="211E1E"/>
          <w:sz w:val="22"/>
          <w:szCs w:val="22"/>
        </w:rPr>
        <w:t xml:space="preserve">§§ Duration of symptoms refers to patient self-report of the duration of signs or symptoms of synovitis (e.g., pain, swelling, tenderness) of joints that are clinically involved at the time of assessment, regardless of treatment status. </w:t>
      </w:r>
    </w:p>
    <w:p w:rsidR="008E57EB" w:rsidRPr="008E57EB" w:rsidRDefault="008E57EB"/>
    <w:sectPr w:rsidR="008E57EB" w:rsidRPr="008E57EB" w:rsidSect="009F3F2F">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EB"/>
    <w:rsid w:val="00057AC5"/>
    <w:rsid w:val="003F2AF9"/>
    <w:rsid w:val="007972F7"/>
    <w:rsid w:val="008B4F9B"/>
    <w:rsid w:val="008E57EB"/>
    <w:rsid w:val="009F3F2F"/>
    <w:rsid w:val="00C40455"/>
    <w:rsid w:val="00CB6658"/>
    <w:rsid w:val="00D8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BFD0"/>
  <w15:chartTrackingRefBased/>
  <w15:docId w15:val="{3C60A063-5F90-5340-B374-6CA4FE5F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E57E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4106">
      <w:bodyDiv w:val="1"/>
      <w:marLeft w:val="0"/>
      <w:marRight w:val="0"/>
      <w:marTop w:val="0"/>
      <w:marBottom w:val="0"/>
      <w:divBdr>
        <w:top w:val="none" w:sz="0" w:space="0" w:color="auto"/>
        <w:left w:val="none" w:sz="0" w:space="0" w:color="auto"/>
        <w:bottom w:val="none" w:sz="0" w:space="0" w:color="auto"/>
        <w:right w:val="none" w:sz="0" w:space="0" w:color="auto"/>
      </w:divBdr>
      <w:divsChild>
        <w:div w:id="287591309">
          <w:marLeft w:val="0"/>
          <w:marRight w:val="0"/>
          <w:marTop w:val="0"/>
          <w:marBottom w:val="0"/>
          <w:divBdr>
            <w:top w:val="none" w:sz="0" w:space="0" w:color="auto"/>
            <w:left w:val="none" w:sz="0" w:space="0" w:color="auto"/>
            <w:bottom w:val="none" w:sz="0" w:space="0" w:color="auto"/>
            <w:right w:val="none" w:sz="0" w:space="0" w:color="auto"/>
          </w:divBdr>
          <w:divsChild>
            <w:div w:id="2044551035">
              <w:marLeft w:val="0"/>
              <w:marRight w:val="0"/>
              <w:marTop w:val="0"/>
              <w:marBottom w:val="0"/>
              <w:divBdr>
                <w:top w:val="none" w:sz="0" w:space="0" w:color="auto"/>
                <w:left w:val="none" w:sz="0" w:space="0" w:color="auto"/>
                <w:bottom w:val="none" w:sz="0" w:space="0" w:color="auto"/>
                <w:right w:val="none" w:sz="0" w:space="0" w:color="auto"/>
              </w:divBdr>
              <w:divsChild>
                <w:div w:id="10156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418">
      <w:bodyDiv w:val="1"/>
      <w:marLeft w:val="0"/>
      <w:marRight w:val="0"/>
      <w:marTop w:val="0"/>
      <w:marBottom w:val="0"/>
      <w:divBdr>
        <w:top w:val="none" w:sz="0" w:space="0" w:color="auto"/>
        <w:left w:val="none" w:sz="0" w:space="0" w:color="auto"/>
        <w:bottom w:val="none" w:sz="0" w:space="0" w:color="auto"/>
        <w:right w:val="none" w:sz="0" w:space="0" w:color="auto"/>
      </w:divBdr>
      <w:divsChild>
        <w:div w:id="1736974522">
          <w:marLeft w:val="0"/>
          <w:marRight w:val="0"/>
          <w:marTop w:val="0"/>
          <w:marBottom w:val="0"/>
          <w:divBdr>
            <w:top w:val="none" w:sz="0" w:space="0" w:color="auto"/>
            <w:left w:val="none" w:sz="0" w:space="0" w:color="auto"/>
            <w:bottom w:val="none" w:sz="0" w:space="0" w:color="auto"/>
            <w:right w:val="none" w:sz="0" w:space="0" w:color="auto"/>
          </w:divBdr>
          <w:divsChild>
            <w:div w:id="444354128">
              <w:marLeft w:val="0"/>
              <w:marRight w:val="0"/>
              <w:marTop w:val="0"/>
              <w:marBottom w:val="0"/>
              <w:divBdr>
                <w:top w:val="none" w:sz="0" w:space="0" w:color="auto"/>
                <w:left w:val="none" w:sz="0" w:space="0" w:color="auto"/>
                <w:bottom w:val="none" w:sz="0" w:space="0" w:color="auto"/>
                <w:right w:val="none" w:sz="0" w:space="0" w:color="auto"/>
              </w:divBdr>
              <w:divsChild>
                <w:div w:id="96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671">
      <w:bodyDiv w:val="1"/>
      <w:marLeft w:val="0"/>
      <w:marRight w:val="0"/>
      <w:marTop w:val="0"/>
      <w:marBottom w:val="0"/>
      <w:divBdr>
        <w:top w:val="none" w:sz="0" w:space="0" w:color="auto"/>
        <w:left w:val="none" w:sz="0" w:space="0" w:color="auto"/>
        <w:bottom w:val="none" w:sz="0" w:space="0" w:color="auto"/>
        <w:right w:val="none" w:sz="0" w:space="0" w:color="auto"/>
      </w:divBdr>
      <w:divsChild>
        <w:div w:id="596063446">
          <w:marLeft w:val="0"/>
          <w:marRight w:val="0"/>
          <w:marTop w:val="0"/>
          <w:marBottom w:val="0"/>
          <w:divBdr>
            <w:top w:val="none" w:sz="0" w:space="0" w:color="auto"/>
            <w:left w:val="none" w:sz="0" w:space="0" w:color="auto"/>
            <w:bottom w:val="none" w:sz="0" w:space="0" w:color="auto"/>
            <w:right w:val="none" w:sz="0" w:space="0" w:color="auto"/>
          </w:divBdr>
          <w:divsChild>
            <w:div w:id="816075389">
              <w:marLeft w:val="0"/>
              <w:marRight w:val="0"/>
              <w:marTop w:val="0"/>
              <w:marBottom w:val="0"/>
              <w:divBdr>
                <w:top w:val="none" w:sz="0" w:space="0" w:color="auto"/>
                <w:left w:val="none" w:sz="0" w:space="0" w:color="auto"/>
                <w:bottom w:val="none" w:sz="0" w:space="0" w:color="auto"/>
                <w:right w:val="none" w:sz="0" w:space="0" w:color="auto"/>
              </w:divBdr>
              <w:divsChild>
                <w:div w:id="2124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7205">
      <w:bodyDiv w:val="1"/>
      <w:marLeft w:val="0"/>
      <w:marRight w:val="0"/>
      <w:marTop w:val="0"/>
      <w:marBottom w:val="0"/>
      <w:divBdr>
        <w:top w:val="none" w:sz="0" w:space="0" w:color="auto"/>
        <w:left w:val="none" w:sz="0" w:space="0" w:color="auto"/>
        <w:bottom w:val="none" w:sz="0" w:space="0" w:color="auto"/>
        <w:right w:val="none" w:sz="0" w:space="0" w:color="auto"/>
      </w:divBdr>
      <w:divsChild>
        <w:div w:id="634913299">
          <w:marLeft w:val="0"/>
          <w:marRight w:val="0"/>
          <w:marTop w:val="0"/>
          <w:marBottom w:val="0"/>
          <w:divBdr>
            <w:top w:val="none" w:sz="0" w:space="0" w:color="auto"/>
            <w:left w:val="none" w:sz="0" w:space="0" w:color="auto"/>
            <w:bottom w:val="none" w:sz="0" w:space="0" w:color="auto"/>
            <w:right w:val="none" w:sz="0" w:space="0" w:color="auto"/>
          </w:divBdr>
          <w:divsChild>
            <w:div w:id="1661808047">
              <w:marLeft w:val="0"/>
              <w:marRight w:val="0"/>
              <w:marTop w:val="0"/>
              <w:marBottom w:val="0"/>
              <w:divBdr>
                <w:top w:val="none" w:sz="0" w:space="0" w:color="auto"/>
                <w:left w:val="none" w:sz="0" w:space="0" w:color="auto"/>
                <w:bottom w:val="none" w:sz="0" w:space="0" w:color="auto"/>
                <w:right w:val="none" w:sz="0" w:space="0" w:color="auto"/>
              </w:divBdr>
              <w:divsChild>
                <w:div w:id="614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405">
      <w:bodyDiv w:val="1"/>
      <w:marLeft w:val="0"/>
      <w:marRight w:val="0"/>
      <w:marTop w:val="0"/>
      <w:marBottom w:val="0"/>
      <w:divBdr>
        <w:top w:val="none" w:sz="0" w:space="0" w:color="auto"/>
        <w:left w:val="none" w:sz="0" w:space="0" w:color="auto"/>
        <w:bottom w:val="none" w:sz="0" w:space="0" w:color="auto"/>
        <w:right w:val="none" w:sz="0" w:space="0" w:color="auto"/>
      </w:divBdr>
      <w:divsChild>
        <w:div w:id="1634287517">
          <w:marLeft w:val="0"/>
          <w:marRight w:val="0"/>
          <w:marTop w:val="0"/>
          <w:marBottom w:val="0"/>
          <w:divBdr>
            <w:top w:val="none" w:sz="0" w:space="0" w:color="auto"/>
            <w:left w:val="none" w:sz="0" w:space="0" w:color="auto"/>
            <w:bottom w:val="none" w:sz="0" w:space="0" w:color="auto"/>
            <w:right w:val="none" w:sz="0" w:space="0" w:color="auto"/>
          </w:divBdr>
          <w:divsChild>
            <w:div w:id="2146124293">
              <w:marLeft w:val="0"/>
              <w:marRight w:val="0"/>
              <w:marTop w:val="0"/>
              <w:marBottom w:val="0"/>
              <w:divBdr>
                <w:top w:val="none" w:sz="0" w:space="0" w:color="auto"/>
                <w:left w:val="none" w:sz="0" w:space="0" w:color="auto"/>
                <w:bottom w:val="none" w:sz="0" w:space="0" w:color="auto"/>
                <w:right w:val="none" w:sz="0" w:space="0" w:color="auto"/>
              </w:divBdr>
              <w:divsChild>
                <w:div w:id="16236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093">
      <w:bodyDiv w:val="1"/>
      <w:marLeft w:val="0"/>
      <w:marRight w:val="0"/>
      <w:marTop w:val="0"/>
      <w:marBottom w:val="0"/>
      <w:divBdr>
        <w:top w:val="none" w:sz="0" w:space="0" w:color="auto"/>
        <w:left w:val="none" w:sz="0" w:space="0" w:color="auto"/>
        <w:bottom w:val="none" w:sz="0" w:space="0" w:color="auto"/>
        <w:right w:val="none" w:sz="0" w:space="0" w:color="auto"/>
      </w:divBdr>
      <w:divsChild>
        <w:div w:id="1194726535">
          <w:marLeft w:val="0"/>
          <w:marRight w:val="0"/>
          <w:marTop w:val="0"/>
          <w:marBottom w:val="0"/>
          <w:divBdr>
            <w:top w:val="none" w:sz="0" w:space="0" w:color="auto"/>
            <w:left w:val="none" w:sz="0" w:space="0" w:color="auto"/>
            <w:bottom w:val="none" w:sz="0" w:space="0" w:color="auto"/>
            <w:right w:val="none" w:sz="0" w:space="0" w:color="auto"/>
          </w:divBdr>
          <w:divsChild>
            <w:div w:id="1155031062">
              <w:marLeft w:val="0"/>
              <w:marRight w:val="0"/>
              <w:marTop w:val="0"/>
              <w:marBottom w:val="0"/>
              <w:divBdr>
                <w:top w:val="none" w:sz="0" w:space="0" w:color="auto"/>
                <w:left w:val="none" w:sz="0" w:space="0" w:color="auto"/>
                <w:bottom w:val="none" w:sz="0" w:space="0" w:color="auto"/>
                <w:right w:val="none" w:sz="0" w:space="0" w:color="auto"/>
              </w:divBdr>
              <w:divsChild>
                <w:div w:id="10518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2818">
      <w:bodyDiv w:val="1"/>
      <w:marLeft w:val="0"/>
      <w:marRight w:val="0"/>
      <w:marTop w:val="0"/>
      <w:marBottom w:val="0"/>
      <w:divBdr>
        <w:top w:val="none" w:sz="0" w:space="0" w:color="auto"/>
        <w:left w:val="none" w:sz="0" w:space="0" w:color="auto"/>
        <w:bottom w:val="none" w:sz="0" w:space="0" w:color="auto"/>
        <w:right w:val="none" w:sz="0" w:space="0" w:color="auto"/>
      </w:divBdr>
      <w:divsChild>
        <w:div w:id="626354978">
          <w:marLeft w:val="0"/>
          <w:marRight w:val="0"/>
          <w:marTop w:val="0"/>
          <w:marBottom w:val="0"/>
          <w:divBdr>
            <w:top w:val="none" w:sz="0" w:space="0" w:color="auto"/>
            <w:left w:val="none" w:sz="0" w:space="0" w:color="auto"/>
            <w:bottom w:val="none" w:sz="0" w:space="0" w:color="auto"/>
            <w:right w:val="none" w:sz="0" w:space="0" w:color="auto"/>
          </w:divBdr>
          <w:divsChild>
            <w:div w:id="934900285">
              <w:marLeft w:val="0"/>
              <w:marRight w:val="0"/>
              <w:marTop w:val="0"/>
              <w:marBottom w:val="0"/>
              <w:divBdr>
                <w:top w:val="none" w:sz="0" w:space="0" w:color="auto"/>
                <w:left w:val="none" w:sz="0" w:space="0" w:color="auto"/>
                <w:bottom w:val="none" w:sz="0" w:space="0" w:color="auto"/>
                <w:right w:val="none" w:sz="0" w:space="0" w:color="auto"/>
              </w:divBdr>
              <w:divsChild>
                <w:div w:id="1862011906">
                  <w:marLeft w:val="0"/>
                  <w:marRight w:val="0"/>
                  <w:marTop w:val="0"/>
                  <w:marBottom w:val="0"/>
                  <w:divBdr>
                    <w:top w:val="none" w:sz="0" w:space="0" w:color="auto"/>
                    <w:left w:val="none" w:sz="0" w:space="0" w:color="auto"/>
                    <w:bottom w:val="none" w:sz="0" w:space="0" w:color="auto"/>
                    <w:right w:val="none" w:sz="0" w:space="0" w:color="auto"/>
                  </w:divBdr>
                </w:div>
              </w:divsChild>
            </w:div>
            <w:div w:id="837231765">
              <w:marLeft w:val="0"/>
              <w:marRight w:val="0"/>
              <w:marTop w:val="0"/>
              <w:marBottom w:val="0"/>
              <w:divBdr>
                <w:top w:val="none" w:sz="0" w:space="0" w:color="auto"/>
                <w:left w:val="none" w:sz="0" w:space="0" w:color="auto"/>
                <w:bottom w:val="none" w:sz="0" w:space="0" w:color="auto"/>
                <w:right w:val="none" w:sz="0" w:space="0" w:color="auto"/>
              </w:divBdr>
              <w:divsChild>
                <w:div w:id="666053873">
                  <w:marLeft w:val="0"/>
                  <w:marRight w:val="0"/>
                  <w:marTop w:val="0"/>
                  <w:marBottom w:val="0"/>
                  <w:divBdr>
                    <w:top w:val="none" w:sz="0" w:space="0" w:color="auto"/>
                    <w:left w:val="none" w:sz="0" w:space="0" w:color="auto"/>
                    <w:bottom w:val="none" w:sz="0" w:space="0" w:color="auto"/>
                    <w:right w:val="none" w:sz="0" w:space="0" w:color="auto"/>
                  </w:divBdr>
                </w:div>
              </w:divsChild>
            </w:div>
            <w:div w:id="2134903237">
              <w:marLeft w:val="0"/>
              <w:marRight w:val="0"/>
              <w:marTop w:val="0"/>
              <w:marBottom w:val="0"/>
              <w:divBdr>
                <w:top w:val="none" w:sz="0" w:space="0" w:color="auto"/>
                <w:left w:val="none" w:sz="0" w:space="0" w:color="auto"/>
                <w:bottom w:val="none" w:sz="0" w:space="0" w:color="auto"/>
                <w:right w:val="none" w:sz="0" w:space="0" w:color="auto"/>
              </w:divBdr>
              <w:divsChild>
                <w:div w:id="229199467">
                  <w:marLeft w:val="0"/>
                  <w:marRight w:val="0"/>
                  <w:marTop w:val="0"/>
                  <w:marBottom w:val="0"/>
                  <w:divBdr>
                    <w:top w:val="none" w:sz="0" w:space="0" w:color="auto"/>
                    <w:left w:val="none" w:sz="0" w:space="0" w:color="auto"/>
                    <w:bottom w:val="none" w:sz="0" w:space="0" w:color="auto"/>
                    <w:right w:val="none" w:sz="0" w:space="0" w:color="auto"/>
                  </w:divBdr>
                </w:div>
              </w:divsChild>
            </w:div>
            <w:div w:id="1202011743">
              <w:marLeft w:val="0"/>
              <w:marRight w:val="0"/>
              <w:marTop w:val="0"/>
              <w:marBottom w:val="0"/>
              <w:divBdr>
                <w:top w:val="none" w:sz="0" w:space="0" w:color="auto"/>
                <w:left w:val="none" w:sz="0" w:space="0" w:color="auto"/>
                <w:bottom w:val="none" w:sz="0" w:space="0" w:color="auto"/>
                <w:right w:val="none" w:sz="0" w:space="0" w:color="auto"/>
              </w:divBdr>
              <w:divsChild>
                <w:div w:id="1620914885">
                  <w:marLeft w:val="0"/>
                  <w:marRight w:val="0"/>
                  <w:marTop w:val="0"/>
                  <w:marBottom w:val="0"/>
                  <w:divBdr>
                    <w:top w:val="none" w:sz="0" w:space="0" w:color="auto"/>
                    <w:left w:val="none" w:sz="0" w:space="0" w:color="auto"/>
                    <w:bottom w:val="none" w:sz="0" w:space="0" w:color="auto"/>
                    <w:right w:val="none" w:sz="0" w:space="0" w:color="auto"/>
                  </w:divBdr>
                </w:div>
              </w:divsChild>
            </w:div>
            <w:div w:id="924806095">
              <w:marLeft w:val="0"/>
              <w:marRight w:val="0"/>
              <w:marTop w:val="0"/>
              <w:marBottom w:val="0"/>
              <w:divBdr>
                <w:top w:val="none" w:sz="0" w:space="0" w:color="auto"/>
                <w:left w:val="none" w:sz="0" w:space="0" w:color="auto"/>
                <w:bottom w:val="none" w:sz="0" w:space="0" w:color="auto"/>
                <w:right w:val="none" w:sz="0" w:space="0" w:color="auto"/>
              </w:divBdr>
              <w:divsChild>
                <w:div w:id="1555852117">
                  <w:marLeft w:val="0"/>
                  <w:marRight w:val="0"/>
                  <w:marTop w:val="0"/>
                  <w:marBottom w:val="0"/>
                  <w:divBdr>
                    <w:top w:val="none" w:sz="0" w:space="0" w:color="auto"/>
                    <w:left w:val="none" w:sz="0" w:space="0" w:color="auto"/>
                    <w:bottom w:val="none" w:sz="0" w:space="0" w:color="auto"/>
                    <w:right w:val="none" w:sz="0" w:space="0" w:color="auto"/>
                  </w:divBdr>
                </w:div>
              </w:divsChild>
            </w:div>
            <w:div w:id="1691222675">
              <w:marLeft w:val="0"/>
              <w:marRight w:val="0"/>
              <w:marTop w:val="0"/>
              <w:marBottom w:val="0"/>
              <w:divBdr>
                <w:top w:val="none" w:sz="0" w:space="0" w:color="auto"/>
                <w:left w:val="none" w:sz="0" w:space="0" w:color="auto"/>
                <w:bottom w:val="none" w:sz="0" w:space="0" w:color="auto"/>
                <w:right w:val="none" w:sz="0" w:space="0" w:color="auto"/>
              </w:divBdr>
              <w:divsChild>
                <w:div w:id="1352606238">
                  <w:marLeft w:val="0"/>
                  <w:marRight w:val="0"/>
                  <w:marTop w:val="0"/>
                  <w:marBottom w:val="0"/>
                  <w:divBdr>
                    <w:top w:val="none" w:sz="0" w:space="0" w:color="auto"/>
                    <w:left w:val="none" w:sz="0" w:space="0" w:color="auto"/>
                    <w:bottom w:val="none" w:sz="0" w:space="0" w:color="auto"/>
                    <w:right w:val="none" w:sz="0" w:space="0" w:color="auto"/>
                  </w:divBdr>
                </w:div>
              </w:divsChild>
            </w:div>
            <w:div w:id="197205034">
              <w:marLeft w:val="0"/>
              <w:marRight w:val="0"/>
              <w:marTop w:val="0"/>
              <w:marBottom w:val="0"/>
              <w:divBdr>
                <w:top w:val="none" w:sz="0" w:space="0" w:color="auto"/>
                <w:left w:val="none" w:sz="0" w:space="0" w:color="auto"/>
                <w:bottom w:val="none" w:sz="0" w:space="0" w:color="auto"/>
                <w:right w:val="none" w:sz="0" w:space="0" w:color="auto"/>
              </w:divBdr>
              <w:divsChild>
                <w:div w:id="1342705834">
                  <w:marLeft w:val="0"/>
                  <w:marRight w:val="0"/>
                  <w:marTop w:val="0"/>
                  <w:marBottom w:val="0"/>
                  <w:divBdr>
                    <w:top w:val="none" w:sz="0" w:space="0" w:color="auto"/>
                    <w:left w:val="none" w:sz="0" w:space="0" w:color="auto"/>
                    <w:bottom w:val="none" w:sz="0" w:space="0" w:color="auto"/>
                    <w:right w:val="none" w:sz="0" w:space="0" w:color="auto"/>
                  </w:divBdr>
                </w:div>
                <w:div w:id="1367296946">
                  <w:marLeft w:val="0"/>
                  <w:marRight w:val="0"/>
                  <w:marTop w:val="0"/>
                  <w:marBottom w:val="0"/>
                  <w:divBdr>
                    <w:top w:val="none" w:sz="0" w:space="0" w:color="auto"/>
                    <w:left w:val="none" w:sz="0" w:space="0" w:color="auto"/>
                    <w:bottom w:val="none" w:sz="0" w:space="0" w:color="auto"/>
                    <w:right w:val="none" w:sz="0" w:space="0" w:color="auto"/>
                  </w:divBdr>
                </w:div>
              </w:divsChild>
            </w:div>
            <w:div w:id="177354907">
              <w:marLeft w:val="0"/>
              <w:marRight w:val="0"/>
              <w:marTop w:val="0"/>
              <w:marBottom w:val="0"/>
              <w:divBdr>
                <w:top w:val="none" w:sz="0" w:space="0" w:color="auto"/>
                <w:left w:val="none" w:sz="0" w:space="0" w:color="auto"/>
                <w:bottom w:val="none" w:sz="0" w:space="0" w:color="auto"/>
                <w:right w:val="none" w:sz="0" w:space="0" w:color="auto"/>
              </w:divBdr>
              <w:divsChild>
                <w:div w:id="123164662">
                  <w:marLeft w:val="0"/>
                  <w:marRight w:val="0"/>
                  <w:marTop w:val="0"/>
                  <w:marBottom w:val="0"/>
                  <w:divBdr>
                    <w:top w:val="none" w:sz="0" w:space="0" w:color="auto"/>
                    <w:left w:val="none" w:sz="0" w:space="0" w:color="auto"/>
                    <w:bottom w:val="none" w:sz="0" w:space="0" w:color="auto"/>
                    <w:right w:val="none" w:sz="0" w:space="0" w:color="auto"/>
                  </w:divBdr>
                </w:div>
              </w:divsChild>
            </w:div>
            <w:div w:id="1145272415">
              <w:marLeft w:val="0"/>
              <w:marRight w:val="0"/>
              <w:marTop w:val="0"/>
              <w:marBottom w:val="0"/>
              <w:divBdr>
                <w:top w:val="none" w:sz="0" w:space="0" w:color="auto"/>
                <w:left w:val="none" w:sz="0" w:space="0" w:color="auto"/>
                <w:bottom w:val="none" w:sz="0" w:space="0" w:color="auto"/>
                <w:right w:val="none" w:sz="0" w:space="0" w:color="auto"/>
              </w:divBdr>
              <w:divsChild>
                <w:div w:id="712270630">
                  <w:marLeft w:val="0"/>
                  <w:marRight w:val="0"/>
                  <w:marTop w:val="0"/>
                  <w:marBottom w:val="0"/>
                  <w:divBdr>
                    <w:top w:val="none" w:sz="0" w:space="0" w:color="auto"/>
                    <w:left w:val="none" w:sz="0" w:space="0" w:color="auto"/>
                    <w:bottom w:val="none" w:sz="0" w:space="0" w:color="auto"/>
                    <w:right w:val="none" w:sz="0" w:space="0" w:color="auto"/>
                  </w:divBdr>
                </w:div>
              </w:divsChild>
            </w:div>
            <w:div w:id="1910458321">
              <w:marLeft w:val="0"/>
              <w:marRight w:val="0"/>
              <w:marTop w:val="0"/>
              <w:marBottom w:val="0"/>
              <w:divBdr>
                <w:top w:val="none" w:sz="0" w:space="0" w:color="auto"/>
                <w:left w:val="none" w:sz="0" w:space="0" w:color="auto"/>
                <w:bottom w:val="none" w:sz="0" w:space="0" w:color="auto"/>
                <w:right w:val="none" w:sz="0" w:space="0" w:color="auto"/>
              </w:divBdr>
              <w:divsChild>
                <w:div w:id="4963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89326">
      <w:bodyDiv w:val="1"/>
      <w:marLeft w:val="0"/>
      <w:marRight w:val="0"/>
      <w:marTop w:val="0"/>
      <w:marBottom w:val="0"/>
      <w:divBdr>
        <w:top w:val="none" w:sz="0" w:space="0" w:color="auto"/>
        <w:left w:val="none" w:sz="0" w:space="0" w:color="auto"/>
        <w:bottom w:val="none" w:sz="0" w:space="0" w:color="auto"/>
        <w:right w:val="none" w:sz="0" w:space="0" w:color="auto"/>
      </w:divBdr>
      <w:divsChild>
        <w:div w:id="469716398">
          <w:marLeft w:val="0"/>
          <w:marRight w:val="0"/>
          <w:marTop w:val="0"/>
          <w:marBottom w:val="0"/>
          <w:divBdr>
            <w:top w:val="none" w:sz="0" w:space="0" w:color="auto"/>
            <w:left w:val="none" w:sz="0" w:space="0" w:color="auto"/>
            <w:bottom w:val="none" w:sz="0" w:space="0" w:color="auto"/>
            <w:right w:val="none" w:sz="0" w:space="0" w:color="auto"/>
          </w:divBdr>
          <w:divsChild>
            <w:div w:id="1068576638">
              <w:marLeft w:val="0"/>
              <w:marRight w:val="0"/>
              <w:marTop w:val="0"/>
              <w:marBottom w:val="0"/>
              <w:divBdr>
                <w:top w:val="none" w:sz="0" w:space="0" w:color="auto"/>
                <w:left w:val="none" w:sz="0" w:space="0" w:color="auto"/>
                <w:bottom w:val="none" w:sz="0" w:space="0" w:color="auto"/>
                <w:right w:val="none" w:sz="0" w:space="0" w:color="auto"/>
              </w:divBdr>
              <w:divsChild>
                <w:div w:id="18622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3839">
      <w:bodyDiv w:val="1"/>
      <w:marLeft w:val="0"/>
      <w:marRight w:val="0"/>
      <w:marTop w:val="0"/>
      <w:marBottom w:val="0"/>
      <w:divBdr>
        <w:top w:val="none" w:sz="0" w:space="0" w:color="auto"/>
        <w:left w:val="none" w:sz="0" w:space="0" w:color="auto"/>
        <w:bottom w:val="none" w:sz="0" w:space="0" w:color="auto"/>
        <w:right w:val="none" w:sz="0" w:space="0" w:color="auto"/>
      </w:divBdr>
      <w:divsChild>
        <w:div w:id="461651743">
          <w:marLeft w:val="0"/>
          <w:marRight w:val="0"/>
          <w:marTop w:val="0"/>
          <w:marBottom w:val="0"/>
          <w:divBdr>
            <w:top w:val="none" w:sz="0" w:space="0" w:color="auto"/>
            <w:left w:val="none" w:sz="0" w:space="0" w:color="auto"/>
            <w:bottom w:val="none" w:sz="0" w:space="0" w:color="auto"/>
            <w:right w:val="none" w:sz="0" w:space="0" w:color="auto"/>
          </w:divBdr>
          <w:divsChild>
            <w:div w:id="1193302073">
              <w:marLeft w:val="0"/>
              <w:marRight w:val="0"/>
              <w:marTop w:val="0"/>
              <w:marBottom w:val="0"/>
              <w:divBdr>
                <w:top w:val="none" w:sz="0" w:space="0" w:color="auto"/>
                <w:left w:val="none" w:sz="0" w:space="0" w:color="auto"/>
                <w:bottom w:val="none" w:sz="0" w:space="0" w:color="auto"/>
                <w:right w:val="none" w:sz="0" w:space="0" w:color="auto"/>
              </w:divBdr>
              <w:divsChild>
                <w:div w:id="859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2630">
      <w:bodyDiv w:val="1"/>
      <w:marLeft w:val="0"/>
      <w:marRight w:val="0"/>
      <w:marTop w:val="0"/>
      <w:marBottom w:val="0"/>
      <w:divBdr>
        <w:top w:val="none" w:sz="0" w:space="0" w:color="auto"/>
        <w:left w:val="none" w:sz="0" w:space="0" w:color="auto"/>
        <w:bottom w:val="none" w:sz="0" w:space="0" w:color="auto"/>
        <w:right w:val="none" w:sz="0" w:space="0" w:color="auto"/>
      </w:divBdr>
      <w:divsChild>
        <w:div w:id="1955092107">
          <w:marLeft w:val="0"/>
          <w:marRight w:val="0"/>
          <w:marTop w:val="0"/>
          <w:marBottom w:val="0"/>
          <w:divBdr>
            <w:top w:val="none" w:sz="0" w:space="0" w:color="auto"/>
            <w:left w:val="none" w:sz="0" w:space="0" w:color="auto"/>
            <w:bottom w:val="none" w:sz="0" w:space="0" w:color="auto"/>
            <w:right w:val="none" w:sz="0" w:space="0" w:color="auto"/>
          </w:divBdr>
          <w:divsChild>
            <w:div w:id="923612750">
              <w:marLeft w:val="0"/>
              <w:marRight w:val="0"/>
              <w:marTop w:val="0"/>
              <w:marBottom w:val="0"/>
              <w:divBdr>
                <w:top w:val="none" w:sz="0" w:space="0" w:color="auto"/>
                <w:left w:val="none" w:sz="0" w:space="0" w:color="auto"/>
                <w:bottom w:val="none" w:sz="0" w:space="0" w:color="auto"/>
                <w:right w:val="none" w:sz="0" w:space="0" w:color="auto"/>
              </w:divBdr>
              <w:divsChild>
                <w:div w:id="15182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4740">
      <w:bodyDiv w:val="1"/>
      <w:marLeft w:val="0"/>
      <w:marRight w:val="0"/>
      <w:marTop w:val="0"/>
      <w:marBottom w:val="0"/>
      <w:divBdr>
        <w:top w:val="none" w:sz="0" w:space="0" w:color="auto"/>
        <w:left w:val="none" w:sz="0" w:space="0" w:color="auto"/>
        <w:bottom w:val="none" w:sz="0" w:space="0" w:color="auto"/>
        <w:right w:val="none" w:sz="0" w:space="0" w:color="auto"/>
      </w:divBdr>
      <w:divsChild>
        <w:div w:id="1540049273">
          <w:marLeft w:val="0"/>
          <w:marRight w:val="0"/>
          <w:marTop w:val="0"/>
          <w:marBottom w:val="0"/>
          <w:divBdr>
            <w:top w:val="none" w:sz="0" w:space="0" w:color="auto"/>
            <w:left w:val="none" w:sz="0" w:space="0" w:color="auto"/>
            <w:bottom w:val="none" w:sz="0" w:space="0" w:color="auto"/>
            <w:right w:val="none" w:sz="0" w:space="0" w:color="auto"/>
          </w:divBdr>
          <w:divsChild>
            <w:div w:id="420759019">
              <w:marLeft w:val="0"/>
              <w:marRight w:val="0"/>
              <w:marTop w:val="0"/>
              <w:marBottom w:val="0"/>
              <w:divBdr>
                <w:top w:val="none" w:sz="0" w:space="0" w:color="auto"/>
                <w:left w:val="none" w:sz="0" w:space="0" w:color="auto"/>
                <w:bottom w:val="none" w:sz="0" w:space="0" w:color="auto"/>
                <w:right w:val="none" w:sz="0" w:space="0" w:color="auto"/>
              </w:divBdr>
              <w:divsChild>
                <w:div w:id="1740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9500">
      <w:bodyDiv w:val="1"/>
      <w:marLeft w:val="0"/>
      <w:marRight w:val="0"/>
      <w:marTop w:val="0"/>
      <w:marBottom w:val="0"/>
      <w:divBdr>
        <w:top w:val="none" w:sz="0" w:space="0" w:color="auto"/>
        <w:left w:val="none" w:sz="0" w:space="0" w:color="auto"/>
        <w:bottom w:val="none" w:sz="0" w:space="0" w:color="auto"/>
        <w:right w:val="none" w:sz="0" w:space="0" w:color="auto"/>
      </w:divBdr>
      <w:divsChild>
        <w:div w:id="1048795514">
          <w:marLeft w:val="0"/>
          <w:marRight w:val="0"/>
          <w:marTop w:val="0"/>
          <w:marBottom w:val="0"/>
          <w:divBdr>
            <w:top w:val="none" w:sz="0" w:space="0" w:color="auto"/>
            <w:left w:val="none" w:sz="0" w:space="0" w:color="auto"/>
            <w:bottom w:val="none" w:sz="0" w:space="0" w:color="auto"/>
            <w:right w:val="none" w:sz="0" w:space="0" w:color="auto"/>
          </w:divBdr>
          <w:divsChild>
            <w:div w:id="1088233032">
              <w:marLeft w:val="0"/>
              <w:marRight w:val="0"/>
              <w:marTop w:val="0"/>
              <w:marBottom w:val="0"/>
              <w:divBdr>
                <w:top w:val="none" w:sz="0" w:space="0" w:color="auto"/>
                <w:left w:val="none" w:sz="0" w:space="0" w:color="auto"/>
                <w:bottom w:val="none" w:sz="0" w:space="0" w:color="auto"/>
                <w:right w:val="none" w:sz="0" w:space="0" w:color="auto"/>
              </w:divBdr>
              <w:divsChild>
                <w:div w:id="13741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835">
      <w:bodyDiv w:val="1"/>
      <w:marLeft w:val="0"/>
      <w:marRight w:val="0"/>
      <w:marTop w:val="0"/>
      <w:marBottom w:val="0"/>
      <w:divBdr>
        <w:top w:val="none" w:sz="0" w:space="0" w:color="auto"/>
        <w:left w:val="none" w:sz="0" w:space="0" w:color="auto"/>
        <w:bottom w:val="none" w:sz="0" w:space="0" w:color="auto"/>
        <w:right w:val="none" w:sz="0" w:space="0" w:color="auto"/>
      </w:divBdr>
      <w:divsChild>
        <w:div w:id="957494020">
          <w:marLeft w:val="0"/>
          <w:marRight w:val="0"/>
          <w:marTop w:val="0"/>
          <w:marBottom w:val="0"/>
          <w:divBdr>
            <w:top w:val="none" w:sz="0" w:space="0" w:color="auto"/>
            <w:left w:val="none" w:sz="0" w:space="0" w:color="auto"/>
            <w:bottom w:val="none" w:sz="0" w:space="0" w:color="auto"/>
            <w:right w:val="none" w:sz="0" w:space="0" w:color="auto"/>
          </w:divBdr>
          <w:divsChild>
            <w:div w:id="404685008">
              <w:marLeft w:val="0"/>
              <w:marRight w:val="0"/>
              <w:marTop w:val="0"/>
              <w:marBottom w:val="0"/>
              <w:divBdr>
                <w:top w:val="none" w:sz="0" w:space="0" w:color="auto"/>
                <w:left w:val="none" w:sz="0" w:space="0" w:color="auto"/>
                <w:bottom w:val="none" w:sz="0" w:space="0" w:color="auto"/>
                <w:right w:val="none" w:sz="0" w:space="0" w:color="auto"/>
              </w:divBdr>
              <w:divsChild>
                <w:div w:id="15254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30825">
      <w:bodyDiv w:val="1"/>
      <w:marLeft w:val="0"/>
      <w:marRight w:val="0"/>
      <w:marTop w:val="0"/>
      <w:marBottom w:val="0"/>
      <w:divBdr>
        <w:top w:val="none" w:sz="0" w:space="0" w:color="auto"/>
        <w:left w:val="none" w:sz="0" w:space="0" w:color="auto"/>
        <w:bottom w:val="none" w:sz="0" w:space="0" w:color="auto"/>
        <w:right w:val="none" w:sz="0" w:space="0" w:color="auto"/>
      </w:divBdr>
      <w:divsChild>
        <w:div w:id="560865898">
          <w:marLeft w:val="0"/>
          <w:marRight w:val="0"/>
          <w:marTop w:val="0"/>
          <w:marBottom w:val="0"/>
          <w:divBdr>
            <w:top w:val="none" w:sz="0" w:space="0" w:color="auto"/>
            <w:left w:val="none" w:sz="0" w:space="0" w:color="auto"/>
            <w:bottom w:val="none" w:sz="0" w:space="0" w:color="auto"/>
            <w:right w:val="none" w:sz="0" w:space="0" w:color="auto"/>
          </w:divBdr>
          <w:divsChild>
            <w:div w:id="1252467655">
              <w:marLeft w:val="0"/>
              <w:marRight w:val="0"/>
              <w:marTop w:val="0"/>
              <w:marBottom w:val="0"/>
              <w:divBdr>
                <w:top w:val="none" w:sz="0" w:space="0" w:color="auto"/>
                <w:left w:val="none" w:sz="0" w:space="0" w:color="auto"/>
                <w:bottom w:val="none" w:sz="0" w:space="0" w:color="auto"/>
                <w:right w:val="none" w:sz="0" w:space="0" w:color="auto"/>
              </w:divBdr>
              <w:divsChild>
                <w:div w:id="13191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79946">
      <w:bodyDiv w:val="1"/>
      <w:marLeft w:val="0"/>
      <w:marRight w:val="0"/>
      <w:marTop w:val="0"/>
      <w:marBottom w:val="0"/>
      <w:divBdr>
        <w:top w:val="none" w:sz="0" w:space="0" w:color="auto"/>
        <w:left w:val="none" w:sz="0" w:space="0" w:color="auto"/>
        <w:bottom w:val="none" w:sz="0" w:space="0" w:color="auto"/>
        <w:right w:val="none" w:sz="0" w:space="0" w:color="auto"/>
      </w:divBdr>
      <w:divsChild>
        <w:div w:id="2143499516">
          <w:marLeft w:val="0"/>
          <w:marRight w:val="0"/>
          <w:marTop w:val="0"/>
          <w:marBottom w:val="0"/>
          <w:divBdr>
            <w:top w:val="none" w:sz="0" w:space="0" w:color="auto"/>
            <w:left w:val="none" w:sz="0" w:space="0" w:color="auto"/>
            <w:bottom w:val="none" w:sz="0" w:space="0" w:color="auto"/>
            <w:right w:val="none" w:sz="0" w:space="0" w:color="auto"/>
          </w:divBdr>
          <w:divsChild>
            <w:div w:id="85467559">
              <w:marLeft w:val="0"/>
              <w:marRight w:val="0"/>
              <w:marTop w:val="0"/>
              <w:marBottom w:val="0"/>
              <w:divBdr>
                <w:top w:val="none" w:sz="0" w:space="0" w:color="auto"/>
                <w:left w:val="none" w:sz="0" w:space="0" w:color="auto"/>
                <w:bottom w:val="none" w:sz="0" w:space="0" w:color="auto"/>
                <w:right w:val="none" w:sz="0" w:space="0" w:color="auto"/>
              </w:divBdr>
              <w:divsChild>
                <w:div w:id="235896254">
                  <w:marLeft w:val="0"/>
                  <w:marRight w:val="0"/>
                  <w:marTop w:val="0"/>
                  <w:marBottom w:val="0"/>
                  <w:divBdr>
                    <w:top w:val="none" w:sz="0" w:space="0" w:color="auto"/>
                    <w:left w:val="none" w:sz="0" w:space="0" w:color="auto"/>
                    <w:bottom w:val="none" w:sz="0" w:space="0" w:color="auto"/>
                    <w:right w:val="none" w:sz="0" w:space="0" w:color="auto"/>
                  </w:divBdr>
                </w:div>
              </w:divsChild>
            </w:div>
            <w:div w:id="1614480851">
              <w:marLeft w:val="0"/>
              <w:marRight w:val="0"/>
              <w:marTop w:val="0"/>
              <w:marBottom w:val="0"/>
              <w:divBdr>
                <w:top w:val="none" w:sz="0" w:space="0" w:color="auto"/>
                <w:left w:val="none" w:sz="0" w:space="0" w:color="auto"/>
                <w:bottom w:val="none" w:sz="0" w:space="0" w:color="auto"/>
                <w:right w:val="none" w:sz="0" w:space="0" w:color="auto"/>
              </w:divBdr>
              <w:divsChild>
                <w:div w:id="254943587">
                  <w:marLeft w:val="0"/>
                  <w:marRight w:val="0"/>
                  <w:marTop w:val="0"/>
                  <w:marBottom w:val="0"/>
                  <w:divBdr>
                    <w:top w:val="none" w:sz="0" w:space="0" w:color="auto"/>
                    <w:left w:val="none" w:sz="0" w:space="0" w:color="auto"/>
                    <w:bottom w:val="none" w:sz="0" w:space="0" w:color="auto"/>
                    <w:right w:val="none" w:sz="0" w:space="0" w:color="auto"/>
                  </w:divBdr>
                </w:div>
              </w:divsChild>
            </w:div>
            <w:div w:id="1692950762">
              <w:marLeft w:val="0"/>
              <w:marRight w:val="0"/>
              <w:marTop w:val="0"/>
              <w:marBottom w:val="0"/>
              <w:divBdr>
                <w:top w:val="none" w:sz="0" w:space="0" w:color="auto"/>
                <w:left w:val="none" w:sz="0" w:space="0" w:color="auto"/>
                <w:bottom w:val="none" w:sz="0" w:space="0" w:color="auto"/>
                <w:right w:val="none" w:sz="0" w:space="0" w:color="auto"/>
              </w:divBdr>
              <w:divsChild>
                <w:div w:id="157352662">
                  <w:marLeft w:val="0"/>
                  <w:marRight w:val="0"/>
                  <w:marTop w:val="0"/>
                  <w:marBottom w:val="0"/>
                  <w:divBdr>
                    <w:top w:val="none" w:sz="0" w:space="0" w:color="auto"/>
                    <w:left w:val="none" w:sz="0" w:space="0" w:color="auto"/>
                    <w:bottom w:val="none" w:sz="0" w:space="0" w:color="auto"/>
                    <w:right w:val="none" w:sz="0" w:space="0" w:color="auto"/>
                  </w:divBdr>
                </w:div>
              </w:divsChild>
            </w:div>
            <w:div w:id="2109307505">
              <w:marLeft w:val="0"/>
              <w:marRight w:val="0"/>
              <w:marTop w:val="0"/>
              <w:marBottom w:val="0"/>
              <w:divBdr>
                <w:top w:val="none" w:sz="0" w:space="0" w:color="auto"/>
                <w:left w:val="none" w:sz="0" w:space="0" w:color="auto"/>
                <w:bottom w:val="none" w:sz="0" w:space="0" w:color="auto"/>
                <w:right w:val="none" w:sz="0" w:space="0" w:color="auto"/>
              </w:divBdr>
              <w:divsChild>
                <w:div w:id="4229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0796">
      <w:bodyDiv w:val="1"/>
      <w:marLeft w:val="0"/>
      <w:marRight w:val="0"/>
      <w:marTop w:val="0"/>
      <w:marBottom w:val="0"/>
      <w:divBdr>
        <w:top w:val="none" w:sz="0" w:space="0" w:color="auto"/>
        <w:left w:val="none" w:sz="0" w:space="0" w:color="auto"/>
        <w:bottom w:val="none" w:sz="0" w:space="0" w:color="auto"/>
        <w:right w:val="none" w:sz="0" w:space="0" w:color="auto"/>
      </w:divBdr>
      <w:divsChild>
        <w:div w:id="1572736376">
          <w:marLeft w:val="0"/>
          <w:marRight w:val="0"/>
          <w:marTop w:val="0"/>
          <w:marBottom w:val="0"/>
          <w:divBdr>
            <w:top w:val="none" w:sz="0" w:space="0" w:color="auto"/>
            <w:left w:val="none" w:sz="0" w:space="0" w:color="auto"/>
            <w:bottom w:val="none" w:sz="0" w:space="0" w:color="auto"/>
            <w:right w:val="none" w:sz="0" w:space="0" w:color="auto"/>
          </w:divBdr>
          <w:divsChild>
            <w:div w:id="362639130">
              <w:marLeft w:val="0"/>
              <w:marRight w:val="0"/>
              <w:marTop w:val="0"/>
              <w:marBottom w:val="0"/>
              <w:divBdr>
                <w:top w:val="none" w:sz="0" w:space="0" w:color="auto"/>
                <w:left w:val="none" w:sz="0" w:space="0" w:color="auto"/>
                <w:bottom w:val="none" w:sz="0" w:space="0" w:color="auto"/>
                <w:right w:val="none" w:sz="0" w:space="0" w:color="auto"/>
              </w:divBdr>
              <w:divsChild>
                <w:div w:id="13178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8500">
      <w:bodyDiv w:val="1"/>
      <w:marLeft w:val="0"/>
      <w:marRight w:val="0"/>
      <w:marTop w:val="0"/>
      <w:marBottom w:val="0"/>
      <w:divBdr>
        <w:top w:val="none" w:sz="0" w:space="0" w:color="auto"/>
        <w:left w:val="none" w:sz="0" w:space="0" w:color="auto"/>
        <w:bottom w:val="none" w:sz="0" w:space="0" w:color="auto"/>
        <w:right w:val="none" w:sz="0" w:space="0" w:color="auto"/>
      </w:divBdr>
      <w:divsChild>
        <w:div w:id="2088571337">
          <w:marLeft w:val="0"/>
          <w:marRight w:val="0"/>
          <w:marTop w:val="0"/>
          <w:marBottom w:val="0"/>
          <w:divBdr>
            <w:top w:val="none" w:sz="0" w:space="0" w:color="auto"/>
            <w:left w:val="none" w:sz="0" w:space="0" w:color="auto"/>
            <w:bottom w:val="none" w:sz="0" w:space="0" w:color="auto"/>
            <w:right w:val="none" w:sz="0" w:space="0" w:color="auto"/>
          </w:divBdr>
          <w:divsChild>
            <w:div w:id="2099792491">
              <w:marLeft w:val="0"/>
              <w:marRight w:val="0"/>
              <w:marTop w:val="0"/>
              <w:marBottom w:val="0"/>
              <w:divBdr>
                <w:top w:val="none" w:sz="0" w:space="0" w:color="auto"/>
                <w:left w:val="none" w:sz="0" w:space="0" w:color="auto"/>
                <w:bottom w:val="none" w:sz="0" w:space="0" w:color="auto"/>
                <w:right w:val="none" w:sz="0" w:space="0" w:color="auto"/>
              </w:divBdr>
              <w:divsChild>
                <w:div w:id="16684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7692">
      <w:bodyDiv w:val="1"/>
      <w:marLeft w:val="0"/>
      <w:marRight w:val="0"/>
      <w:marTop w:val="0"/>
      <w:marBottom w:val="0"/>
      <w:divBdr>
        <w:top w:val="none" w:sz="0" w:space="0" w:color="auto"/>
        <w:left w:val="none" w:sz="0" w:space="0" w:color="auto"/>
        <w:bottom w:val="none" w:sz="0" w:space="0" w:color="auto"/>
        <w:right w:val="none" w:sz="0" w:space="0" w:color="auto"/>
      </w:divBdr>
      <w:divsChild>
        <w:div w:id="717243332">
          <w:marLeft w:val="0"/>
          <w:marRight w:val="0"/>
          <w:marTop w:val="0"/>
          <w:marBottom w:val="0"/>
          <w:divBdr>
            <w:top w:val="none" w:sz="0" w:space="0" w:color="auto"/>
            <w:left w:val="none" w:sz="0" w:space="0" w:color="auto"/>
            <w:bottom w:val="none" w:sz="0" w:space="0" w:color="auto"/>
            <w:right w:val="none" w:sz="0" w:space="0" w:color="auto"/>
          </w:divBdr>
          <w:divsChild>
            <w:div w:id="1212959750">
              <w:marLeft w:val="0"/>
              <w:marRight w:val="0"/>
              <w:marTop w:val="0"/>
              <w:marBottom w:val="0"/>
              <w:divBdr>
                <w:top w:val="none" w:sz="0" w:space="0" w:color="auto"/>
                <w:left w:val="none" w:sz="0" w:space="0" w:color="auto"/>
                <w:bottom w:val="none" w:sz="0" w:space="0" w:color="auto"/>
                <w:right w:val="none" w:sz="0" w:space="0" w:color="auto"/>
              </w:divBdr>
              <w:divsChild>
                <w:div w:id="19805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49269">
      <w:bodyDiv w:val="1"/>
      <w:marLeft w:val="0"/>
      <w:marRight w:val="0"/>
      <w:marTop w:val="0"/>
      <w:marBottom w:val="0"/>
      <w:divBdr>
        <w:top w:val="none" w:sz="0" w:space="0" w:color="auto"/>
        <w:left w:val="none" w:sz="0" w:space="0" w:color="auto"/>
        <w:bottom w:val="none" w:sz="0" w:space="0" w:color="auto"/>
        <w:right w:val="none" w:sz="0" w:space="0" w:color="auto"/>
      </w:divBdr>
      <w:divsChild>
        <w:div w:id="329910538">
          <w:marLeft w:val="0"/>
          <w:marRight w:val="0"/>
          <w:marTop w:val="0"/>
          <w:marBottom w:val="0"/>
          <w:divBdr>
            <w:top w:val="none" w:sz="0" w:space="0" w:color="auto"/>
            <w:left w:val="none" w:sz="0" w:space="0" w:color="auto"/>
            <w:bottom w:val="none" w:sz="0" w:space="0" w:color="auto"/>
            <w:right w:val="none" w:sz="0" w:space="0" w:color="auto"/>
          </w:divBdr>
          <w:divsChild>
            <w:div w:id="526673367">
              <w:marLeft w:val="0"/>
              <w:marRight w:val="0"/>
              <w:marTop w:val="0"/>
              <w:marBottom w:val="0"/>
              <w:divBdr>
                <w:top w:val="none" w:sz="0" w:space="0" w:color="auto"/>
                <w:left w:val="none" w:sz="0" w:space="0" w:color="auto"/>
                <w:bottom w:val="none" w:sz="0" w:space="0" w:color="auto"/>
                <w:right w:val="none" w:sz="0" w:space="0" w:color="auto"/>
              </w:divBdr>
              <w:divsChild>
                <w:div w:id="140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6692">
      <w:bodyDiv w:val="1"/>
      <w:marLeft w:val="0"/>
      <w:marRight w:val="0"/>
      <w:marTop w:val="0"/>
      <w:marBottom w:val="0"/>
      <w:divBdr>
        <w:top w:val="none" w:sz="0" w:space="0" w:color="auto"/>
        <w:left w:val="none" w:sz="0" w:space="0" w:color="auto"/>
        <w:bottom w:val="none" w:sz="0" w:space="0" w:color="auto"/>
        <w:right w:val="none" w:sz="0" w:space="0" w:color="auto"/>
      </w:divBdr>
      <w:divsChild>
        <w:div w:id="53700054">
          <w:marLeft w:val="0"/>
          <w:marRight w:val="0"/>
          <w:marTop w:val="0"/>
          <w:marBottom w:val="0"/>
          <w:divBdr>
            <w:top w:val="none" w:sz="0" w:space="0" w:color="auto"/>
            <w:left w:val="none" w:sz="0" w:space="0" w:color="auto"/>
            <w:bottom w:val="none" w:sz="0" w:space="0" w:color="auto"/>
            <w:right w:val="none" w:sz="0" w:space="0" w:color="auto"/>
          </w:divBdr>
          <w:divsChild>
            <w:div w:id="152114321">
              <w:marLeft w:val="0"/>
              <w:marRight w:val="0"/>
              <w:marTop w:val="0"/>
              <w:marBottom w:val="0"/>
              <w:divBdr>
                <w:top w:val="none" w:sz="0" w:space="0" w:color="auto"/>
                <w:left w:val="none" w:sz="0" w:space="0" w:color="auto"/>
                <w:bottom w:val="none" w:sz="0" w:space="0" w:color="auto"/>
                <w:right w:val="none" w:sz="0" w:space="0" w:color="auto"/>
              </w:divBdr>
              <w:divsChild>
                <w:div w:id="1917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4631">
      <w:bodyDiv w:val="1"/>
      <w:marLeft w:val="0"/>
      <w:marRight w:val="0"/>
      <w:marTop w:val="0"/>
      <w:marBottom w:val="0"/>
      <w:divBdr>
        <w:top w:val="none" w:sz="0" w:space="0" w:color="auto"/>
        <w:left w:val="none" w:sz="0" w:space="0" w:color="auto"/>
        <w:bottom w:val="none" w:sz="0" w:space="0" w:color="auto"/>
        <w:right w:val="none" w:sz="0" w:space="0" w:color="auto"/>
      </w:divBdr>
      <w:divsChild>
        <w:div w:id="2053728886">
          <w:marLeft w:val="0"/>
          <w:marRight w:val="0"/>
          <w:marTop w:val="0"/>
          <w:marBottom w:val="0"/>
          <w:divBdr>
            <w:top w:val="none" w:sz="0" w:space="0" w:color="auto"/>
            <w:left w:val="none" w:sz="0" w:space="0" w:color="auto"/>
            <w:bottom w:val="none" w:sz="0" w:space="0" w:color="auto"/>
            <w:right w:val="none" w:sz="0" w:space="0" w:color="auto"/>
          </w:divBdr>
          <w:divsChild>
            <w:div w:id="1054699504">
              <w:marLeft w:val="0"/>
              <w:marRight w:val="0"/>
              <w:marTop w:val="0"/>
              <w:marBottom w:val="0"/>
              <w:divBdr>
                <w:top w:val="none" w:sz="0" w:space="0" w:color="auto"/>
                <w:left w:val="none" w:sz="0" w:space="0" w:color="auto"/>
                <w:bottom w:val="none" w:sz="0" w:space="0" w:color="auto"/>
                <w:right w:val="none" w:sz="0" w:space="0" w:color="auto"/>
              </w:divBdr>
              <w:divsChild>
                <w:div w:id="6305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9560">
      <w:bodyDiv w:val="1"/>
      <w:marLeft w:val="0"/>
      <w:marRight w:val="0"/>
      <w:marTop w:val="0"/>
      <w:marBottom w:val="0"/>
      <w:divBdr>
        <w:top w:val="none" w:sz="0" w:space="0" w:color="auto"/>
        <w:left w:val="none" w:sz="0" w:space="0" w:color="auto"/>
        <w:bottom w:val="none" w:sz="0" w:space="0" w:color="auto"/>
        <w:right w:val="none" w:sz="0" w:space="0" w:color="auto"/>
      </w:divBdr>
      <w:divsChild>
        <w:div w:id="334385888">
          <w:marLeft w:val="0"/>
          <w:marRight w:val="0"/>
          <w:marTop w:val="0"/>
          <w:marBottom w:val="0"/>
          <w:divBdr>
            <w:top w:val="none" w:sz="0" w:space="0" w:color="auto"/>
            <w:left w:val="none" w:sz="0" w:space="0" w:color="auto"/>
            <w:bottom w:val="none" w:sz="0" w:space="0" w:color="auto"/>
            <w:right w:val="none" w:sz="0" w:space="0" w:color="auto"/>
          </w:divBdr>
          <w:divsChild>
            <w:div w:id="463155861">
              <w:marLeft w:val="0"/>
              <w:marRight w:val="0"/>
              <w:marTop w:val="0"/>
              <w:marBottom w:val="0"/>
              <w:divBdr>
                <w:top w:val="none" w:sz="0" w:space="0" w:color="auto"/>
                <w:left w:val="none" w:sz="0" w:space="0" w:color="auto"/>
                <w:bottom w:val="none" w:sz="0" w:space="0" w:color="auto"/>
                <w:right w:val="none" w:sz="0" w:space="0" w:color="auto"/>
              </w:divBdr>
              <w:divsChild>
                <w:div w:id="9192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40558">
      <w:bodyDiv w:val="1"/>
      <w:marLeft w:val="0"/>
      <w:marRight w:val="0"/>
      <w:marTop w:val="0"/>
      <w:marBottom w:val="0"/>
      <w:divBdr>
        <w:top w:val="none" w:sz="0" w:space="0" w:color="auto"/>
        <w:left w:val="none" w:sz="0" w:space="0" w:color="auto"/>
        <w:bottom w:val="none" w:sz="0" w:space="0" w:color="auto"/>
        <w:right w:val="none" w:sz="0" w:space="0" w:color="auto"/>
      </w:divBdr>
      <w:divsChild>
        <w:div w:id="1451702112">
          <w:marLeft w:val="0"/>
          <w:marRight w:val="0"/>
          <w:marTop w:val="0"/>
          <w:marBottom w:val="0"/>
          <w:divBdr>
            <w:top w:val="none" w:sz="0" w:space="0" w:color="auto"/>
            <w:left w:val="none" w:sz="0" w:space="0" w:color="auto"/>
            <w:bottom w:val="none" w:sz="0" w:space="0" w:color="auto"/>
            <w:right w:val="none" w:sz="0" w:space="0" w:color="auto"/>
          </w:divBdr>
          <w:divsChild>
            <w:div w:id="1234505237">
              <w:marLeft w:val="0"/>
              <w:marRight w:val="0"/>
              <w:marTop w:val="0"/>
              <w:marBottom w:val="0"/>
              <w:divBdr>
                <w:top w:val="none" w:sz="0" w:space="0" w:color="auto"/>
                <w:left w:val="none" w:sz="0" w:space="0" w:color="auto"/>
                <w:bottom w:val="none" w:sz="0" w:space="0" w:color="auto"/>
                <w:right w:val="none" w:sz="0" w:space="0" w:color="auto"/>
              </w:divBdr>
              <w:divsChild>
                <w:div w:id="1162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6049">
      <w:bodyDiv w:val="1"/>
      <w:marLeft w:val="0"/>
      <w:marRight w:val="0"/>
      <w:marTop w:val="0"/>
      <w:marBottom w:val="0"/>
      <w:divBdr>
        <w:top w:val="none" w:sz="0" w:space="0" w:color="auto"/>
        <w:left w:val="none" w:sz="0" w:space="0" w:color="auto"/>
        <w:bottom w:val="none" w:sz="0" w:space="0" w:color="auto"/>
        <w:right w:val="none" w:sz="0" w:space="0" w:color="auto"/>
      </w:divBdr>
      <w:divsChild>
        <w:div w:id="657154328">
          <w:marLeft w:val="0"/>
          <w:marRight w:val="0"/>
          <w:marTop w:val="0"/>
          <w:marBottom w:val="0"/>
          <w:divBdr>
            <w:top w:val="none" w:sz="0" w:space="0" w:color="auto"/>
            <w:left w:val="none" w:sz="0" w:space="0" w:color="auto"/>
            <w:bottom w:val="none" w:sz="0" w:space="0" w:color="auto"/>
            <w:right w:val="none" w:sz="0" w:space="0" w:color="auto"/>
          </w:divBdr>
          <w:divsChild>
            <w:div w:id="1611353448">
              <w:marLeft w:val="0"/>
              <w:marRight w:val="0"/>
              <w:marTop w:val="0"/>
              <w:marBottom w:val="0"/>
              <w:divBdr>
                <w:top w:val="none" w:sz="0" w:space="0" w:color="auto"/>
                <w:left w:val="none" w:sz="0" w:space="0" w:color="auto"/>
                <w:bottom w:val="none" w:sz="0" w:space="0" w:color="auto"/>
                <w:right w:val="none" w:sz="0" w:space="0" w:color="auto"/>
              </w:divBdr>
              <w:divsChild>
                <w:div w:id="93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2021-03-30T12:42:00Z</dcterms:created>
  <dcterms:modified xsi:type="dcterms:W3CDTF">2021-04-02T13:14:00Z</dcterms:modified>
</cp:coreProperties>
</file>