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2CBEE" w14:textId="72B0ECC1" w:rsidR="004C1F0F" w:rsidRDefault="004C1F0F" w:rsidP="004C1F0F">
      <w:pPr>
        <w:pStyle w:val="Heading5"/>
        <w:spacing w:after="120"/>
        <w:rPr>
          <w:rFonts w:cs="Times New Roman"/>
          <w:b/>
          <w:bCs/>
          <w:i w:val="0"/>
          <w:iCs/>
        </w:rPr>
      </w:pPr>
      <w:r w:rsidRPr="004C1F0F">
        <w:rPr>
          <w:rFonts w:cs="Times New Roman"/>
          <w:b/>
          <w:bCs/>
          <w:i w:val="0"/>
          <w:iCs/>
        </w:rPr>
        <w:t xml:space="preserve">Quantifications of </w:t>
      </w:r>
      <w:r>
        <w:rPr>
          <w:rFonts w:cs="Times New Roman"/>
          <w:b/>
          <w:bCs/>
          <w:i w:val="0"/>
          <w:iCs/>
        </w:rPr>
        <w:t>GS</w:t>
      </w:r>
      <w:r w:rsidRPr="004C1F0F">
        <w:rPr>
          <w:rFonts w:cs="Times New Roman"/>
          <w:b/>
          <w:bCs/>
          <w:i w:val="0"/>
          <w:iCs/>
        </w:rPr>
        <w:t xml:space="preserve"> and </w:t>
      </w:r>
      <w:r>
        <w:rPr>
          <w:rFonts w:cs="Times New Roman"/>
          <w:b/>
          <w:bCs/>
          <w:i w:val="0"/>
          <w:iCs/>
        </w:rPr>
        <w:t>GP</w:t>
      </w:r>
      <w:r w:rsidRPr="004C1F0F">
        <w:rPr>
          <w:rFonts w:cs="Times New Roman"/>
          <w:b/>
          <w:bCs/>
          <w:i w:val="0"/>
          <w:iCs/>
        </w:rPr>
        <w:t xml:space="preserve"> in the concentrated </w:t>
      </w:r>
      <w:r w:rsidR="00B2547D">
        <w:rPr>
          <w:rFonts w:cs="Times New Roman"/>
          <w:b/>
          <w:bCs/>
          <w:i w:val="0"/>
          <w:iCs/>
        </w:rPr>
        <w:t xml:space="preserve">GJ </w:t>
      </w:r>
      <w:r w:rsidRPr="004C1F0F">
        <w:rPr>
          <w:rFonts w:cs="Times New Roman"/>
          <w:b/>
          <w:bCs/>
          <w:i w:val="0"/>
          <w:iCs/>
        </w:rPr>
        <w:t>granules</w:t>
      </w:r>
    </w:p>
    <w:p w14:paraId="08E2425D" w14:textId="77777777" w:rsidR="004C1F0F" w:rsidRPr="004C1F0F" w:rsidRDefault="004C1F0F" w:rsidP="004C1F0F">
      <w:pPr>
        <w:spacing w:after="120" w:line="360" w:lineRule="auto"/>
        <w:rPr>
          <w:rFonts w:asciiTheme="majorHAnsi" w:hAnsiTheme="majorHAnsi" w:cstheme="majorHAnsi"/>
          <w:b/>
          <w:bCs/>
          <w:i/>
          <w:iCs/>
        </w:rPr>
      </w:pPr>
      <w:r w:rsidRPr="004C1F0F">
        <w:rPr>
          <w:rFonts w:asciiTheme="majorHAnsi" w:hAnsiTheme="majorHAnsi" w:cstheme="majorHAnsi"/>
          <w:b/>
          <w:bCs/>
          <w:i/>
          <w:iCs/>
        </w:rPr>
        <w:t>Methods</w:t>
      </w:r>
    </w:p>
    <w:p w14:paraId="5C165548" w14:textId="2A7A19BD" w:rsidR="004C1F0F" w:rsidRPr="008A4365" w:rsidRDefault="004C1F0F" w:rsidP="004C1F0F">
      <w:pPr>
        <w:spacing w:after="120" w:line="360" w:lineRule="auto"/>
        <w:rPr>
          <w:rFonts w:cs="Times New Roman"/>
        </w:rPr>
      </w:pPr>
      <w:r>
        <w:rPr>
          <w:rFonts w:cs="Times New Roman"/>
        </w:rPr>
        <w:t>T</w:t>
      </w:r>
      <w:r w:rsidRPr="0034505F">
        <w:rPr>
          <w:rFonts w:cs="Times New Roman"/>
        </w:rPr>
        <w:t>he concentrated</w:t>
      </w:r>
      <w:r w:rsidRPr="0034505F">
        <w:rPr>
          <w:rFonts w:cs="Times New Roman"/>
          <w:i/>
          <w:iCs/>
        </w:rPr>
        <w:t xml:space="preserve"> </w:t>
      </w:r>
      <w:r w:rsidR="00B2547D">
        <w:rPr>
          <w:rFonts w:cs="Times New Roman"/>
        </w:rPr>
        <w:t xml:space="preserve">GJ </w:t>
      </w:r>
      <w:r w:rsidRPr="0034505F">
        <w:rPr>
          <w:rFonts w:cs="Times New Roman"/>
        </w:rPr>
        <w:t>granule</w:t>
      </w:r>
      <w:r>
        <w:rPr>
          <w:rFonts w:cs="Times New Roman"/>
        </w:rPr>
        <w:t>s were dissolved i</w:t>
      </w:r>
      <w:r w:rsidRPr="008A4365">
        <w:rPr>
          <w:rFonts w:cs="Times New Roman"/>
        </w:rPr>
        <w:t xml:space="preserve">n 20% methanol </w:t>
      </w:r>
      <w:r w:rsidR="003A6249" w:rsidRPr="008A4365">
        <w:rPr>
          <w:rFonts w:cs="Times New Roman"/>
        </w:rPr>
        <w:t xml:space="preserve">(in water) </w:t>
      </w:r>
      <w:r w:rsidRPr="008A4365">
        <w:rPr>
          <w:rFonts w:cs="Times New Roman"/>
        </w:rPr>
        <w:t>to reach a final concentration of 2 mg/mL followed by sonication for 20 min. After centrifugation of the resulted mixture at 15,000 rpm for 10 min, 10 µL of the s</w:t>
      </w:r>
      <w:r w:rsidRPr="008A4365">
        <w:rPr>
          <w:rFonts w:cs="Times New Roman" w:hint="eastAsia"/>
        </w:rPr>
        <w:t>u</w:t>
      </w:r>
      <w:r w:rsidRPr="008A4365">
        <w:rPr>
          <w:rFonts w:cs="Times New Roman"/>
        </w:rPr>
        <w:t xml:space="preserve">pernatant was injected into HPLC-UV for content analyses of GS </w:t>
      </w:r>
      <w:r w:rsidRPr="008A4365">
        <w:rPr>
          <w:rFonts w:cs="Times New Roman" w:hint="eastAsia"/>
        </w:rPr>
        <w:t>a</w:t>
      </w:r>
      <w:r w:rsidRPr="008A4365">
        <w:rPr>
          <w:rFonts w:cs="Times New Roman"/>
        </w:rPr>
        <w:t xml:space="preserve">nd GP. Stock standard solution contains GS (1 mg/mL) and GP (1 mg/mL) was prepared by dissolving the standard compounds in 20% methanol. The stock standard solutions were diluted using 20% methanol to prepare a series of working solutions with final concentrations of </w:t>
      </w:r>
      <w:r w:rsidR="003A6249" w:rsidRPr="008A4365">
        <w:rPr>
          <w:rFonts w:cs="Times New Roman"/>
        </w:rPr>
        <w:t>0.00</w:t>
      </w:r>
      <w:r w:rsidRPr="008A4365">
        <w:rPr>
          <w:rFonts w:cs="Times New Roman"/>
        </w:rPr>
        <w:t xml:space="preserve">1, </w:t>
      </w:r>
      <w:r w:rsidR="003A6249" w:rsidRPr="008A4365">
        <w:rPr>
          <w:rFonts w:cs="Times New Roman"/>
        </w:rPr>
        <w:t>0.00</w:t>
      </w:r>
      <w:r w:rsidRPr="008A4365">
        <w:rPr>
          <w:rFonts w:cs="Times New Roman"/>
        </w:rPr>
        <w:t xml:space="preserve">5, </w:t>
      </w:r>
      <w:r w:rsidR="003A6249" w:rsidRPr="008A4365">
        <w:rPr>
          <w:rFonts w:cs="Times New Roman"/>
        </w:rPr>
        <w:t>0.0</w:t>
      </w:r>
      <w:r w:rsidRPr="008A4365">
        <w:rPr>
          <w:rFonts w:cs="Times New Roman"/>
        </w:rPr>
        <w:t xml:space="preserve">1, </w:t>
      </w:r>
      <w:r w:rsidR="003A6249" w:rsidRPr="008A4365">
        <w:rPr>
          <w:rFonts w:cs="Times New Roman"/>
        </w:rPr>
        <w:t>0.0</w:t>
      </w:r>
      <w:r w:rsidRPr="008A4365">
        <w:rPr>
          <w:rFonts w:cs="Times New Roman"/>
        </w:rPr>
        <w:t xml:space="preserve">2, </w:t>
      </w:r>
      <w:r w:rsidR="003A6249" w:rsidRPr="008A4365">
        <w:rPr>
          <w:rFonts w:cs="Times New Roman"/>
        </w:rPr>
        <w:t>0.0</w:t>
      </w:r>
      <w:r w:rsidRPr="008A4365">
        <w:rPr>
          <w:rFonts w:cs="Times New Roman"/>
        </w:rPr>
        <w:t xml:space="preserve">5, </w:t>
      </w:r>
      <w:r w:rsidR="003A6249" w:rsidRPr="008A4365">
        <w:rPr>
          <w:rFonts w:cs="Times New Roman"/>
        </w:rPr>
        <w:t>0.</w:t>
      </w:r>
      <w:r w:rsidRPr="008A4365">
        <w:rPr>
          <w:rFonts w:cs="Times New Roman"/>
        </w:rPr>
        <w:t xml:space="preserve">1 and </w:t>
      </w:r>
      <w:r w:rsidR="003A6249" w:rsidRPr="008A4365">
        <w:rPr>
          <w:rFonts w:cs="Times New Roman"/>
        </w:rPr>
        <w:t>0.</w:t>
      </w:r>
      <w:r w:rsidRPr="008A4365">
        <w:rPr>
          <w:rFonts w:cs="Times New Roman"/>
        </w:rPr>
        <w:t>5</w:t>
      </w:r>
      <w:r w:rsidR="003A6249" w:rsidRPr="008A4365">
        <w:rPr>
          <w:rFonts w:cs="Times New Roman"/>
        </w:rPr>
        <w:t xml:space="preserve"> m</w:t>
      </w:r>
      <w:r w:rsidRPr="008A4365">
        <w:rPr>
          <w:rFonts w:cs="Times New Roman"/>
        </w:rPr>
        <w:t xml:space="preserve">g/mL and injected for the analyses via HPLC-UV to obtain the standard curves of GS and GP. </w:t>
      </w:r>
    </w:p>
    <w:p w14:paraId="5FD2939B" w14:textId="1F26F7FA" w:rsidR="004C1F0F" w:rsidRDefault="004C1F0F" w:rsidP="004C1F0F">
      <w:pPr>
        <w:spacing w:after="120" w:line="360" w:lineRule="auto"/>
        <w:rPr>
          <w:rFonts w:cs="Times New Roman"/>
        </w:rPr>
      </w:pPr>
      <w:r w:rsidRPr="008A4365">
        <w:rPr>
          <w:rFonts w:cs="Times New Roman"/>
        </w:rPr>
        <w:t xml:space="preserve">The HPLC-UV system consisted of a Waters 600 controller (pump) coupled with a Waters 717 auto sampler and </w:t>
      </w:r>
      <w:r w:rsidRPr="008A4365">
        <w:rPr>
          <w:rFonts w:cs="Times New Roman" w:hint="eastAsia"/>
        </w:rPr>
        <w:t>a</w:t>
      </w:r>
      <w:r w:rsidRPr="008A4365">
        <w:rPr>
          <w:rFonts w:cs="Times New Roman"/>
        </w:rPr>
        <w:t xml:space="preserve"> Waters 2487 dual wavelength detector. </w:t>
      </w:r>
      <w:r w:rsidR="003A6249" w:rsidRPr="008A4365">
        <w:rPr>
          <w:rFonts w:cs="Times New Roman"/>
        </w:rPr>
        <w:t>GS</w:t>
      </w:r>
      <w:r w:rsidRPr="008A4365">
        <w:rPr>
          <w:rFonts w:cs="Times New Roman"/>
        </w:rPr>
        <w:t xml:space="preserve"> and </w:t>
      </w:r>
      <w:r w:rsidR="003A6249" w:rsidRPr="008A4365">
        <w:rPr>
          <w:rFonts w:cs="Times New Roman"/>
        </w:rPr>
        <w:t>GP</w:t>
      </w:r>
      <w:r w:rsidRPr="008A4365">
        <w:rPr>
          <w:rFonts w:cs="Times New Roman"/>
        </w:rPr>
        <w:t xml:space="preserve"> were separated using Sunfire C</w:t>
      </w:r>
      <w:r w:rsidRPr="008A4365">
        <w:rPr>
          <w:rFonts w:cs="Times New Roman"/>
          <w:vertAlign w:val="subscript"/>
        </w:rPr>
        <w:t>18</w:t>
      </w:r>
      <w:r w:rsidRPr="008A4365">
        <w:rPr>
          <w:rFonts w:cs="Times New Roman"/>
        </w:rPr>
        <w:t xml:space="preserve"> (5 µ</w:t>
      </w:r>
      <w:r w:rsidR="003A6249" w:rsidRPr="008A4365">
        <w:rPr>
          <w:rFonts w:cs="Times New Roman"/>
        </w:rPr>
        <w:t>m</w:t>
      </w:r>
      <w:r w:rsidRPr="008A4365">
        <w:rPr>
          <w:rFonts w:cs="Times New Roman"/>
        </w:rPr>
        <w:t>, 3 mm×150 mm) column (Waters, MA, USA) with isocratic elution containing 50% acetonitrile and 50% 0.1% formic acid (in water) at flow rate of 1.0 mL/min. Both GS and GP were detected under the maximum wavelength of 23</w:t>
      </w:r>
      <w:r w:rsidR="003A6249" w:rsidRPr="008A4365">
        <w:rPr>
          <w:rFonts w:cs="Times New Roman"/>
        </w:rPr>
        <w:t>8</w:t>
      </w:r>
      <w:r w:rsidRPr="008A4365">
        <w:rPr>
          <w:rFonts w:cs="Times New Roman"/>
        </w:rPr>
        <w:t xml:space="preserve"> nm, and their contents in the</w:t>
      </w:r>
      <w:r w:rsidRPr="008A4365">
        <w:rPr>
          <w:rFonts w:cs="Times New Roman" w:hint="eastAsia"/>
        </w:rPr>
        <w:t xml:space="preserve"> </w:t>
      </w:r>
      <w:r w:rsidR="00B2547D" w:rsidRPr="008A4365">
        <w:rPr>
          <w:rFonts w:cs="Times New Roman"/>
        </w:rPr>
        <w:t xml:space="preserve">GJ </w:t>
      </w:r>
      <w:r w:rsidRPr="008A4365">
        <w:rPr>
          <w:rFonts w:cs="Times New Roman"/>
        </w:rPr>
        <w:t>granules were calculated based on their corresponding standard curves.</w:t>
      </w:r>
    </w:p>
    <w:p w14:paraId="2C758317" w14:textId="77777777" w:rsidR="004C1F0F" w:rsidRDefault="004C1F0F" w:rsidP="004C1F0F">
      <w:pPr>
        <w:spacing w:after="120" w:line="360" w:lineRule="auto"/>
        <w:rPr>
          <w:rFonts w:asciiTheme="majorHAnsi" w:hAnsiTheme="majorHAnsi" w:cstheme="majorHAnsi"/>
          <w:b/>
          <w:bCs/>
          <w:i/>
          <w:iCs/>
        </w:rPr>
      </w:pPr>
      <w:r>
        <w:rPr>
          <w:rFonts w:asciiTheme="majorHAnsi" w:hAnsiTheme="majorHAnsi" w:cstheme="majorHAnsi"/>
          <w:b/>
          <w:bCs/>
          <w:i/>
          <w:iCs/>
        </w:rPr>
        <w:t>Result</w:t>
      </w:r>
      <w:r w:rsidRPr="004C1F0F">
        <w:rPr>
          <w:rFonts w:asciiTheme="majorHAnsi" w:hAnsiTheme="majorHAnsi" w:cstheme="majorHAnsi"/>
          <w:b/>
          <w:bCs/>
          <w:i/>
          <w:iCs/>
        </w:rPr>
        <w:t>s</w:t>
      </w:r>
    </w:p>
    <w:p w14:paraId="3332E4C5" w14:textId="49B278D8" w:rsidR="004C1F0F" w:rsidRPr="0034505F" w:rsidRDefault="004C1F0F" w:rsidP="004C1F0F">
      <w:pPr>
        <w:spacing w:after="120" w:line="360" w:lineRule="auto"/>
        <w:rPr>
          <w:rFonts w:cs="Times New Roman"/>
        </w:rPr>
      </w:pPr>
      <w:r w:rsidRPr="0034505F">
        <w:rPr>
          <w:rFonts w:cs="Times New Roman"/>
        </w:rPr>
        <w:t xml:space="preserve">The </w:t>
      </w:r>
      <w:r>
        <w:rPr>
          <w:rFonts w:cs="Times New Roman"/>
        </w:rPr>
        <w:t>representative HPLC-UV spectrums</w:t>
      </w:r>
      <w:r>
        <w:rPr>
          <w:rFonts w:cs="Times New Roman" w:hint="eastAsia"/>
        </w:rPr>
        <w:t xml:space="preserve"> </w:t>
      </w:r>
      <w:r w:rsidRPr="0034505F">
        <w:rPr>
          <w:rFonts w:cs="Times New Roman"/>
        </w:rPr>
        <w:t xml:space="preserve">of </w:t>
      </w:r>
      <w:r>
        <w:rPr>
          <w:rFonts w:cs="Times New Roman"/>
        </w:rPr>
        <w:t>GS</w:t>
      </w:r>
      <w:r w:rsidRPr="0034505F">
        <w:rPr>
          <w:rFonts w:cs="Times New Roman"/>
        </w:rPr>
        <w:t xml:space="preserve"> and </w:t>
      </w:r>
      <w:r>
        <w:rPr>
          <w:rFonts w:cs="Times New Roman"/>
        </w:rPr>
        <w:t>GP</w:t>
      </w:r>
      <w:r w:rsidRPr="0034505F">
        <w:rPr>
          <w:rFonts w:cs="Times New Roman"/>
        </w:rPr>
        <w:t xml:space="preserve"> </w:t>
      </w:r>
      <w:r>
        <w:rPr>
          <w:rFonts w:cs="Times New Roman"/>
        </w:rPr>
        <w:t xml:space="preserve">in the standard solution and </w:t>
      </w:r>
      <w:r w:rsidR="00B2547D">
        <w:rPr>
          <w:rFonts w:cs="Times New Roman"/>
        </w:rPr>
        <w:t xml:space="preserve">GJ </w:t>
      </w:r>
      <w:r w:rsidRPr="00C27DF8">
        <w:rPr>
          <w:rFonts w:cs="Times New Roman"/>
        </w:rPr>
        <w:t>granules</w:t>
      </w:r>
      <w:r>
        <w:rPr>
          <w:rFonts w:cs="Times New Roman"/>
        </w:rPr>
        <w:t xml:space="preserve"> sample at 238 nm </w:t>
      </w:r>
      <w:r w:rsidRPr="0034505F">
        <w:rPr>
          <w:rFonts w:cs="Times New Roman"/>
        </w:rPr>
        <w:t>were shown in</w:t>
      </w:r>
      <w:r>
        <w:rPr>
          <w:rFonts w:cs="Times New Roman"/>
          <w:b/>
          <w:bCs/>
        </w:rPr>
        <w:t xml:space="preserve"> Figure S1</w:t>
      </w:r>
      <w:r w:rsidRPr="0034505F">
        <w:rPr>
          <w:rFonts w:cs="Times New Roman"/>
        </w:rPr>
        <w:t xml:space="preserve">. </w:t>
      </w:r>
      <w:r>
        <w:rPr>
          <w:rFonts w:cs="Times New Roman"/>
        </w:rPr>
        <w:t>Based on the standard curves</w:t>
      </w:r>
      <w:r w:rsidRPr="00C27DF8">
        <w:rPr>
          <w:rFonts w:cs="Times New Roman"/>
        </w:rPr>
        <w:t>,</w:t>
      </w:r>
      <w:r>
        <w:rPr>
          <w:rFonts w:cs="Times New Roman"/>
          <w:b/>
          <w:bCs/>
        </w:rPr>
        <w:t xml:space="preserve"> </w:t>
      </w:r>
      <w:r w:rsidRPr="00C27DF8">
        <w:rPr>
          <w:rFonts w:cs="Times New Roman"/>
        </w:rPr>
        <w:t>the</w:t>
      </w:r>
      <w:r>
        <w:rPr>
          <w:rFonts w:cs="Times New Roman"/>
        </w:rPr>
        <w:t xml:space="preserve"> concentration of GS in the </w:t>
      </w:r>
      <w:r w:rsidRPr="0034505F">
        <w:rPr>
          <w:rFonts w:cs="Times New Roman"/>
        </w:rPr>
        <w:t xml:space="preserve">solution of concentrated </w:t>
      </w:r>
      <w:r w:rsidR="00B2547D">
        <w:rPr>
          <w:rFonts w:cs="Times New Roman"/>
        </w:rPr>
        <w:t xml:space="preserve">GJ </w:t>
      </w:r>
      <w:r w:rsidRPr="0034505F">
        <w:rPr>
          <w:rFonts w:cs="Times New Roman"/>
        </w:rPr>
        <w:t>granules (2 mg/mL)</w:t>
      </w:r>
      <w:r>
        <w:rPr>
          <w:rFonts w:cs="Times New Roman"/>
        </w:rPr>
        <w:t xml:space="preserve"> was determined to be </w:t>
      </w:r>
      <w:r w:rsidRPr="0034505F">
        <w:rPr>
          <w:rFonts w:cs="Times New Roman"/>
        </w:rPr>
        <w:t>0.21 mg/mL</w:t>
      </w:r>
      <w:r>
        <w:rPr>
          <w:rFonts w:cs="Times New Roman"/>
        </w:rPr>
        <w:t xml:space="preserve">, whereas </w:t>
      </w:r>
      <w:r w:rsidRPr="0034505F">
        <w:rPr>
          <w:rFonts w:cs="Times New Roman"/>
        </w:rPr>
        <w:t xml:space="preserve">the concentration of </w:t>
      </w:r>
      <w:r>
        <w:rPr>
          <w:rFonts w:cs="Times New Roman"/>
        </w:rPr>
        <w:t>GP</w:t>
      </w:r>
      <w:r w:rsidRPr="0034505F">
        <w:rPr>
          <w:rFonts w:cs="Times New Roman"/>
        </w:rPr>
        <w:t xml:space="preserve"> was below </w:t>
      </w:r>
      <w:r>
        <w:rPr>
          <w:rFonts w:cs="Times New Roman"/>
        </w:rPr>
        <w:t>its</w:t>
      </w:r>
      <w:r w:rsidRPr="0034505F">
        <w:rPr>
          <w:rFonts w:cs="Times New Roman"/>
        </w:rPr>
        <w:t xml:space="preserve"> lower limit of detection (0.001 mg/mL). Therefore, </w:t>
      </w:r>
      <w:r>
        <w:rPr>
          <w:rFonts w:cs="Times New Roman"/>
        </w:rPr>
        <w:t xml:space="preserve">it was determined that </w:t>
      </w:r>
      <w:r w:rsidRPr="0034505F">
        <w:rPr>
          <w:rFonts w:cs="Times New Roman"/>
        </w:rPr>
        <w:t xml:space="preserve">the concentrated </w:t>
      </w:r>
      <w:r w:rsidR="00B2547D">
        <w:rPr>
          <w:rFonts w:cs="Times New Roman"/>
        </w:rPr>
        <w:t xml:space="preserve">GJ </w:t>
      </w:r>
      <w:r w:rsidRPr="0034505F">
        <w:rPr>
          <w:rFonts w:cs="Times New Roman"/>
        </w:rPr>
        <w:t xml:space="preserve">granules contain 10.50% </w:t>
      </w:r>
      <w:r>
        <w:rPr>
          <w:rFonts w:cs="Times New Roman"/>
        </w:rPr>
        <w:t>(w/w) GS</w:t>
      </w:r>
      <w:r w:rsidRPr="0034505F">
        <w:rPr>
          <w:rFonts w:cs="Times New Roman"/>
        </w:rPr>
        <w:t xml:space="preserve"> </w:t>
      </w:r>
      <w:r>
        <w:rPr>
          <w:rFonts w:cs="Times New Roman"/>
        </w:rPr>
        <w:t>with undetectable</w:t>
      </w:r>
      <w:r w:rsidRPr="0034505F">
        <w:rPr>
          <w:rFonts w:cs="Times New Roman"/>
        </w:rPr>
        <w:t xml:space="preserve"> </w:t>
      </w:r>
      <w:r>
        <w:rPr>
          <w:rFonts w:cs="Times New Roman"/>
        </w:rPr>
        <w:t>GP</w:t>
      </w:r>
      <w:r w:rsidRPr="0034505F">
        <w:rPr>
          <w:rFonts w:cs="Times New Roman"/>
        </w:rPr>
        <w:t xml:space="preserve"> (&lt;0.05%</w:t>
      </w:r>
      <w:r>
        <w:rPr>
          <w:rFonts w:cs="Times New Roman"/>
        </w:rPr>
        <w:t>, w/w</w:t>
      </w:r>
      <w:r w:rsidRPr="0034505F">
        <w:rPr>
          <w:rFonts w:cs="Times New Roman"/>
        </w:rPr>
        <w:t>).</w:t>
      </w:r>
    </w:p>
    <w:p w14:paraId="427F241F" w14:textId="77777777" w:rsidR="004C1F0F" w:rsidRDefault="004C1F0F" w:rsidP="004C1F0F">
      <w:pPr>
        <w:keepNext/>
        <w:spacing w:after="120" w:line="360" w:lineRule="auto"/>
        <w:jc w:val="center"/>
      </w:pPr>
      <w:r w:rsidRPr="0034505F">
        <w:rPr>
          <w:rFonts w:cs="Times New Roman"/>
          <w:noProof/>
        </w:rPr>
        <w:lastRenderedPageBreak/>
        <w:drawing>
          <wp:inline distT="0" distB="0" distL="0" distR="0" wp14:anchorId="77234FD5" wp14:editId="7929B8F0">
            <wp:extent cx="5041478" cy="2533891"/>
            <wp:effectExtent l="0" t="0" r="63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5">
                      <a:extLst>
                        <a:ext uri="{28A0092B-C50C-407E-A947-70E740481C1C}">
                          <a14:useLocalDpi xmlns:a14="http://schemas.microsoft.com/office/drawing/2010/main" val="0"/>
                        </a:ext>
                      </a:extLst>
                    </a:blip>
                    <a:stretch>
                      <a:fillRect/>
                    </a:stretch>
                  </pic:blipFill>
                  <pic:spPr bwMode="auto">
                    <a:xfrm>
                      <a:off x="0" y="0"/>
                      <a:ext cx="5041478" cy="2533891"/>
                    </a:xfrm>
                    <a:prstGeom prst="rect">
                      <a:avLst/>
                    </a:prstGeom>
                    <a:ln>
                      <a:noFill/>
                    </a:ln>
                    <a:extLst>
                      <a:ext uri="{53640926-AAD7-44D8-BBD7-CCE9431645EC}">
                        <a14:shadowObscured xmlns:a14="http://schemas.microsoft.com/office/drawing/2010/main"/>
                      </a:ext>
                    </a:extLst>
                  </pic:spPr>
                </pic:pic>
              </a:graphicData>
            </a:graphic>
          </wp:inline>
        </w:drawing>
      </w:r>
    </w:p>
    <w:p w14:paraId="7357A75C" w14:textId="561B9490" w:rsidR="004C1F0F" w:rsidRDefault="004C1F0F" w:rsidP="004C1F0F">
      <w:pPr>
        <w:spacing w:after="120" w:line="360" w:lineRule="auto"/>
        <w:ind w:left="1418" w:hanging="1418"/>
      </w:pPr>
      <w:r w:rsidRPr="004C1F0F">
        <w:rPr>
          <w:b/>
          <w:bCs/>
        </w:rPr>
        <w:t>Figure S1</w:t>
      </w:r>
      <w:r w:rsidRPr="004C1F0F">
        <w:rPr>
          <w:b/>
          <w:bCs/>
        </w:rPr>
        <w:tab/>
      </w:r>
      <w:r>
        <w:t xml:space="preserve">Representative HPLC-UV spectrums of GS and GP in standard solution (0.01 mg/mL of both compounds) and </w:t>
      </w:r>
      <w:r w:rsidR="00B2547D">
        <w:rPr>
          <w:iCs/>
        </w:rPr>
        <w:t xml:space="preserve">GJ </w:t>
      </w:r>
      <w:r>
        <w:t>granules solution (2 mg/mL) at 238 nm</w:t>
      </w:r>
      <w:r w:rsidRPr="002800A3">
        <w:t>.</w:t>
      </w:r>
    </w:p>
    <w:p w14:paraId="229988D6" w14:textId="208D99F2" w:rsidR="004C1F0F" w:rsidRDefault="004C1F0F" w:rsidP="004C1F0F">
      <w:pPr>
        <w:spacing w:after="120" w:line="360" w:lineRule="auto"/>
      </w:pPr>
      <w:r>
        <w:br w:type="page"/>
      </w:r>
    </w:p>
    <w:p w14:paraId="129F4C97" w14:textId="7C9F9953" w:rsidR="00CB4459" w:rsidRDefault="004C1F0F" w:rsidP="004C1F0F">
      <w:pPr>
        <w:spacing w:after="120" w:line="360" w:lineRule="auto"/>
        <w:rPr>
          <w:rFonts w:asciiTheme="majorHAnsi" w:hAnsiTheme="majorHAnsi" w:cstheme="majorHAnsi"/>
          <w:b/>
          <w:bCs/>
        </w:rPr>
      </w:pPr>
      <w:r>
        <w:rPr>
          <w:rFonts w:asciiTheme="majorHAnsi" w:hAnsiTheme="majorHAnsi" w:cstheme="majorHAnsi"/>
          <w:b/>
          <w:bCs/>
        </w:rPr>
        <w:lastRenderedPageBreak/>
        <w:t>C</w:t>
      </w:r>
      <w:r w:rsidRPr="004C1F0F">
        <w:rPr>
          <w:rFonts w:asciiTheme="majorHAnsi" w:hAnsiTheme="majorHAnsi" w:cstheme="majorHAnsi"/>
          <w:b/>
          <w:bCs/>
        </w:rPr>
        <w:t>ytotoxicities of GS (40 μM) in presence and absence of verapamil (100 μM) or SV (10 μM) in MDCKII-MDR1 cells</w:t>
      </w:r>
    </w:p>
    <w:p w14:paraId="11CA01E9" w14:textId="79F82209" w:rsidR="004C1F0F" w:rsidRPr="004C1F0F" w:rsidRDefault="004C1F0F" w:rsidP="004C1F0F">
      <w:pPr>
        <w:spacing w:after="120" w:line="360" w:lineRule="auto"/>
        <w:rPr>
          <w:rFonts w:asciiTheme="majorHAnsi" w:hAnsiTheme="majorHAnsi" w:cstheme="majorHAnsi"/>
          <w:b/>
          <w:bCs/>
          <w:i/>
          <w:iCs/>
        </w:rPr>
      </w:pPr>
      <w:r w:rsidRPr="004C1F0F">
        <w:rPr>
          <w:rFonts w:asciiTheme="majorHAnsi" w:hAnsiTheme="majorHAnsi" w:cstheme="majorHAnsi"/>
          <w:b/>
          <w:bCs/>
          <w:i/>
          <w:iCs/>
        </w:rPr>
        <w:t>Methods</w:t>
      </w:r>
    </w:p>
    <w:p w14:paraId="3F5F7486" w14:textId="5613914E" w:rsidR="00CB4459" w:rsidRPr="00D61D37" w:rsidRDefault="00CB4459" w:rsidP="004C1F0F">
      <w:pPr>
        <w:spacing w:after="120" w:line="360" w:lineRule="auto"/>
        <w:rPr>
          <w:rFonts w:asciiTheme="majorHAnsi" w:hAnsiTheme="majorHAnsi" w:cstheme="majorHAnsi"/>
        </w:rPr>
      </w:pPr>
      <w:r w:rsidRPr="00D61D37">
        <w:rPr>
          <w:rFonts w:asciiTheme="majorHAnsi" w:hAnsiTheme="majorHAnsi" w:cstheme="majorHAnsi"/>
        </w:rPr>
        <w:t>MDCKII-MDR1 cells were cultured using Dulbecco's Modified Eagle Medium (DMEM) supplemented with 10% fetal bovine serum (FBS), penicillin (100 U/mL) and streptomycin (100 μg/mL) in cell incubator (37˚C, 5% CO</w:t>
      </w:r>
      <w:r w:rsidRPr="00D61D37">
        <w:rPr>
          <w:rFonts w:asciiTheme="majorHAnsi" w:hAnsiTheme="majorHAnsi" w:cstheme="majorHAnsi"/>
          <w:vertAlign w:val="subscript"/>
        </w:rPr>
        <w:t>2</w:t>
      </w:r>
      <w:r w:rsidRPr="00D61D37">
        <w:rPr>
          <w:rFonts w:asciiTheme="majorHAnsi" w:hAnsiTheme="majorHAnsi" w:cstheme="majorHAnsi"/>
        </w:rPr>
        <w:t xml:space="preserve"> with 90% relative humidity). For cytotoxicity studies</w:t>
      </w:r>
      <w:r w:rsidRPr="00D61D37">
        <w:rPr>
          <w:rFonts w:asciiTheme="majorHAnsi" w:hAnsiTheme="majorHAnsi" w:cstheme="majorHAnsi"/>
          <w:lang w:eastAsia="zh-TW"/>
        </w:rPr>
        <w:t>,</w:t>
      </w:r>
      <w:r w:rsidRPr="00D61D37">
        <w:rPr>
          <w:rFonts w:asciiTheme="majorHAnsi" w:hAnsiTheme="majorHAnsi" w:cstheme="majorHAnsi"/>
        </w:rPr>
        <w:t xml:space="preserve"> the cells were seeded onto 96-well plates at the density of 5×10</w:t>
      </w:r>
      <w:r w:rsidRPr="00D61D37">
        <w:rPr>
          <w:rFonts w:asciiTheme="majorHAnsi" w:hAnsiTheme="majorHAnsi" w:cstheme="majorHAnsi"/>
          <w:vertAlign w:val="superscript"/>
        </w:rPr>
        <w:t>3</w:t>
      </w:r>
      <w:r w:rsidRPr="00D61D37">
        <w:rPr>
          <w:rFonts w:asciiTheme="majorHAnsi" w:hAnsiTheme="majorHAnsi" w:cstheme="majorHAnsi"/>
        </w:rPr>
        <w:t xml:space="preserve"> cells/well and cultured for 24 h in the cell incubator. After that, the cells of each well were incubated with 200 μL of blank HBSS, </w:t>
      </w:r>
      <w:r w:rsidR="004C1F0F" w:rsidRPr="00D61D37">
        <w:rPr>
          <w:rFonts w:asciiTheme="majorHAnsi" w:hAnsiTheme="majorHAnsi" w:cstheme="majorHAnsi"/>
        </w:rPr>
        <w:t xml:space="preserve">HBSS contains </w:t>
      </w:r>
      <w:r w:rsidR="004C1F0F">
        <w:rPr>
          <w:rFonts w:asciiTheme="majorHAnsi" w:hAnsiTheme="majorHAnsi" w:cstheme="majorHAnsi"/>
        </w:rPr>
        <w:t>GS</w:t>
      </w:r>
      <w:r w:rsidR="004C1F0F" w:rsidRPr="00D61D37">
        <w:rPr>
          <w:rFonts w:asciiTheme="majorHAnsi" w:hAnsiTheme="majorHAnsi" w:cstheme="majorHAnsi"/>
        </w:rPr>
        <w:t xml:space="preserve"> (40 μM)</w:t>
      </w:r>
      <w:r w:rsidR="004C1F0F">
        <w:rPr>
          <w:rFonts w:asciiTheme="majorHAnsi" w:hAnsiTheme="majorHAnsi" w:cstheme="majorHAnsi"/>
        </w:rPr>
        <w:t xml:space="preserve">, </w:t>
      </w:r>
      <w:r w:rsidRPr="00D61D37">
        <w:rPr>
          <w:rFonts w:asciiTheme="majorHAnsi" w:hAnsiTheme="majorHAnsi" w:cstheme="majorHAnsi"/>
        </w:rPr>
        <w:t xml:space="preserve">HBSS contains verapamil (100 μM) and </w:t>
      </w:r>
      <w:r>
        <w:rPr>
          <w:rFonts w:asciiTheme="majorHAnsi" w:hAnsiTheme="majorHAnsi" w:cstheme="majorHAnsi"/>
        </w:rPr>
        <w:t>GS</w:t>
      </w:r>
      <w:r w:rsidRPr="00D61D37">
        <w:rPr>
          <w:rFonts w:asciiTheme="majorHAnsi" w:hAnsiTheme="majorHAnsi" w:cstheme="majorHAnsi"/>
        </w:rPr>
        <w:t xml:space="preserve"> (40 μM), or HBSS contains </w:t>
      </w:r>
      <w:r>
        <w:rPr>
          <w:rFonts w:asciiTheme="majorHAnsi" w:hAnsiTheme="majorHAnsi" w:cstheme="majorHAnsi"/>
        </w:rPr>
        <w:t>SV</w:t>
      </w:r>
      <w:r w:rsidRPr="00D61D37">
        <w:rPr>
          <w:rFonts w:asciiTheme="majorHAnsi" w:hAnsiTheme="majorHAnsi" w:cstheme="majorHAnsi"/>
        </w:rPr>
        <w:t xml:space="preserve"> (10 μM) and </w:t>
      </w:r>
      <w:r>
        <w:rPr>
          <w:rFonts w:asciiTheme="majorHAnsi" w:hAnsiTheme="majorHAnsi" w:cstheme="majorHAnsi"/>
        </w:rPr>
        <w:t>GS</w:t>
      </w:r>
      <w:r w:rsidRPr="00D61D37">
        <w:rPr>
          <w:rFonts w:asciiTheme="majorHAnsi" w:hAnsiTheme="majorHAnsi" w:cstheme="majorHAnsi"/>
        </w:rPr>
        <w:t xml:space="preserve"> (40 μM) (triplicates for each test) in the cell incubator for 4 h. After the incubation, the medium was replaced by 200 μL of methyl thiazolyl tetrazolium (MTT) reagent (5 mg/mL dissolved in PBS) followed by incubation for another 2 h in the cell incubator. At the end of the incubation, after removing the solution in each well, 200 μL of DMSO was added to dissolve the purple formazan product for the further detection of optical density (OD) value at 490 nm. </w:t>
      </w:r>
    </w:p>
    <w:p w14:paraId="39A85B1D" w14:textId="0F4BF7C7" w:rsidR="00CB4459" w:rsidRPr="00D61D37" w:rsidRDefault="00CB4459" w:rsidP="004C1F0F">
      <w:pPr>
        <w:spacing w:after="120" w:line="360" w:lineRule="auto"/>
        <w:rPr>
          <w:rFonts w:asciiTheme="majorHAnsi" w:hAnsiTheme="majorHAnsi" w:cstheme="majorHAnsi"/>
        </w:rPr>
      </w:pPr>
      <w:r w:rsidRPr="00D61D37">
        <w:rPr>
          <w:rFonts w:asciiTheme="majorHAnsi" w:hAnsiTheme="majorHAnsi" w:cstheme="majorHAnsi"/>
        </w:rPr>
        <w:t xml:space="preserve">Cytotoxicity of </w:t>
      </w:r>
      <w:r w:rsidR="004C1F0F">
        <w:rPr>
          <w:rFonts w:asciiTheme="majorHAnsi" w:hAnsiTheme="majorHAnsi" w:cstheme="majorHAnsi"/>
        </w:rPr>
        <w:t>GS</w:t>
      </w:r>
      <w:r w:rsidRPr="00D61D37">
        <w:rPr>
          <w:rFonts w:asciiTheme="majorHAnsi" w:hAnsiTheme="majorHAnsi" w:cstheme="majorHAnsi"/>
        </w:rPr>
        <w:t>/</w:t>
      </w:r>
      <w:r w:rsidR="004C1F0F">
        <w:rPr>
          <w:rFonts w:asciiTheme="majorHAnsi" w:hAnsiTheme="majorHAnsi" w:cstheme="majorHAnsi"/>
        </w:rPr>
        <w:t>SV</w:t>
      </w:r>
      <w:r w:rsidRPr="00D61D37">
        <w:rPr>
          <w:rFonts w:asciiTheme="majorHAnsi" w:hAnsiTheme="majorHAnsi" w:cstheme="majorHAnsi"/>
        </w:rPr>
        <w:t>/verapamil was indicated by the relative cell viability (%) calculated based on following equation.</w:t>
      </w:r>
    </w:p>
    <w:p w14:paraId="0ABC328B" w14:textId="77777777" w:rsidR="00CB4459" w:rsidRPr="00D61D37" w:rsidRDefault="00CB4459" w:rsidP="004C1F0F">
      <w:pPr>
        <w:spacing w:before="100" w:beforeAutospacing="1" w:after="120" w:line="360" w:lineRule="auto"/>
        <w:jc w:val="center"/>
        <w:rPr>
          <w:rFonts w:asciiTheme="majorHAnsi" w:hAnsiTheme="majorHAnsi" w:cstheme="majorHAnsi"/>
        </w:rPr>
      </w:pPr>
      <w:r w:rsidRPr="00D61D37">
        <w:rPr>
          <w:rFonts w:asciiTheme="majorHAnsi" w:hAnsiTheme="majorHAnsi" w:cstheme="majorHAnsi"/>
        </w:rPr>
        <w:t xml:space="preserve">Relative cell viability (%) = </w:t>
      </w:r>
      <m:oMath>
        <m:f>
          <m:fPr>
            <m:ctrlPr>
              <w:rPr>
                <w:rFonts w:ascii="Cambria Math" w:hAnsi="Cambria Math" w:cstheme="majorHAnsi"/>
                <w:i/>
              </w:rPr>
            </m:ctrlPr>
          </m:fPr>
          <m:num>
            <m:sSub>
              <m:sSubPr>
                <m:ctrlPr>
                  <w:rPr>
                    <w:rFonts w:ascii="Cambria Math" w:hAnsi="Cambria Math" w:cstheme="majorHAnsi"/>
                    <w:i/>
                  </w:rPr>
                </m:ctrlPr>
              </m:sSubPr>
              <m:e>
                <m:r>
                  <w:rPr>
                    <w:rFonts w:ascii="Cambria Math" w:hAnsi="Cambria Math" w:cstheme="majorHAnsi"/>
                  </w:rPr>
                  <m:t>OD</m:t>
                </m:r>
              </m:e>
              <m:sub>
                <m:r>
                  <w:rPr>
                    <w:rFonts w:ascii="Cambria Math" w:hAnsi="Cambria Math" w:cstheme="majorHAnsi"/>
                  </w:rPr>
                  <m:t>490, sample</m:t>
                </m:r>
              </m:sub>
            </m:sSub>
            <m:r>
              <w:rPr>
                <w:rFonts w:ascii="Cambria Math" w:hAnsi="Cambria Math" w:cstheme="majorHAnsi"/>
              </w:rPr>
              <m:t xml:space="preserve"> - </m:t>
            </m:r>
            <m:sSub>
              <m:sSubPr>
                <m:ctrlPr>
                  <w:rPr>
                    <w:rFonts w:ascii="Cambria Math" w:hAnsi="Cambria Math" w:cstheme="majorHAnsi"/>
                    <w:i/>
                  </w:rPr>
                </m:ctrlPr>
              </m:sSubPr>
              <m:e>
                <m:r>
                  <w:rPr>
                    <w:rFonts w:ascii="Cambria Math" w:hAnsi="Cambria Math" w:cstheme="majorHAnsi"/>
                  </w:rPr>
                  <m:t>OD</m:t>
                </m:r>
              </m:e>
              <m:sub>
                <m:r>
                  <w:rPr>
                    <w:rFonts w:ascii="Cambria Math" w:hAnsi="Cambria Math" w:cstheme="majorHAnsi"/>
                  </w:rPr>
                  <m:t>490, blank</m:t>
                </m:r>
              </m:sub>
            </m:sSub>
          </m:num>
          <m:den>
            <m:sSub>
              <m:sSubPr>
                <m:ctrlPr>
                  <w:rPr>
                    <w:rFonts w:ascii="Cambria Math" w:hAnsi="Cambria Math" w:cstheme="majorHAnsi"/>
                    <w:i/>
                  </w:rPr>
                </m:ctrlPr>
              </m:sSubPr>
              <m:e>
                <m:r>
                  <w:rPr>
                    <w:rFonts w:ascii="Cambria Math" w:hAnsi="Cambria Math" w:cstheme="majorHAnsi"/>
                  </w:rPr>
                  <m:t>OD</m:t>
                </m:r>
              </m:e>
              <m:sub>
                <m:r>
                  <w:rPr>
                    <w:rFonts w:ascii="Cambria Math" w:hAnsi="Cambria Math" w:cstheme="majorHAnsi"/>
                  </w:rPr>
                  <m:t>490, control</m:t>
                </m:r>
              </m:sub>
            </m:sSub>
            <m:r>
              <w:rPr>
                <w:rFonts w:ascii="Cambria Math" w:hAnsi="Cambria Math" w:cstheme="majorHAnsi"/>
              </w:rPr>
              <m:t xml:space="preserve"> - </m:t>
            </m:r>
            <m:sSub>
              <m:sSubPr>
                <m:ctrlPr>
                  <w:rPr>
                    <w:rFonts w:ascii="Cambria Math" w:hAnsi="Cambria Math" w:cstheme="majorHAnsi"/>
                    <w:i/>
                  </w:rPr>
                </m:ctrlPr>
              </m:sSubPr>
              <m:e>
                <m:r>
                  <w:rPr>
                    <w:rFonts w:ascii="Cambria Math" w:hAnsi="Cambria Math" w:cstheme="majorHAnsi"/>
                  </w:rPr>
                  <m:t>OD</m:t>
                </m:r>
              </m:e>
              <m:sub>
                <m:r>
                  <w:rPr>
                    <w:rFonts w:ascii="Cambria Math" w:hAnsi="Cambria Math" w:cstheme="majorHAnsi"/>
                  </w:rPr>
                  <m:t>490, blank</m:t>
                </m:r>
              </m:sub>
            </m:sSub>
          </m:den>
        </m:f>
        <m:r>
          <w:rPr>
            <w:rFonts w:ascii="Cambria Math" w:hAnsi="Cambria Math" w:cstheme="majorHAnsi"/>
          </w:rPr>
          <m:t>×100%</m:t>
        </m:r>
      </m:oMath>
    </w:p>
    <w:p w14:paraId="70EBAB27" w14:textId="6266E6EA" w:rsidR="00CB4459" w:rsidRDefault="00CB4459" w:rsidP="004C1F0F">
      <w:pPr>
        <w:spacing w:after="120" w:line="360" w:lineRule="auto"/>
        <w:rPr>
          <w:rFonts w:asciiTheme="majorHAnsi" w:hAnsiTheme="majorHAnsi" w:cstheme="majorHAnsi"/>
        </w:rPr>
      </w:pPr>
      <w:r w:rsidRPr="00D61D37">
        <w:rPr>
          <w:rFonts w:asciiTheme="majorHAnsi" w:hAnsiTheme="majorHAnsi" w:cstheme="majorHAnsi"/>
        </w:rPr>
        <w:t>OD</w:t>
      </w:r>
      <w:r w:rsidRPr="00D61D37">
        <w:rPr>
          <w:rFonts w:asciiTheme="majorHAnsi" w:hAnsiTheme="majorHAnsi" w:cstheme="majorHAnsi"/>
          <w:vertAlign w:val="subscript"/>
        </w:rPr>
        <w:t xml:space="preserve">490,sample </w:t>
      </w:r>
      <w:r w:rsidRPr="00D61D37">
        <w:rPr>
          <w:rFonts w:asciiTheme="majorHAnsi" w:hAnsiTheme="majorHAnsi" w:cstheme="majorHAnsi"/>
        </w:rPr>
        <w:t>is the average OD value at 490 nm of the compound treated MDCKII-MDR1 cells; OD</w:t>
      </w:r>
      <w:r w:rsidRPr="00D61D37">
        <w:rPr>
          <w:rFonts w:asciiTheme="majorHAnsi" w:hAnsiTheme="majorHAnsi" w:cstheme="majorHAnsi"/>
          <w:vertAlign w:val="subscript"/>
        </w:rPr>
        <w:t xml:space="preserve">490,control </w:t>
      </w:r>
      <w:r w:rsidRPr="00D61D37">
        <w:rPr>
          <w:rFonts w:asciiTheme="majorHAnsi" w:hAnsiTheme="majorHAnsi" w:cstheme="majorHAnsi"/>
        </w:rPr>
        <w:t>is the average OD value at 490 nm of the blank HBSS treated MDCKII-MDR1 cells; OD</w:t>
      </w:r>
      <w:r w:rsidRPr="00D61D37">
        <w:rPr>
          <w:rFonts w:asciiTheme="majorHAnsi" w:hAnsiTheme="majorHAnsi" w:cstheme="majorHAnsi"/>
          <w:vertAlign w:val="subscript"/>
        </w:rPr>
        <w:t xml:space="preserve">490,blank </w:t>
      </w:r>
      <w:r w:rsidRPr="00D61D37">
        <w:rPr>
          <w:rFonts w:asciiTheme="majorHAnsi" w:hAnsiTheme="majorHAnsi" w:cstheme="majorHAnsi"/>
        </w:rPr>
        <w:t>is the average OD value at 490 nm of the well contains blank HBSS.</w:t>
      </w:r>
    </w:p>
    <w:p w14:paraId="20B58044" w14:textId="40B10820" w:rsidR="004C1F0F" w:rsidRDefault="004C1F0F" w:rsidP="004C1F0F">
      <w:pPr>
        <w:spacing w:after="120" w:line="360" w:lineRule="auto"/>
        <w:rPr>
          <w:rFonts w:asciiTheme="majorHAnsi" w:hAnsiTheme="majorHAnsi" w:cstheme="majorHAnsi"/>
          <w:b/>
          <w:bCs/>
          <w:i/>
          <w:iCs/>
        </w:rPr>
      </w:pPr>
      <w:r>
        <w:rPr>
          <w:rFonts w:asciiTheme="majorHAnsi" w:hAnsiTheme="majorHAnsi" w:cstheme="majorHAnsi"/>
          <w:b/>
          <w:bCs/>
          <w:i/>
          <w:iCs/>
        </w:rPr>
        <w:t>Result</w:t>
      </w:r>
      <w:r w:rsidRPr="004C1F0F">
        <w:rPr>
          <w:rFonts w:asciiTheme="majorHAnsi" w:hAnsiTheme="majorHAnsi" w:cstheme="majorHAnsi"/>
          <w:b/>
          <w:bCs/>
          <w:i/>
          <w:iCs/>
        </w:rPr>
        <w:t>s</w:t>
      </w:r>
    </w:p>
    <w:p w14:paraId="62917F00" w14:textId="55897C5C" w:rsidR="004C1F0F" w:rsidRPr="00D61D37" w:rsidRDefault="004C1F0F" w:rsidP="004C1F0F">
      <w:pPr>
        <w:spacing w:after="120" w:line="360" w:lineRule="auto"/>
        <w:rPr>
          <w:rFonts w:asciiTheme="majorHAnsi" w:hAnsiTheme="majorHAnsi" w:cstheme="majorHAnsi"/>
        </w:rPr>
      </w:pPr>
      <w:r>
        <w:rPr>
          <w:rFonts w:asciiTheme="majorHAnsi" w:hAnsiTheme="majorHAnsi" w:cstheme="majorHAnsi"/>
        </w:rPr>
        <w:t xml:space="preserve">As shown in </w:t>
      </w:r>
      <w:r w:rsidRPr="004C1F0F">
        <w:rPr>
          <w:rFonts w:asciiTheme="majorHAnsi" w:hAnsiTheme="majorHAnsi" w:cstheme="majorHAnsi"/>
          <w:b/>
          <w:bCs/>
        </w:rPr>
        <w:t>Figure S</w:t>
      </w:r>
      <w:r>
        <w:rPr>
          <w:rFonts w:asciiTheme="majorHAnsi" w:hAnsiTheme="majorHAnsi" w:cstheme="majorHAnsi"/>
          <w:b/>
          <w:bCs/>
        </w:rPr>
        <w:t>2</w:t>
      </w:r>
      <w:r>
        <w:rPr>
          <w:rFonts w:asciiTheme="majorHAnsi" w:hAnsiTheme="majorHAnsi" w:cstheme="majorHAnsi"/>
        </w:rPr>
        <w:t xml:space="preserve">, </w:t>
      </w:r>
      <w:r>
        <w:rPr>
          <w:rFonts w:eastAsia="Times New Roman" w:cs="Times New Roman"/>
          <w:color w:val="000000"/>
        </w:rPr>
        <w:t>the variablities of MDCKII-MDR1 cells after incubating with GS (</w:t>
      </w:r>
      <w:r>
        <w:t>4</w:t>
      </w:r>
      <w:r w:rsidRPr="004361E7">
        <w:t xml:space="preserve">0 </w:t>
      </w:r>
      <w:r w:rsidRPr="004361E7">
        <w:rPr>
          <w:rFonts w:eastAsia="Times New Roman" w:cs="Times New Roman"/>
          <w:color w:val="000000"/>
        </w:rPr>
        <w:t>µM</w:t>
      </w:r>
      <w:r>
        <w:rPr>
          <w:rFonts w:eastAsia="Times New Roman" w:cs="Times New Roman"/>
          <w:color w:val="000000"/>
        </w:rPr>
        <w:t xml:space="preserve">), GS (40 </w:t>
      </w:r>
      <w:r w:rsidRPr="004361E7">
        <w:rPr>
          <w:rFonts w:eastAsia="Times New Roman" w:cs="Times New Roman"/>
          <w:color w:val="000000"/>
        </w:rPr>
        <w:t>µM</w:t>
      </w:r>
      <w:r>
        <w:rPr>
          <w:rFonts w:eastAsia="Times New Roman" w:cs="Times New Roman"/>
          <w:color w:val="000000"/>
        </w:rPr>
        <w:t xml:space="preserve">) and VP (100 </w:t>
      </w:r>
      <w:r w:rsidRPr="004361E7">
        <w:rPr>
          <w:rFonts w:eastAsia="Times New Roman" w:cs="Times New Roman"/>
          <w:color w:val="000000"/>
        </w:rPr>
        <w:t>µM</w:t>
      </w:r>
      <w:r>
        <w:rPr>
          <w:rFonts w:eastAsia="Times New Roman" w:cs="Times New Roman"/>
          <w:color w:val="000000"/>
        </w:rPr>
        <w:t xml:space="preserve">), and GS (40 </w:t>
      </w:r>
      <w:r w:rsidRPr="004361E7">
        <w:rPr>
          <w:rFonts w:eastAsia="Times New Roman" w:cs="Times New Roman"/>
          <w:color w:val="000000"/>
        </w:rPr>
        <w:t>µM</w:t>
      </w:r>
      <w:r>
        <w:rPr>
          <w:rFonts w:eastAsia="Times New Roman" w:cs="Times New Roman"/>
          <w:color w:val="000000"/>
        </w:rPr>
        <w:t xml:space="preserve">) and SV (10 </w:t>
      </w:r>
      <w:r w:rsidRPr="004361E7">
        <w:rPr>
          <w:rFonts w:eastAsia="Times New Roman" w:cs="Times New Roman"/>
          <w:color w:val="000000"/>
        </w:rPr>
        <w:t>µM</w:t>
      </w:r>
      <w:r>
        <w:rPr>
          <w:rFonts w:eastAsia="Times New Roman" w:cs="Times New Roman"/>
          <w:color w:val="000000"/>
        </w:rPr>
        <w:t xml:space="preserve">) for 4 h were all more than 80%, indicating not significant cytotoxicity. </w:t>
      </w:r>
    </w:p>
    <w:p w14:paraId="09FA1399" w14:textId="77777777" w:rsidR="00CB4459" w:rsidRPr="00D61D37" w:rsidRDefault="00CB4459" w:rsidP="004C1F0F">
      <w:pPr>
        <w:keepNext/>
        <w:spacing w:after="120" w:line="360" w:lineRule="auto"/>
        <w:jc w:val="center"/>
        <w:rPr>
          <w:rFonts w:asciiTheme="majorHAnsi" w:hAnsiTheme="majorHAnsi" w:cstheme="majorHAnsi"/>
        </w:rPr>
      </w:pPr>
      <w:r w:rsidRPr="00D61D37">
        <w:rPr>
          <w:rFonts w:asciiTheme="majorHAnsi" w:hAnsiTheme="majorHAnsi" w:cstheme="majorHAnsi"/>
          <w:noProof/>
        </w:rPr>
        <w:lastRenderedPageBreak/>
        <w:drawing>
          <wp:inline distT="0" distB="0" distL="0" distR="0" wp14:anchorId="61918CC7" wp14:editId="27D29446">
            <wp:extent cx="3063613" cy="2871537"/>
            <wp:effectExtent l="0" t="0" r="0" b="0"/>
            <wp:docPr id="36" name="Picture 8">
              <a:extLst xmlns:a="http://schemas.openxmlformats.org/drawingml/2006/main">
                <a:ext uri="{FF2B5EF4-FFF2-40B4-BE49-F238E27FC236}">
                  <a16:creationId xmlns:a16="http://schemas.microsoft.com/office/drawing/2014/main" id="{5D31117C-F98B-2B40-B5CE-7AAC2C3E75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5D31117C-F98B-2B40-B5CE-7AAC2C3E758B}"/>
                        </a:ext>
                      </a:extLst>
                    </pic:cNvPr>
                    <pic:cNvPicPr>
                      <a:picLocks noChangeAspect="1"/>
                    </pic:cNvPicPr>
                  </pic:nvPicPr>
                  <pic:blipFill>
                    <a:blip r:embed="rId6"/>
                    <a:stretch>
                      <a:fillRect/>
                    </a:stretch>
                  </pic:blipFill>
                  <pic:spPr>
                    <a:xfrm>
                      <a:off x="0" y="0"/>
                      <a:ext cx="3081465" cy="2888270"/>
                    </a:xfrm>
                    <a:prstGeom prst="rect">
                      <a:avLst/>
                    </a:prstGeom>
                  </pic:spPr>
                </pic:pic>
              </a:graphicData>
            </a:graphic>
          </wp:inline>
        </w:drawing>
      </w:r>
    </w:p>
    <w:p w14:paraId="55FF8FBE" w14:textId="4BBCA7E4" w:rsidR="004C1F0F" w:rsidRDefault="00CB4459" w:rsidP="004C1F0F">
      <w:pPr>
        <w:pStyle w:val="Caption"/>
        <w:snapToGrid/>
        <w:spacing w:after="120" w:line="360" w:lineRule="auto"/>
        <w:ind w:left="1418" w:hanging="1418"/>
      </w:pPr>
      <w:bookmarkStart w:id="0" w:name="_Ref45396959"/>
      <w:bookmarkStart w:id="1" w:name="_Toc46341895"/>
      <w:bookmarkStart w:id="2" w:name="_Toc51676125"/>
      <w:r w:rsidRPr="00D61D37">
        <w:rPr>
          <w:rFonts w:asciiTheme="majorHAnsi" w:hAnsiTheme="majorHAnsi" w:cstheme="majorHAnsi"/>
        </w:rPr>
        <w:t xml:space="preserve">Figure </w:t>
      </w:r>
      <w:bookmarkEnd w:id="0"/>
      <w:r w:rsidR="004C1F0F">
        <w:rPr>
          <w:rFonts w:asciiTheme="majorHAnsi" w:hAnsiTheme="majorHAnsi" w:cstheme="majorHAnsi"/>
        </w:rPr>
        <w:t>S2</w:t>
      </w:r>
      <w:r w:rsidRPr="00D61D37">
        <w:rPr>
          <w:rFonts w:asciiTheme="majorHAnsi" w:hAnsiTheme="majorHAnsi" w:cstheme="majorHAnsi"/>
        </w:rPr>
        <w:tab/>
        <w:t xml:space="preserve">Cytotoxicities of GS </w:t>
      </w:r>
      <w:r w:rsidR="004C1F0F">
        <w:rPr>
          <w:rFonts w:asciiTheme="majorHAnsi" w:hAnsiTheme="majorHAnsi" w:cstheme="majorHAnsi"/>
        </w:rPr>
        <w:t>(</w:t>
      </w:r>
      <w:r w:rsidRPr="00D61D37">
        <w:rPr>
          <w:rFonts w:asciiTheme="majorHAnsi" w:eastAsia="Times New Roman" w:hAnsiTheme="majorHAnsi" w:cstheme="majorHAnsi"/>
          <w:color w:val="000000"/>
        </w:rPr>
        <w:t xml:space="preserve">40 </w:t>
      </w:r>
      <w:r w:rsidRPr="00D61D37">
        <w:rPr>
          <w:rFonts w:asciiTheme="majorHAnsi" w:eastAsia="Times New Roman" w:hAnsiTheme="majorHAnsi" w:cstheme="majorHAnsi"/>
          <w:color w:val="000000"/>
          <w:szCs w:val="24"/>
        </w:rPr>
        <w:t>µM</w:t>
      </w:r>
      <w:r w:rsidRPr="00D61D37">
        <w:rPr>
          <w:rFonts w:asciiTheme="majorHAnsi" w:hAnsiTheme="majorHAnsi" w:cstheme="majorHAnsi"/>
        </w:rPr>
        <w:t xml:space="preserve">), </w:t>
      </w:r>
      <w:r w:rsidR="004C1F0F">
        <w:rPr>
          <w:rFonts w:asciiTheme="majorHAnsi" w:hAnsiTheme="majorHAnsi" w:cstheme="majorHAnsi"/>
        </w:rPr>
        <w:t>GS</w:t>
      </w:r>
      <w:r w:rsidRPr="00D61D37">
        <w:rPr>
          <w:rFonts w:asciiTheme="majorHAnsi" w:hAnsiTheme="majorHAnsi" w:cstheme="majorHAnsi"/>
        </w:rPr>
        <w:t xml:space="preserve"> (</w:t>
      </w:r>
      <w:r w:rsidRPr="00D61D37">
        <w:rPr>
          <w:rFonts w:asciiTheme="majorHAnsi" w:eastAsia="Times New Roman" w:hAnsiTheme="majorHAnsi" w:cstheme="majorHAnsi"/>
          <w:color w:val="000000"/>
        </w:rPr>
        <w:t xml:space="preserve">40 </w:t>
      </w:r>
      <w:r w:rsidRPr="00D61D37">
        <w:rPr>
          <w:rFonts w:asciiTheme="majorHAnsi" w:eastAsia="Times New Roman" w:hAnsiTheme="majorHAnsi" w:cstheme="majorHAnsi"/>
          <w:color w:val="000000"/>
          <w:szCs w:val="24"/>
        </w:rPr>
        <w:t>µM</w:t>
      </w:r>
      <w:r w:rsidRPr="00D61D37">
        <w:rPr>
          <w:rFonts w:asciiTheme="majorHAnsi" w:hAnsiTheme="majorHAnsi" w:cstheme="majorHAnsi"/>
        </w:rPr>
        <w:t xml:space="preserve">) and verapamil (VP, </w:t>
      </w:r>
      <w:r w:rsidRPr="00D61D37">
        <w:rPr>
          <w:rFonts w:asciiTheme="majorHAnsi" w:eastAsia="Times New Roman" w:hAnsiTheme="majorHAnsi" w:cstheme="majorHAnsi"/>
          <w:color w:val="000000"/>
        </w:rPr>
        <w:t xml:space="preserve">100 </w:t>
      </w:r>
      <w:r w:rsidRPr="00D61D37">
        <w:rPr>
          <w:rFonts w:asciiTheme="majorHAnsi" w:eastAsia="Times New Roman" w:hAnsiTheme="majorHAnsi" w:cstheme="majorHAnsi"/>
          <w:color w:val="000000"/>
          <w:szCs w:val="24"/>
        </w:rPr>
        <w:t>µM</w:t>
      </w:r>
      <w:r w:rsidRPr="00D61D37">
        <w:rPr>
          <w:rFonts w:asciiTheme="majorHAnsi" w:hAnsiTheme="majorHAnsi" w:cstheme="majorHAnsi"/>
        </w:rPr>
        <w:t xml:space="preserve">), and </w:t>
      </w:r>
      <w:r w:rsidR="004C1F0F">
        <w:rPr>
          <w:rFonts w:asciiTheme="majorHAnsi" w:hAnsiTheme="majorHAnsi" w:cstheme="majorHAnsi"/>
        </w:rPr>
        <w:t>GS</w:t>
      </w:r>
      <w:r w:rsidRPr="00D61D37">
        <w:rPr>
          <w:rFonts w:asciiTheme="majorHAnsi" w:hAnsiTheme="majorHAnsi" w:cstheme="majorHAnsi"/>
        </w:rPr>
        <w:t xml:space="preserve"> (</w:t>
      </w:r>
      <w:r w:rsidRPr="00D61D37">
        <w:rPr>
          <w:rFonts w:asciiTheme="majorHAnsi" w:eastAsia="Times New Roman" w:hAnsiTheme="majorHAnsi" w:cstheme="majorHAnsi"/>
          <w:color w:val="000000"/>
        </w:rPr>
        <w:t xml:space="preserve">40 </w:t>
      </w:r>
      <w:r w:rsidRPr="00D61D37">
        <w:rPr>
          <w:rFonts w:asciiTheme="majorHAnsi" w:eastAsia="Times New Roman" w:hAnsiTheme="majorHAnsi" w:cstheme="majorHAnsi"/>
          <w:color w:val="000000"/>
          <w:szCs w:val="24"/>
        </w:rPr>
        <w:t>µM</w:t>
      </w:r>
      <w:r w:rsidRPr="00D61D37">
        <w:rPr>
          <w:rFonts w:asciiTheme="majorHAnsi" w:hAnsiTheme="majorHAnsi" w:cstheme="majorHAnsi"/>
        </w:rPr>
        <w:t xml:space="preserve">) </w:t>
      </w:r>
      <w:r w:rsidR="004C1F0F">
        <w:rPr>
          <w:rFonts w:asciiTheme="majorHAnsi" w:hAnsiTheme="majorHAnsi" w:cstheme="majorHAnsi"/>
        </w:rPr>
        <w:t>and</w:t>
      </w:r>
      <w:r w:rsidRPr="00D61D37">
        <w:rPr>
          <w:rFonts w:asciiTheme="majorHAnsi" w:hAnsiTheme="majorHAnsi" w:cstheme="majorHAnsi"/>
        </w:rPr>
        <w:t xml:space="preserve"> SV</w:t>
      </w:r>
      <w:r w:rsidR="004C1F0F">
        <w:rPr>
          <w:rFonts w:asciiTheme="majorHAnsi" w:hAnsiTheme="majorHAnsi" w:cstheme="majorHAnsi"/>
        </w:rPr>
        <w:t xml:space="preserve"> (</w:t>
      </w:r>
      <w:r w:rsidRPr="00D61D37">
        <w:rPr>
          <w:rFonts w:asciiTheme="majorHAnsi" w:eastAsia="Times New Roman" w:hAnsiTheme="majorHAnsi" w:cstheme="majorHAnsi"/>
          <w:color w:val="000000"/>
        </w:rPr>
        <w:t xml:space="preserve">10 </w:t>
      </w:r>
      <w:r w:rsidRPr="00D61D37">
        <w:rPr>
          <w:rFonts w:asciiTheme="majorHAnsi" w:eastAsia="Times New Roman" w:hAnsiTheme="majorHAnsi" w:cstheme="majorHAnsi"/>
          <w:color w:val="000000"/>
          <w:szCs w:val="24"/>
        </w:rPr>
        <w:t>µM</w:t>
      </w:r>
      <w:r w:rsidRPr="00D61D37">
        <w:rPr>
          <w:rFonts w:asciiTheme="majorHAnsi" w:hAnsiTheme="majorHAnsi" w:cstheme="majorHAnsi"/>
        </w:rPr>
        <w:t>) in MDCKII-MDR1 cells.</w:t>
      </w:r>
      <w:bookmarkEnd w:id="1"/>
      <w:bookmarkEnd w:id="2"/>
    </w:p>
    <w:sectPr w:rsidR="004C1F0F" w:rsidSect="004C1F0F">
      <w:pgSz w:w="11900" w:h="16840"/>
      <w:pgMar w:top="1440" w:right="1440" w:bottom="1440" w:left="144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BF3628"/>
    <w:multiLevelType w:val="multilevel"/>
    <w:tmpl w:val="BFAEEA40"/>
    <w:lvl w:ilvl="0">
      <w:start w:val="1"/>
      <w:numFmt w:val="cardinalText"/>
      <w:pStyle w:val="Heading1"/>
      <w:lvlText w:val="Chapter %1."/>
      <w:lvlJc w:val="left"/>
      <w:pPr>
        <w:ind w:left="1701" w:hanging="1701"/>
      </w:pPr>
      <w:rPr>
        <w:rFonts w:hint="default"/>
      </w:rPr>
    </w:lvl>
    <w:lvl w:ilvl="1">
      <w:start w:val="1"/>
      <w:numFmt w:val="decimal"/>
      <w:pStyle w:val="Heading2"/>
      <w:isLgl/>
      <w:lvlText w:val="%1.%2"/>
      <w:lvlJc w:val="left"/>
      <w:pPr>
        <w:ind w:left="567" w:hanging="567"/>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lvlText w:val="%1.%2.%3"/>
      <w:lvlJc w:val="left"/>
      <w:pPr>
        <w:ind w:left="851" w:hanging="851"/>
      </w:pPr>
      <w:rPr>
        <w:rFonts w:ascii="Times New Roman" w:hAnsi="Times New Roman" w:hint="default"/>
        <w:b/>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pStyle w:val="Heading4"/>
      <w:isLgl/>
      <w:lvlText w:val="%1.%2.%3.%4"/>
      <w:lvlJc w:val="left"/>
      <w:pPr>
        <w:ind w:left="1134" w:hanging="1134"/>
      </w:pPr>
      <w:rPr>
        <w:rFonts w:ascii="Times New Roman" w:hAnsi="Times New Roman" w:hint="default"/>
        <w:b/>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isLg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459"/>
    <w:rsid w:val="000A08AF"/>
    <w:rsid w:val="00116D6D"/>
    <w:rsid w:val="00123955"/>
    <w:rsid w:val="00143045"/>
    <w:rsid w:val="00150B24"/>
    <w:rsid w:val="001E28CC"/>
    <w:rsid w:val="001F19C0"/>
    <w:rsid w:val="00236402"/>
    <w:rsid w:val="00255368"/>
    <w:rsid w:val="00255841"/>
    <w:rsid w:val="0025627E"/>
    <w:rsid w:val="002B6F78"/>
    <w:rsid w:val="002C5C06"/>
    <w:rsid w:val="003A6249"/>
    <w:rsid w:val="00421345"/>
    <w:rsid w:val="0045688A"/>
    <w:rsid w:val="004C1F0F"/>
    <w:rsid w:val="004E5CA2"/>
    <w:rsid w:val="004E6FC4"/>
    <w:rsid w:val="00525149"/>
    <w:rsid w:val="005E1ACA"/>
    <w:rsid w:val="0060229A"/>
    <w:rsid w:val="006D599F"/>
    <w:rsid w:val="006D6C3E"/>
    <w:rsid w:val="00787B1C"/>
    <w:rsid w:val="007968FA"/>
    <w:rsid w:val="00797AD1"/>
    <w:rsid w:val="007A6E08"/>
    <w:rsid w:val="007C740A"/>
    <w:rsid w:val="00851B15"/>
    <w:rsid w:val="0085259C"/>
    <w:rsid w:val="00872120"/>
    <w:rsid w:val="008A4365"/>
    <w:rsid w:val="008A7032"/>
    <w:rsid w:val="009505A4"/>
    <w:rsid w:val="009A68E7"/>
    <w:rsid w:val="009B27E7"/>
    <w:rsid w:val="00A1168E"/>
    <w:rsid w:val="00A51D6C"/>
    <w:rsid w:val="00A72203"/>
    <w:rsid w:val="00A77CC2"/>
    <w:rsid w:val="00AB68AB"/>
    <w:rsid w:val="00AE5780"/>
    <w:rsid w:val="00B2547D"/>
    <w:rsid w:val="00B75DA2"/>
    <w:rsid w:val="00B944D8"/>
    <w:rsid w:val="00C8273F"/>
    <w:rsid w:val="00CB4459"/>
    <w:rsid w:val="00D47F66"/>
    <w:rsid w:val="00D70FEC"/>
    <w:rsid w:val="00D82369"/>
    <w:rsid w:val="00DA3860"/>
    <w:rsid w:val="00DB6DCA"/>
    <w:rsid w:val="00E00D8D"/>
    <w:rsid w:val="00E116B5"/>
    <w:rsid w:val="00E97CA9"/>
    <w:rsid w:val="00EA38CB"/>
    <w:rsid w:val="00ED5921"/>
    <w:rsid w:val="00FD3C5C"/>
    <w:rsid w:val="00FE0366"/>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C7F0"/>
  <w15:chartTrackingRefBased/>
  <w15:docId w15:val="{7E57677E-38CE-BF4D-BDF2-3EE22E8A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459"/>
    <w:pPr>
      <w:spacing w:after="240" w:line="480" w:lineRule="auto"/>
      <w:jc w:val="both"/>
    </w:pPr>
    <w:rPr>
      <w:rFonts w:ascii="Times New Roman" w:hAnsi="Times New Roman"/>
    </w:rPr>
  </w:style>
  <w:style w:type="paragraph" w:styleId="Heading1">
    <w:name w:val="heading 1"/>
    <w:basedOn w:val="Normal"/>
    <w:link w:val="Heading1Char"/>
    <w:uiPriority w:val="9"/>
    <w:qFormat/>
    <w:rsid w:val="00DB6DCA"/>
    <w:pPr>
      <w:keepLines/>
      <w:widowControl w:val="0"/>
      <w:numPr>
        <w:numId w:val="9"/>
      </w:numPr>
      <w:adjustRightInd w:val="0"/>
      <w:jc w:val="center"/>
      <w:outlineLvl w:val="0"/>
    </w:pPr>
    <w:rPr>
      <w:rFonts w:cs="Times New Roman"/>
      <w:b/>
      <w:bCs/>
      <w:kern w:val="36"/>
      <w:szCs w:val="48"/>
      <w:lang w:val="en-US"/>
    </w:rPr>
  </w:style>
  <w:style w:type="paragraph" w:styleId="Heading2">
    <w:name w:val="heading 2"/>
    <w:basedOn w:val="Normal"/>
    <w:next w:val="Normal"/>
    <w:link w:val="Heading2Char"/>
    <w:uiPriority w:val="9"/>
    <w:unhideWhenUsed/>
    <w:qFormat/>
    <w:rsid w:val="00DB6DCA"/>
    <w:pPr>
      <w:widowControl w:val="0"/>
      <w:numPr>
        <w:ilvl w:val="1"/>
        <w:numId w:val="9"/>
      </w:numPr>
      <w:spacing w:line="360" w:lineRule="auto"/>
      <w:outlineLvl w:val="1"/>
    </w:pPr>
    <w:rPr>
      <w:rFonts w:eastAsiaTheme="majorEastAsia" w:cs="Times New Roman"/>
      <w:b/>
      <w:color w:val="000000" w:themeColor="text1"/>
      <w:szCs w:val="26"/>
      <w:lang w:val="en-US"/>
    </w:rPr>
  </w:style>
  <w:style w:type="paragraph" w:styleId="Heading3">
    <w:name w:val="heading 3"/>
    <w:basedOn w:val="Heading2"/>
    <w:next w:val="Normal"/>
    <w:link w:val="Heading3Char"/>
    <w:uiPriority w:val="9"/>
    <w:unhideWhenUsed/>
    <w:qFormat/>
    <w:rsid w:val="00DB6DCA"/>
    <w:pPr>
      <w:numPr>
        <w:ilvl w:val="2"/>
      </w:numPr>
      <w:adjustRightInd w:val="0"/>
      <w:outlineLvl w:val="2"/>
    </w:pPr>
  </w:style>
  <w:style w:type="paragraph" w:styleId="Heading4">
    <w:name w:val="heading 4"/>
    <w:basedOn w:val="Heading3"/>
    <w:next w:val="Normal"/>
    <w:link w:val="Heading4Char"/>
    <w:uiPriority w:val="9"/>
    <w:unhideWhenUsed/>
    <w:qFormat/>
    <w:rsid w:val="00DB6DCA"/>
    <w:pPr>
      <w:numPr>
        <w:ilvl w:val="3"/>
      </w:numPr>
      <w:outlineLvl w:val="3"/>
    </w:pPr>
  </w:style>
  <w:style w:type="paragraph" w:styleId="Heading5">
    <w:name w:val="heading 5"/>
    <w:basedOn w:val="Normal"/>
    <w:next w:val="Normal"/>
    <w:link w:val="Heading5Char"/>
    <w:uiPriority w:val="9"/>
    <w:unhideWhenUsed/>
    <w:qFormat/>
    <w:rsid w:val="00DB6DCA"/>
    <w:pPr>
      <w:keepNext/>
      <w:keepLines/>
      <w:spacing w:line="360" w:lineRule="auto"/>
      <w:outlineLvl w:val="4"/>
    </w:pPr>
    <w:rPr>
      <w:rFonts w:eastAsiaTheme="majorEastAsia" w:cstheme="majorBidi"/>
      <w:i/>
      <w:color w:val="000000" w:themeColor="text1"/>
      <w:lang w:val="en-US"/>
    </w:rPr>
  </w:style>
  <w:style w:type="paragraph" w:styleId="Heading6">
    <w:name w:val="heading 6"/>
    <w:basedOn w:val="Normal"/>
    <w:next w:val="Normal"/>
    <w:link w:val="Heading6Char"/>
    <w:uiPriority w:val="9"/>
    <w:semiHidden/>
    <w:unhideWhenUsed/>
    <w:qFormat/>
    <w:rsid w:val="00DB6DCA"/>
    <w:pPr>
      <w:keepNext/>
      <w:keepLines/>
      <w:numPr>
        <w:ilvl w:val="5"/>
        <w:numId w:val="9"/>
      </w:numPr>
      <w:spacing w:before="40"/>
      <w:outlineLvl w:val="5"/>
    </w:pPr>
    <w:rPr>
      <w:rFonts w:asciiTheme="majorHAnsi" w:eastAsiaTheme="majorEastAsia" w:hAnsiTheme="majorHAnsi" w:cstheme="majorBidi"/>
      <w:color w:val="1F3763" w:themeColor="accent1" w:themeShade="7F"/>
      <w:lang w:val="en-US"/>
    </w:rPr>
  </w:style>
  <w:style w:type="paragraph" w:styleId="Heading7">
    <w:name w:val="heading 7"/>
    <w:basedOn w:val="Normal"/>
    <w:next w:val="Normal"/>
    <w:link w:val="Heading7Char"/>
    <w:uiPriority w:val="9"/>
    <w:semiHidden/>
    <w:unhideWhenUsed/>
    <w:qFormat/>
    <w:rsid w:val="00DB6DCA"/>
    <w:pPr>
      <w:keepNext/>
      <w:keepLines/>
      <w:numPr>
        <w:ilvl w:val="6"/>
        <w:numId w:val="9"/>
      </w:numPr>
      <w:spacing w:before="40"/>
      <w:outlineLvl w:val="6"/>
    </w:pPr>
    <w:rPr>
      <w:rFonts w:asciiTheme="majorHAnsi" w:eastAsiaTheme="majorEastAsia" w:hAnsiTheme="majorHAnsi" w:cstheme="majorBidi"/>
      <w:i/>
      <w:iCs/>
      <w:color w:val="1F3763" w:themeColor="accent1" w:themeShade="7F"/>
      <w:lang w:val="en-US"/>
    </w:rPr>
  </w:style>
  <w:style w:type="paragraph" w:styleId="Heading8">
    <w:name w:val="heading 8"/>
    <w:basedOn w:val="Normal"/>
    <w:next w:val="Normal"/>
    <w:link w:val="Heading8Char"/>
    <w:uiPriority w:val="9"/>
    <w:semiHidden/>
    <w:unhideWhenUsed/>
    <w:qFormat/>
    <w:rsid w:val="00DB6DCA"/>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DB6DCA"/>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DCA"/>
    <w:rPr>
      <w:rFonts w:ascii="Times New Roman" w:hAnsi="Times New Roman" w:cs="Times New Roman"/>
      <w:b/>
      <w:bCs/>
      <w:kern w:val="36"/>
      <w:szCs w:val="48"/>
      <w:lang w:val="en-US"/>
    </w:rPr>
  </w:style>
  <w:style w:type="character" w:customStyle="1" w:styleId="Heading2Char">
    <w:name w:val="Heading 2 Char"/>
    <w:basedOn w:val="DefaultParagraphFont"/>
    <w:link w:val="Heading2"/>
    <w:uiPriority w:val="9"/>
    <w:rsid w:val="00DB6DCA"/>
    <w:rPr>
      <w:rFonts w:ascii="Times New Roman" w:eastAsiaTheme="majorEastAsia" w:hAnsi="Times New Roman" w:cs="Times New Roman"/>
      <w:b/>
      <w:color w:val="000000" w:themeColor="text1"/>
      <w:szCs w:val="26"/>
      <w:lang w:val="en-US"/>
    </w:rPr>
  </w:style>
  <w:style w:type="character" w:customStyle="1" w:styleId="Heading3Char">
    <w:name w:val="Heading 3 Char"/>
    <w:basedOn w:val="DefaultParagraphFont"/>
    <w:link w:val="Heading3"/>
    <w:uiPriority w:val="9"/>
    <w:rsid w:val="00DB6DCA"/>
    <w:rPr>
      <w:rFonts w:ascii="Times New Roman" w:eastAsiaTheme="majorEastAsia" w:hAnsi="Times New Roman" w:cs="Times New Roman"/>
      <w:b/>
      <w:color w:val="000000" w:themeColor="text1"/>
      <w:szCs w:val="26"/>
      <w:lang w:val="en-US"/>
    </w:rPr>
  </w:style>
  <w:style w:type="character" w:customStyle="1" w:styleId="Heading4Char">
    <w:name w:val="Heading 4 Char"/>
    <w:basedOn w:val="DefaultParagraphFont"/>
    <w:link w:val="Heading4"/>
    <w:uiPriority w:val="9"/>
    <w:rsid w:val="00DB6DCA"/>
    <w:rPr>
      <w:rFonts w:ascii="Times New Roman" w:eastAsiaTheme="majorEastAsia" w:hAnsi="Times New Roman" w:cs="Times New Roman"/>
      <w:b/>
      <w:color w:val="000000" w:themeColor="text1"/>
      <w:szCs w:val="26"/>
      <w:lang w:val="en-US"/>
    </w:rPr>
  </w:style>
  <w:style w:type="character" w:customStyle="1" w:styleId="Heading5Char">
    <w:name w:val="Heading 5 Char"/>
    <w:basedOn w:val="DefaultParagraphFont"/>
    <w:link w:val="Heading5"/>
    <w:uiPriority w:val="9"/>
    <w:rsid w:val="00DB6DCA"/>
    <w:rPr>
      <w:rFonts w:ascii="Times New Roman" w:eastAsiaTheme="majorEastAsia" w:hAnsi="Times New Roman" w:cstheme="majorBidi"/>
      <w:i/>
      <w:color w:val="000000" w:themeColor="text1"/>
      <w:lang w:val="en-US"/>
    </w:rPr>
  </w:style>
  <w:style w:type="character" w:customStyle="1" w:styleId="Heading6Char">
    <w:name w:val="Heading 6 Char"/>
    <w:basedOn w:val="DefaultParagraphFont"/>
    <w:link w:val="Heading6"/>
    <w:uiPriority w:val="9"/>
    <w:semiHidden/>
    <w:rsid w:val="00DB6DCA"/>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DB6DCA"/>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DB6DCA"/>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DB6DCA"/>
    <w:rPr>
      <w:rFonts w:asciiTheme="majorHAnsi" w:eastAsiaTheme="majorEastAsia" w:hAnsiTheme="majorHAnsi" w:cstheme="majorBidi"/>
      <w:i/>
      <w:iCs/>
      <w:color w:val="272727" w:themeColor="text1" w:themeTint="D8"/>
      <w:sz w:val="21"/>
      <w:szCs w:val="21"/>
      <w:lang w:val="en-US"/>
    </w:rPr>
  </w:style>
  <w:style w:type="paragraph" w:styleId="Caption">
    <w:name w:val="caption"/>
    <w:basedOn w:val="Normal"/>
    <w:next w:val="Normal"/>
    <w:uiPriority w:val="35"/>
    <w:unhideWhenUsed/>
    <w:qFormat/>
    <w:rsid w:val="00DB6DCA"/>
    <w:pPr>
      <w:snapToGrid w:val="0"/>
      <w:spacing w:line="240" w:lineRule="auto"/>
    </w:pPr>
    <w:rPr>
      <w:b/>
      <w:iCs/>
      <w:color w:val="000000" w:themeColor="text1"/>
      <w:szCs w:val="18"/>
    </w:rPr>
  </w:style>
  <w:style w:type="paragraph" w:styleId="NoSpacing">
    <w:name w:val="No Spacing"/>
    <w:uiPriority w:val="1"/>
    <w:qFormat/>
    <w:rsid w:val="00DB6DCA"/>
    <w:pPr>
      <w:jc w:val="both"/>
    </w:pPr>
    <w:rPr>
      <w:rFonts w:ascii="Times New Roman" w:hAnsi="Times New Roman"/>
    </w:rPr>
  </w:style>
  <w:style w:type="paragraph" w:styleId="ListParagraph">
    <w:name w:val="List Paragraph"/>
    <w:basedOn w:val="Normal"/>
    <w:uiPriority w:val="34"/>
    <w:qFormat/>
    <w:rsid w:val="00DB6DCA"/>
    <w:pPr>
      <w:spacing w:line="240" w:lineRule="auto"/>
      <w:ind w:firstLineChars="200" w:firstLine="420"/>
    </w:pPr>
    <w:rPr>
      <w:rFonts w:asciiTheme="minorHAnsi" w:hAnsiTheme="minorHAnsi"/>
      <w:lang w:val="en-US"/>
    </w:rPr>
  </w:style>
  <w:style w:type="paragraph" w:styleId="TOCHeading">
    <w:name w:val="TOC Heading"/>
    <w:basedOn w:val="Heading1"/>
    <w:next w:val="Normal"/>
    <w:uiPriority w:val="39"/>
    <w:unhideWhenUsed/>
    <w:qFormat/>
    <w:rsid w:val="00DB6DCA"/>
    <w:pPr>
      <w:keepNext/>
      <w:widowControl/>
      <w:adjustRightInd/>
      <w:spacing w:before="480" w:after="0" w:line="276" w:lineRule="auto"/>
      <w:jc w:val="left"/>
      <w:outlineLvl w:val="9"/>
    </w:pPr>
    <w:rPr>
      <w:rFonts w:asciiTheme="majorHAnsi" w:eastAsiaTheme="majorEastAsia" w:hAnsiTheme="majorHAnsi" w:cstheme="majorBidi"/>
      <w:color w:val="2F5496" w:themeColor="accent1" w:themeShade="BF"/>
      <w:kern w:val="0"/>
      <w:sz w:val="28"/>
      <w:szCs w:val="28"/>
      <w:lang w:eastAsia="en-US"/>
    </w:rPr>
  </w:style>
  <w:style w:type="paragraph" w:styleId="NormalWeb">
    <w:name w:val="Normal (Web)"/>
    <w:basedOn w:val="Normal"/>
    <w:uiPriority w:val="99"/>
    <w:semiHidden/>
    <w:unhideWhenUsed/>
    <w:rsid w:val="007A6E08"/>
    <w:pPr>
      <w:spacing w:before="100" w:beforeAutospacing="1" w:after="100" w:afterAutospacing="1" w:line="240" w:lineRule="auto"/>
      <w:jc w:val="left"/>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473109">
      <w:bodyDiv w:val="1"/>
      <w:marLeft w:val="0"/>
      <w:marRight w:val="0"/>
      <w:marTop w:val="0"/>
      <w:marBottom w:val="0"/>
      <w:divBdr>
        <w:top w:val="none" w:sz="0" w:space="0" w:color="auto"/>
        <w:left w:val="none" w:sz="0" w:space="0" w:color="auto"/>
        <w:bottom w:val="none" w:sz="0" w:space="0" w:color="auto"/>
        <w:right w:val="none" w:sz="0" w:space="0" w:color="auto"/>
      </w:divBdr>
      <w:divsChild>
        <w:div w:id="1226843208">
          <w:marLeft w:val="0"/>
          <w:marRight w:val="0"/>
          <w:marTop w:val="0"/>
          <w:marBottom w:val="0"/>
          <w:divBdr>
            <w:top w:val="none" w:sz="0" w:space="0" w:color="auto"/>
            <w:left w:val="none" w:sz="0" w:space="0" w:color="auto"/>
            <w:bottom w:val="none" w:sz="0" w:space="0" w:color="auto"/>
            <w:right w:val="none" w:sz="0" w:space="0" w:color="auto"/>
          </w:divBdr>
          <w:divsChild>
            <w:div w:id="1862473428">
              <w:marLeft w:val="0"/>
              <w:marRight w:val="0"/>
              <w:marTop w:val="0"/>
              <w:marBottom w:val="0"/>
              <w:divBdr>
                <w:top w:val="none" w:sz="0" w:space="0" w:color="auto"/>
                <w:left w:val="none" w:sz="0" w:space="0" w:color="auto"/>
                <w:bottom w:val="none" w:sz="0" w:space="0" w:color="auto"/>
                <w:right w:val="none" w:sz="0" w:space="0" w:color="auto"/>
              </w:divBdr>
              <w:divsChild>
                <w:div w:id="41505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594</Words>
  <Characters>3389</Characters>
  <Application>Microsoft Office Word</Application>
  <DocSecurity>0</DocSecurity>
  <Lines>28</Lines>
  <Paragraphs>7</Paragraphs>
  <ScaleCrop>false</ScaleCrop>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Ziwei</dc:creator>
  <cp:keywords/>
  <dc:description/>
  <cp:lastModifiedBy>Florine</cp:lastModifiedBy>
  <cp:revision>7</cp:revision>
  <dcterms:created xsi:type="dcterms:W3CDTF">2020-10-06T08:37:00Z</dcterms:created>
  <dcterms:modified xsi:type="dcterms:W3CDTF">2021-02-18T18:49:00Z</dcterms:modified>
</cp:coreProperties>
</file>