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NewRomanPS-BoldMT" w:hAnsi="TimesNewRomanPS-BoldMT"/>
          <w:b/>
          <w:bCs/>
          <w:color w:val="221F22"/>
        </w:rPr>
        <w:t>Supplementary Table S4:</w:t>
      </w:r>
      <w:r>
        <w:rPr>
          <w:rFonts w:hint="eastAsia" w:ascii="TimesNewRomanPS-BoldMT" w:hAnsi="TimesNewRomanPS-BoldMT"/>
          <w:b/>
          <w:bCs/>
          <w:color w:val="221F22"/>
          <w:lang w:val="en-US" w:eastAsia="zh-CN"/>
        </w:rPr>
        <w:t xml:space="preserve"> </w:t>
      </w:r>
      <w:r>
        <w:rPr>
          <w:rFonts w:ascii="Times New Roman" w:hAnsi="Times New Roman" w:cs="Times New Roman"/>
          <w:szCs w:val="24"/>
        </w:rPr>
        <w:t>Correlation analysis between the clinical features and NOX1 e</w:t>
      </w:r>
      <w:r>
        <w:rPr>
          <w:rFonts w:ascii="Times New Roman" w:hAnsi="Times New Roman" w:eastAsia="宋体" w:cs="Times New Roman"/>
          <w:szCs w:val="24"/>
        </w:rPr>
        <w:t xml:space="preserve">xpression </w:t>
      </w:r>
      <w:r>
        <w:rPr>
          <w:rFonts w:ascii="Times New Roman" w:hAnsi="Times New Roman" w:cs="Times New Roman"/>
          <w:szCs w:val="24"/>
        </w:rPr>
        <w:t xml:space="preserve">in </w:t>
      </w:r>
      <w:r>
        <w:rPr>
          <w:rFonts w:hint="eastAsia" w:ascii="Times New Roman" w:hAnsi="Times New Roman" w:cs="Times New Roman"/>
          <w:szCs w:val="24"/>
          <w:lang w:val="en-US" w:eastAsia="zh-CN"/>
        </w:rPr>
        <w:t>C</w:t>
      </w:r>
      <w:r>
        <w:rPr>
          <w:rFonts w:ascii="Times New Roman" w:hAnsi="Times New Roman" w:cs="Times New Roman"/>
          <w:szCs w:val="24"/>
        </w:rPr>
        <w:t>SCC</w:t>
      </w:r>
    </w:p>
    <w:p>
      <w:pPr>
        <w:rPr>
          <w:rFonts w:ascii="Arial" w:hAnsi="Arial" w:eastAsia="宋体" w:cs="Arial"/>
          <w:szCs w:val="24"/>
        </w:rPr>
      </w:pPr>
    </w:p>
    <w:tbl>
      <w:tblPr>
        <w:tblStyle w:val="3"/>
        <w:tblW w:w="0" w:type="auto"/>
        <w:tblInd w:w="13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231"/>
        <w:gridCol w:w="1361"/>
        <w:gridCol w:w="1278"/>
        <w:gridCol w:w="1405"/>
        <w:gridCol w:w="117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Characteristics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(%)</w:t>
            </w:r>
          </w:p>
        </w:tc>
        <w:tc>
          <w:tcPr>
            <w:tcW w:w="2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054" w:firstLineChars="70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NOX1</w:t>
            </w: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p-value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Low(n=</w:t>
            </w:r>
            <w:r>
              <w:rPr>
                <w:rFonts w:hint="eastAsia" w:ascii="Arial" w:hAnsi="Arial" w:cs="Arial"/>
                <w:b/>
                <w:bCs/>
                <w:sz w:val="15"/>
                <w:szCs w:val="15"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High(n=</w:t>
            </w:r>
            <w:r>
              <w:rPr>
                <w:rFonts w:hint="eastAsia" w:ascii="Arial" w:hAnsi="Arial" w:cs="Arial"/>
                <w:b/>
                <w:bCs/>
                <w:sz w:val="15"/>
                <w:szCs w:val="15"/>
              </w:rPr>
              <w:t>6</w:t>
            </w:r>
            <w:r>
              <w:rPr>
                <w:rFonts w:hint="eastAsia" w:ascii="Arial" w:hAnsi="Arial" w:cs="Arial"/>
                <w:b/>
                <w:bCs/>
                <w:sz w:val="15"/>
                <w:szCs w:val="15"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17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90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Age(years)</w:t>
            </w:r>
          </w:p>
        </w:tc>
        <w:tc>
          <w:tcPr>
            <w:tcW w:w="1231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86</w:t>
            </w:r>
          </w:p>
        </w:tc>
        <w:tc>
          <w:tcPr>
            <w:tcW w:w="1361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FF0000"/>
                <w:sz w:val="15"/>
                <w:szCs w:val="15"/>
              </w:rPr>
              <w:t>0.000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≤</w:t>
            </w:r>
            <w:r>
              <w:rPr>
                <w:rFonts w:hint="eastAsia" w:ascii="Arial" w:hAnsi="Arial" w:cs="Arial"/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（30.23）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1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hint="eastAsia" w:ascii="Arial" w:hAnsi="Arial" w:cs="Arial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&gt;</w:t>
            </w:r>
            <w:r>
              <w:rPr>
                <w:rFonts w:hint="eastAsia" w:ascii="Arial" w:hAnsi="Arial" w:cs="Arial"/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（69.77）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hint="eastAsia" w:ascii="Arial" w:hAnsi="Arial" w:cs="Arial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5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FIGO stage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hint="eastAsia" w:ascii="Arial" w:hAnsi="Arial" w:cs="Arial"/>
                <w:sz w:val="15"/>
                <w:szCs w:val="15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hint="eastAsia"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hint="eastAsia" w:ascii="Arial" w:hAnsi="Arial" w:cs="Arial"/>
                <w:sz w:val="15"/>
                <w:szCs w:val="15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hint="eastAsia" w:ascii="Arial" w:hAnsi="Arial" w:cs="Arial"/>
                <w:sz w:val="15"/>
                <w:szCs w:val="15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0.096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hint="eastAsia"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hint="eastAsia"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（58.14）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hint="eastAsia" w:ascii="Arial" w:hAnsi="Arial" w:cs="Arial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hint="eastAsia" w:ascii="Arial" w:hAnsi="Arial" w:cs="Arial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4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II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hint="eastAsia"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hint="eastAsia"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（41.86）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hint="eastAsia" w:ascii="Arial" w:hAnsi="Arial" w:cs="Arial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1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18</w:t>
            </w: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III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hint="eastAsia"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hint="eastAsia"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hint="eastAsia" w:ascii="Arial" w:hAnsi="Arial" w:cs="Arial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hint="eastAsia" w:ascii="Arial" w:hAnsi="Arial" w:cs="Arial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Tumor size (cm)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FF0000"/>
                <w:sz w:val="15"/>
                <w:szCs w:val="15"/>
              </w:rPr>
              <w:t>0.0</w:t>
            </w:r>
            <w:r>
              <w:rPr>
                <w:rFonts w:hint="eastAsia" w:ascii="Arial" w:hAnsi="Arial" w:cs="Arial"/>
                <w:color w:val="FF0000"/>
                <w:sz w:val="15"/>
                <w:szCs w:val="15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≤4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hint="eastAsia"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hint="eastAsia"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（65.12）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hint="default" w:ascii="Arial" w:hAnsi="Arial" w:cs="Arial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19</w:t>
            </w: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hint="default" w:ascii="Arial" w:hAnsi="Arial" w:cs="Arial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37</w:t>
            </w: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&gt;4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hint="eastAsia"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30</w:t>
            </w:r>
            <w:bookmarkStart w:id="0" w:name="_GoBack"/>
            <w:bookmarkEnd w:id="0"/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hint="eastAsia"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（34.89）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hint="default" w:ascii="Arial" w:hAnsi="Arial" w:cs="Arial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hint="default" w:ascii="Arial" w:hAnsi="Arial" w:cs="Arial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27</w:t>
            </w: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Parametrial infiltration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0.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525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Yes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（10.47）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No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（89.53）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1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Lymphovascular space invasion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Arial" w:hAnsi="Arial" w:cs="Arial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Yes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（22.09）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（77.91）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Lymph node metastasis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FF0000"/>
                <w:sz w:val="15"/>
                <w:szCs w:val="15"/>
              </w:rPr>
              <w:t>0.0</w:t>
            </w:r>
            <w:r>
              <w:rPr>
                <w:rFonts w:hint="eastAsia" w:ascii="Arial" w:hAnsi="Arial" w:cs="Arial"/>
                <w:color w:val="FF000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Arial" w:hAnsi="Arial" w:cs="Arial"/>
                <w:color w:val="FF0000"/>
                <w:sz w:val="15"/>
                <w:szCs w:val="15"/>
              </w:rPr>
              <w:t>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（31.40）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24</w:t>
            </w: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90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123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（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hint="eastAsia" w:ascii="Arial" w:hAnsi="Arial" w:cs="Arial"/>
                <w:sz w:val="15"/>
                <w:szCs w:val="15"/>
              </w:rPr>
              <w:t>8.60）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4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171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7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2020-11-07T08:37:09Z</dcterms:created>
  <dc:creator>JJ</dc:creator>
  <cp:lastModifiedBy>JY辉</cp:lastModifiedBy>
  <dcterms:modified xsi:type="dcterms:W3CDTF">2020-11-07T08:39:32Z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