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4BE9" w14:textId="6A42CAED" w:rsidR="00A13615" w:rsidRPr="00A13615" w:rsidRDefault="00A13615" w:rsidP="00A13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615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F2">
        <w:rPr>
          <w:rFonts w:ascii="Times New Roman" w:hAnsi="Times New Roman" w:cs="Times New Roman"/>
          <w:b/>
          <w:bCs/>
          <w:sz w:val="24"/>
          <w:szCs w:val="24"/>
        </w:rPr>
        <w:t>|</w:t>
      </w:r>
      <w:r w:rsidR="00056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615">
        <w:rPr>
          <w:rFonts w:ascii="Times New Roman" w:hAnsi="Times New Roman" w:cs="Times New Roman"/>
          <w:sz w:val="24"/>
          <w:szCs w:val="24"/>
        </w:rPr>
        <w:t>Pharmacological activity of isoliensinine</w:t>
      </w:r>
    </w:p>
    <w:tbl>
      <w:tblPr>
        <w:tblStyle w:val="a3"/>
        <w:tblW w:w="9351" w:type="dxa"/>
        <w:tblInd w:w="-318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3286"/>
        <w:gridCol w:w="2869"/>
        <w:gridCol w:w="1435"/>
      </w:tblGrid>
      <w:tr w:rsidR="00710932" w:rsidRPr="000562F2" w14:paraId="01DF864F" w14:textId="77777777" w:rsidTr="00900799">
        <w:trPr>
          <w:trHeight w:val="588"/>
        </w:trPr>
        <w:tc>
          <w:tcPr>
            <w:tcW w:w="17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261F95" w14:textId="77777777" w:rsidR="00A13615" w:rsidRPr="00867EA6" w:rsidRDefault="00A13615" w:rsidP="0090079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7E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Pharmacological activity</w:t>
            </w:r>
          </w:p>
        </w:tc>
        <w:tc>
          <w:tcPr>
            <w:tcW w:w="3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966D39" w14:textId="54B730D5" w:rsidR="00A13615" w:rsidRPr="00867EA6" w:rsidRDefault="00A13615" w:rsidP="0090079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7E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="00867EA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odel</w:t>
            </w:r>
          </w:p>
        </w:tc>
        <w:tc>
          <w:tcPr>
            <w:tcW w:w="28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E8F23B" w14:textId="77777777" w:rsidR="00A13615" w:rsidRPr="00867EA6" w:rsidRDefault="00A13615" w:rsidP="0090079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7E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Action and Mechanism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A1A910" w14:textId="77777777" w:rsidR="00A13615" w:rsidRPr="00867EA6" w:rsidRDefault="00A13615" w:rsidP="0090079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7E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Ref.</w:t>
            </w:r>
          </w:p>
        </w:tc>
      </w:tr>
      <w:tr w:rsidR="00A13615" w:rsidRPr="00A13615" w14:paraId="7BC1751E" w14:textId="77777777" w:rsidTr="00900799">
        <w:trPr>
          <w:trHeight w:val="1695"/>
        </w:trPr>
        <w:tc>
          <w:tcPr>
            <w:tcW w:w="1761" w:type="dxa"/>
            <w:vMerge w:val="restart"/>
            <w:tcBorders>
              <w:top w:val="single" w:sz="4" w:space="0" w:color="auto"/>
            </w:tcBorders>
          </w:tcPr>
          <w:p w14:paraId="773040B7" w14:textId="06635298" w:rsidR="00A13615" w:rsidRPr="00A13615" w:rsidRDefault="003F6524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="00A13615" w:rsidRPr="00A13615">
              <w:rPr>
                <w:rFonts w:ascii="Times New Roman" w:hAnsi="Times New Roman" w:cs="Times New Roman"/>
                <w:sz w:val="18"/>
                <w:szCs w:val="18"/>
              </w:rPr>
              <w:t>nti-cancer activity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6A181FD1" w14:textId="3298E584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Multiple cancers (HeLa, A549, MCF-7, PC-3, Hep3B, H1299, LO2)</w:t>
            </w:r>
            <w:r w:rsidR="00867EA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Apoptosis-</w:t>
            </w:r>
            <w:r w:rsidR="00867EA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resistant cells (caspase-3/-7/-8 deficient MEFs and Bax/Bak double knockout MEFs)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14:paraId="3A898BC3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Enhancers of autophagy</w:t>
            </w:r>
          </w:p>
          <w:p w14:paraId="6F314C73" w14:textId="007602E5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LC3-I↑, LC3-II↑</w:t>
            </w:r>
            <w:r w:rsidR="003F65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p-AMPK↑, TSC2↑, p-P70S6K↓</w:t>
            </w:r>
          </w:p>
          <w:p w14:paraId="514EC3E6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55BE2C97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&lt;EndNote&gt;&lt;Cite&gt;&lt;Author&gt;Law&lt;/Author&gt;&lt;Year&gt;2014&lt;/Year&gt;&lt;RecNum&gt;82&lt;/RecNum&gt;&lt;DisplayText&gt;(Law, Chan et al. 2014)&lt;/DisplayText&gt;&lt;record&gt;&lt;rec-number&gt;82&lt;/rec-number&gt;&lt;foreign-keys&gt;&lt;key app="EN" db-id="dvtxa5fxb20rz2e0fe65pew3vd5fs05tffze" timestamp="1604022419"&gt;82&lt;/key&gt;&lt;/foreign-keys&gt;&lt;ref-type name="Journal Article"&gt;17&lt;/ref-type&gt;&lt;contributors&gt;&lt;authors&gt;&lt;author&gt;Law, B. Y.&lt;/author&gt;&lt;author&gt;Chan, W. K.&lt;/author&gt;&lt;author&gt;Xu, S. W.&lt;/author&gt;&lt;author&gt;Wang, J. R.&lt;/author&gt;&lt;author&gt;Bai, L. P.&lt;/author&gt;&lt;author&gt;Liu, L.&lt;/author&gt;&lt;author&gt;Wong, V. K.&lt;/author&gt;&lt;/authors&gt;&lt;/contributors&gt;&lt;auth-address&gt;State Key Laboratory of Quality Research in Chinese Medicine, Macau University of Science and Technology, Macau, China.&lt;/auth-address&gt;&lt;titles&gt;&lt;title&gt;Natural small-molecule enhancers of autophagy induce autophagic cell death in apoptosis-defective cells&lt;/title&gt;&lt;secondary-title&gt;Sci Rep&lt;/secondary-title&gt;&lt;alt-title&gt;Scientific reports&lt;/alt-title&gt;&lt;/titles&gt;&lt;periodical&gt;&lt;full-title&gt;Sci Rep&lt;/full-title&gt;&lt;abbr-1&gt;Scientific reports&lt;/abbr-1&gt;&lt;/periodical&gt;&lt;alt-periodical&gt;&lt;full-title&gt;Sci Rep&lt;/full-title&gt;&lt;abbr-1&gt;Scientific reports&lt;/abbr-1&gt;&lt;/alt-periodical&gt;&lt;pages&gt;5510&lt;/pages&gt;&lt;volume&gt;4&lt;/volume&gt;&lt;edition&gt;2014/07/02&lt;/edition&gt;&lt;keywords&gt;&lt;keyword&gt;Alkaloids/*chemistry/*pharmacology&lt;/keyword&gt;&lt;keyword&gt;Apoptosis/*drug effects/*physiology&lt;/keyword&gt;&lt;keyword&gt;Autophagy/*drug effects/*physiology&lt;/keyword&gt;&lt;keyword&gt;HeLa Cells&lt;/keyword&gt;&lt;keyword&gt;Humans&lt;/keyword&gt;&lt;keyword&gt;Molecular Weight&lt;/keyword&gt;&lt;/keywords&gt;&lt;dates&gt;&lt;year&gt;2014&lt;/year&gt;&lt;pub-dates&gt;&lt;date&gt;Jul 1&lt;/date&gt;&lt;/pub-dates&gt;&lt;/dates&gt;&lt;isbn&gt;2045-2322&lt;/isbn&gt;&lt;accession-num&gt;24981420&lt;/accession-num&gt;&lt;urls&gt;&lt;/urls&gt;&lt;custom2&gt;PMC4076737&lt;/custom2&gt;&lt;electronic-resource-num&gt;10.1038/srep05510&lt;/electronic-resource-num&gt;&lt;remote-database-provider&gt;NLM&lt;/remote-database-provider&gt;&lt;language&gt;eng&lt;/language&gt;&lt;/record&gt;&lt;/Cite&gt;&lt;/EndNote&gt;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(Law, Chan et al. 2014)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13615" w:rsidRPr="00A13615" w14:paraId="628F53C1" w14:textId="77777777" w:rsidTr="00900799">
        <w:trPr>
          <w:trHeight w:val="1133"/>
        </w:trPr>
        <w:tc>
          <w:tcPr>
            <w:tcW w:w="1761" w:type="dxa"/>
            <w:vMerge/>
          </w:tcPr>
          <w:p w14:paraId="47B6FF0D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6" w:type="dxa"/>
          </w:tcPr>
          <w:p w14:paraId="52637900" w14:textId="52BD6FC8" w:rsidR="00A13615" w:rsidRPr="00A13615" w:rsidRDefault="003F6524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A13615" w:rsidRPr="00A13615">
              <w:rPr>
                <w:rFonts w:ascii="Times New Roman" w:hAnsi="Times New Roman" w:cs="Times New Roman"/>
                <w:sz w:val="18"/>
                <w:szCs w:val="18"/>
              </w:rPr>
              <w:t>riple-negative human breast cancer cells (MCF-10A, MDA-MB-436, MDA-MB-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A13615" w:rsidRPr="00A13615">
              <w:rPr>
                <w:rFonts w:ascii="Times New Roman" w:hAnsi="Times New Roman" w:cs="Times New Roman"/>
                <w:sz w:val="18"/>
                <w:szCs w:val="18"/>
              </w:rPr>
              <w:t>468, MDA-MB-231, MCF-7)</w:t>
            </w:r>
          </w:p>
        </w:tc>
        <w:tc>
          <w:tcPr>
            <w:tcW w:w="2869" w:type="dxa"/>
          </w:tcPr>
          <w:p w14:paraId="425C9329" w14:textId="3455F208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P21↑, CyclinE↓</w:t>
            </w:r>
            <w:r w:rsidR="003F65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Bcl-2/Bax↓, cleaved caspase-3↑, cleaved PARP-1↑, ROS↑, p-P38↑, p-JNK↑</w:t>
            </w:r>
          </w:p>
        </w:tc>
        <w:tc>
          <w:tcPr>
            <w:tcW w:w="1435" w:type="dxa"/>
          </w:tcPr>
          <w:p w14:paraId="748662F5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(Zhang, Wang et al. 2015)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13615" w:rsidRPr="00A13615" w14:paraId="4B7DCE94" w14:textId="77777777" w:rsidTr="00900799">
        <w:trPr>
          <w:trHeight w:val="1558"/>
        </w:trPr>
        <w:tc>
          <w:tcPr>
            <w:tcW w:w="1761" w:type="dxa"/>
            <w:vMerge/>
          </w:tcPr>
          <w:p w14:paraId="2F8CEB9B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6" w:type="dxa"/>
          </w:tcPr>
          <w:p w14:paraId="03834A6D" w14:textId="6E72265E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Hepatocellular Carcinoma Cells (HepG2, Huh-7, H22)</w:t>
            </w:r>
            <w:r w:rsidR="00867EA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="003F6524">
              <w:rPr>
                <w:rFonts w:ascii="Times New Roman" w:hAnsi="Times New Roman" w:cs="Times New Roman" w:hint="eastAsia"/>
                <w:sz w:val="18"/>
                <w:szCs w:val="18"/>
              </w:rPr>
              <w:t>X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 xml:space="preserve">enografts </w:t>
            </w:r>
            <w:r w:rsidR="003F6524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 xml:space="preserve">ude </w:t>
            </w:r>
            <w:r w:rsidR="003F6524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ice transplanted</w:t>
            </w:r>
            <w:r w:rsidR="003F6524" w:rsidRPr="00A13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6524" w:rsidRPr="00A13615">
              <w:rPr>
                <w:rFonts w:ascii="Times New Roman" w:hAnsi="Times New Roman" w:cs="Times New Roman"/>
                <w:sz w:val="18"/>
                <w:szCs w:val="18"/>
              </w:rPr>
              <w:t>Huh-7</w:t>
            </w:r>
            <w:r w:rsidR="00867EA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Kunming mice of transplanted H22</w:t>
            </w:r>
          </w:p>
        </w:tc>
        <w:tc>
          <w:tcPr>
            <w:tcW w:w="2869" w:type="dxa"/>
          </w:tcPr>
          <w:p w14:paraId="5ECAD8B7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Bcl-2↓, Bcl-xL↓, MMP9↓, activity of caspase-3↑, activity of NF-kB↓, p-P65↓, interaction of PP2A/ I2PP2A↓</w:t>
            </w:r>
          </w:p>
        </w:tc>
        <w:tc>
          <w:tcPr>
            <w:tcW w:w="1435" w:type="dxa"/>
          </w:tcPr>
          <w:p w14:paraId="26E8C943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(Shu, Yue et al. 2015, Shu, Zhang et al. 2016)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13615" w:rsidRPr="00A13615" w14:paraId="447CB4A1" w14:textId="77777777" w:rsidTr="00900799">
        <w:trPr>
          <w:trHeight w:val="1130"/>
        </w:trPr>
        <w:tc>
          <w:tcPr>
            <w:tcW w:w="1761" w:type="dxa"/>
            <w:vMerge/>
          </w:tcPr>
          <w:p w14:paraId="346AE94B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6" w:type="dxa"/>
          </w:tcPr>
          <w:p w14:paraId="0484C0CF" w14:textId="2C36D0E9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Hepatocellular Carcinoma Cell (HepG2, Huh-7, H22, HL-7702, Hepa1-6, Hep3B)</w:t>
            </w:r>
            <w:r w:rsidR="00867EA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</w:p>
          <w:p w14:paraId="73E58183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Huh-7 xenografts Nude Mice</w:t>
            </w:r>
          </w:p>
        </w:tc>
        <w:tc>
          <w:tcPr>
            <w:tcW w:w="2869" w:type="dxa"/>
          </w:tcPr>
          <w:p w14:paraId="46A68742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Chemosensitized by dauricine</w:t>
            </w:r>
          </w:p>
          <w:p w14:paraId="7D9FD4CD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 xml:space="preserve">miR-199a↑, HK2 ↓, PKM2↓ </w:t>
            </w:r>
          </w:p>
        </w:tc>
        <w:tc>
          <w:tcPr>
            <w:tcW w:w="1435" w:type="dxa"/>
          </w:tcPr>
          <w:p w14:paraId="77B3B6E7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(Li, Qiu et al. 2018)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13615" w:rsidRPr="00A13615" w14:paraId="4EF81E61" w14:textId="77777777" w:rsidTr="00900799">
        <w:trPr>
          <w:trHeight w:val="1699"/>
        </w:trPr>
        <w:tc>
          <w:tcPr>
            <w:tcW w:w="1761" w:type="dxa"/>
            <w:vMerge/>
          </w:tcPr>
          <w:p w14:paraId="7F2A4FF0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6" w:type="dxa"/>
          </w:tcPr>
          <w:p w14:paraId="1549A705" w14:textId="6779780A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Colorectal cancer cells</w:t>
            </w:r>
            <w:r w:rsidR="003F65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HCT-15</w:t>
            </w:r>
            <w:r w:rsidR="003F6524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869" w:type="dxa"/>
          </w:tcPr>
          <w:p w14:paraId="32F00F88" w14:textId="4508BFBE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Chemosensitizing activity on cisplatin</w:t>
            </w:r>
            <w:r w:rsidR="003F65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ROS↑, MMP↓</w:t>
            </w:r>
            <w:r w:rsidR="003F6524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 xml:space="preserve">Bcl-2↓, cleaved caspase-3↑, cleaved PARP↑, </w:t>
            </w:r>
            <w:proofErr w:type="spellStart"/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Cyto</w:t>
            </w:r>
            <w:proofErr w:type="spellEnd"/>
            <w:r w:rsidR="003F65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C↑</w:t>
            </w:r>
            <w:r w:rsidR="003F652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p-P38↑, P38↑, PI3K↓, p-AKT↓</w:t>
            </w:r>
          </w:p>
        </w:tc>
        <w:tc>
          <w:tcPr>
            <w:tcW w:w="1435" w:type="dxa"/>
          </w:tcPr>
          <w:p w14:paraId="3E90AAE0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(Manogaran, Beeraka et al. 2019)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A13615" w:rsidRPr="00A13615" w14:paraId="078DBFEB" w14:textId="77777777" w:rsidTr="00900799">
        <w:trPr>
          <w:trHeight w:val="1864"/>
        </w:trPr>
        <w:tc>
          <w:tcPr>
            <w:tcW w:w="1761" w:type="dxa"/>
            <w:vMerge w:val="restart"/>
          </w:tcPr>
          <w:p w14:paraId="1FB24243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Cardiovascular protective activity</w:t>
            </w:r>
          </w:p>
          <w:p w14:paraId="14A4C1B6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6" w:type="dxa"/>
          </w:tcPr>
          <w:p w14:paraId="0FA80D88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Porcine coronary arterial smooth muscle cells</w:t>
            </w:r>
          </w:p>
        </w:tc>
        <w:tc>
          <w:tcPr>
            <w:tcW w:w="2869" w:type="dxa"/>
          </w:tcPr>
          <w:p w14:paraId="3D1BC68A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Inhibition of proliferation of porcine coronary arterial smooth muscle cells induced by angiotensin II</w:t>
            </w:r>
          </w:p>
          <w:p w14:paraId="26528409" w14:textId="231BE9B0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PDGF-β↓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proofErr w:type="spellStart"/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bFGF</w:t>
            </w:r>
            <w:proofErr w:type="spellEnd"/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↓</w:t>
            </w:r>
            <w:r w:rsidR="00867EA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c-</w:t>
            </w:r>
            <w:proofErr w:type="spellStart"/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fos</w:t>
            </w:r>
            <w:proofErr w:type="spellEnd"/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↓, c-</w:t>
            </w:r>
            <w:proofErr w:type="spellStart"/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myc</w:t>
            </w:r>
            <w:proofErr w:type="spellEnd"/>
            <w:r w:rsidRPr="00A13615">
              <w:rPr>
                <w:rFonts w:ascii="Times New Roman" w:hAnsi="Times New Roman" w:cs="Times New Roman"/>
                <w:sz w:val="18"/>
                <w:szCs w:val="18"/>
              </w:rPr>
              <w:t xml:space="preserve"> ↓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hsp70↓</w:t>
            </w:r>
          </w:p>
        </w:tc>
        <w:tc>
          <w:tcPr>
            <w:tcW w:w="1435" w:type="dxa"/>
          </w:tcPr>
          <w:p w14:paraId="46A01D38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(Xiao, Zhang et al. 2005, Xiao, Zhang et al. 2006)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10932" w:rsidRPr="00A13615" w14:paraId="670FDCDA" w14:textId="77777777" w:rsidTr="00900799">
        <w:trPr>
          <w:trHeight w:val="940"/>
        </w:trPr>
        <w:tc>
          <w:tcPr>
            <w:tcW w:w="1761" w:type="dxa"/>
            <w:vMerge/>
          </w:tcPr>
          <w:p w14:paraId="6408544A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6" w:type="dxa"/>
          </w:tcPr>
          <w:p w14:paraId="2E968462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Isolated mesenteric vascular smooth muscle</w:t>
            </w:r>
          </w:p>
        </w:tc>
        <w:tc>
          <w:tcPr>
            <w:tcW w:w="2869" w:type="dxa"/>
          </w:tcPr>
          <w:p w14:paraId="5F6173D9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Relaxing abnormal smooth muscle contractions</w:t>
            </w:r>
          </w:p>
          <w:p w14:paraId="38A63A47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14:paraId="5C168597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(Yang, Sun et al. 2018)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10932" w:rsidRPr="00A13615" w14:paraId="3CD39F13" w14:textId="77777777" w:rsidTr="00900799">
        <w:trPr>
          <w:trHeight w:val="1665"/>
        </w:trPr>
        <w:tc>
          <w:tcPr>
            <w:tcW w:w="1761" w:type="dxa"/>
            <w:vMerge/>
            <w:tcBorders>
              <w:bottom w:val="single" w:sz="12" w:space="0" w:color="auto"/>
            </w:tcBorders>
          </w:tcPr>
          <w:p w14:paraId="66987FB8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14:paraId="5F990482" w14:textId="20D5E8EB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Aortic tissues of male spontaneously hypertensive rats</w:t>
            </w:r>
            <w:r w:rsidR="00900799">
              <w:rPr>
                <w:rFonts w:ascii="Times New Roman" w:hAnsi="Times New Roman" w:cs="Times New Roman" w:hint="eastAsia"/>
                <w:sz w:val="18"/>
                <w:szCs w:val="18"/>
              </w:rPr>
              <w:t>; V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 xml:space="preserve">ascular smooth muscle cell (VSMCs) </w:t>
            </w:r>
          </w:p>
        </w:tc>
        <w:tc>
          <w:tcPr>
            <w:tcW w:w="2869" w:type="dxa"/>
            <w:tcBorders>
              <w:bottom w:val="single" w:sz="12" w:space="0" w:color="auto"/>
            </w:tcBorders>
          </w:tcPr>
          <w:p w14:paraId="56E86FFF" w14:textId="57BAC01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Anti-hypertension</w:t>
            </w:r>
            <w:r w:rsidR="00900799">
              <w:rPr>
                <w:rFonts w:ascii="Times New Roman" w:hAnsi="Times New Roman" w:cs="Times New Roman" w:hint="eastAsia"/>
                <w:sz w:val="18"/>
                <w:szCs w:val="18"/>
              </w:rPr>
              <w:t>; A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meliorating aortic remodeling</w:t>
            </w:r>
            <w:r w:rsidR="0090079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collagen I↓, α-SMA↑, p-MYPT1↓, ROCK↓, RhoA transposition↓</w:t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14:paraId="2E1D8066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(Li, Wo et al. 2019)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10932" w:rsidRPr="00A13615" w14:paraId="51F1C21D" w14:textId="77777777" w:rsidTr="00900799">
        <w:trPr>
          <w:trHeight w:val="1123"/>
        </w:trPr>
        <w:tc>
          <w:tcPr>
            <w:tcW w:w="1761" w:type="dxa"/>
            <w:tcBorders>
              <w:top w:val="single" w:sz="12" w:space="0" w:color="auto"/>
            </w:tcBorders>
          </w:tcPr>
          <w:p w14:paraId="1D8A6376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6" w:type="dxa"/>
          </w:tcPr>
          <w:p w14:paraId="61166B40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Isolated rabbit left ventricular myocytes</w:t>
            </w:r>
          </w:p>
        </w:tc>
        <w:tc>
          <w:tcPr>
            <w:tcW w:w="2869" w:type="dxa"/>
          </w:tcPr>
          <w:p w14:paraId="341D57BC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Antiarrhythmic</w:t>
            </w:r>
          </w:p>
          <w:p w14:paraId="64BB86D6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A136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NaL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 xml:space="preserve">↓, I </w:t>
            </w:r>
            <w:r w:rsidRPr="00A136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CaL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↓</w:t>
            </w:r>
          </w:p>
          <w:p w14:paraId="09309AC9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EADs↓, DADs↓</w:t>
            </w:r>
          </w:p>
        </w:tc>
        <w:tc>
          <w:tcPr>
            <w:tcW w:w="1435" w:type="dxa"/>
          </w:tcPr>
          <w:p w14:paraId="28AEB8BC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(Liu, Hu et al. 2020)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10932" w:rsidRPr="00A13615" w14:paraId="39ED921D" w14:textId="77777777" w:rsidTr="00900799">
        <w:trPr>
          <w:trHeight w:val="919"/>
        </w:trPr>
        <w:tc>
          <w:tcPr>
            <w:tcW w:w="1761" w:type="dxa"/>
            <w:vMerge w:val="restart"/>
          </w:tcPr>
          <w:p w14:paraId="42B0A6C1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Antioxidant activity</w:t>
            </w:r>
          </w:p>
        </w:tc>
        <w:tc>
          <w:tcPr>
            <w:tcW w:w="3286" w:type="dxa"/>
          </w:tcPr>
          <w:p w14:paraId="0DFA1A40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Human hepatocellular HepG2</w:t>
            </w:r>
          </w:p>
        </w:tc>
        <w:tc>
          <w:tcPr>
            <w:tcW w:w="2869" w:type="dxa"/>
          </w:tcPr>
          <w:p w14:paraId="4ECDBE73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Anti-oxidative stress</w:t>
            </w:r>
          </w:p>
          <w:p w14:paraId="46101A45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ROS↓, TBARS↓, LDH ↓</w:t>
            </w:r>
          </w:p>
          <w:p w14:paraId="72CC9065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GSH↑</w:t>
            </w:r>
          </w:p>
        </w:tc>
        <w:tc>
          <w:tcPr>
            <w:tcW w:w="1435" w:type="dxa"/>
          </w:tcPr>
          <w:p w14:paraId="2CCC6FE6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(Xie, Zhang et al. 2013)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10932" w:rsidRPr="00A13615" w14:paraId="44BEC332" w14:textId="77777777" w:rsidTr="00900799">
        <w:trPr>
          <w:trHeight w:val="1025"/>
        </w:trPr>
        <w:tc>
          <w:tcPr>
            <w:tcW w:w="1761" w:type="dxa"/>
            <w:vMerge/>
          </w:tcPr>
          <w:p w14:paraId="6A0B27EB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6" w:type="dxa"/>
          </w:tcPr>
          <w:p w14:paraId="490743DA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D-Galactose-induced aged mice</w:t>
            </w:r>
          </w:p>
        </w:tc>
        <w:tc>
          <w:tcPr>
            <w:tcW w:w="2869" w:type="dxa"/>
          </w:tcPr>
          <w:p w14:paraId="6E4EE21E" w14:textId="55709A63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Anti-aging</w:t>
            </w:r>
            <w:r w:rsidR="0090079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MDA↓,</w:t>
            </w:r>
          </w:p>
          <w:p w14:paraId="63458D56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SOD↑, GSH-Px↑</w:t>
            </w:r>
          </w:p>
        </w:tc>
        <w:tc>
          <w:tcPr>
            <w:tcW w:w="1435" w:type="dxa"/>
          </w:tcPr>
          <w:p w14:paraId="7E4C0091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(Liu SL, Hao YR et al. 2011, Shen, Jiang et al. 2017)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10932" w:rsidRPr="00A13615" w14:paraId="54B66BA3" w14:textId="77777777" w:rsidTr="00900799">
        <w:trPr>
          <w:trHeight w:val="588"/>
        </w:trPr>
        <w:tc>
          <w:tcPr>
            <w:tcW w:w="1761" w:type="dxa"/>
          </w:tcPr>
          <w:p w14:paraId="65532D34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Anti-virus activity</w:t>
            </w:r>
          </w:p>
          <w:p w14:paraId="42FA0E24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6" w:type="dxa"/>
          </w:tcPr>
          <w:p w14:paraId="0DFD4449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H9</w:t>
            </w:r>
          </w:p>
        </w:tc>
        <w:tc>
          <w:tcPr>
            <w:tcW w:w="2869" w:type="dxa"/>
          </w:tcPr>
          <w:p w14:paraId="483169C1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Anti-HIV</w:t>
            </w:r>
          </w:p>
          <w:p w14:paraId="2AB2E4A9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14:paraId="2BFAEF2D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(Kashiwada, Aoshima et al. 2005, Zhou, Jiang et al. 2007)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10932" w:rsidRPr="00A13615" w14:paraId="7E73510F" w14:textId="77777777" w:rsidTr="00900799">
        <w:trPr>
          <w:trHeight w:val="588"/>
        </w:trPr>
        <w:tc>
          <w:tcPr>
            <w:tcW w:w="1761" w:type="dxa"/>
          </w:tcPr>
          <w:p w14:paraId="754C2155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Anti-depressant activity</w:t>
            </w:r>
          </w:p>
        </w:tc>
        <w:tc>
          <w:tcPr>
            <w:tcW w:w="3286" w:type="dxa"/>
          </w:tcPr>
          <w:p w14:paraId="04A7A0E9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Mice (the forced swimming test)</w:t>
            </w:r>
          </w:p>
        </w:tc>
        <w:tc>
          <w:tcPr>
            <w:tcW w:w="2869" w:type="dxa"/>
          </w:tcPr>
          <w:p w14:paraId="2DD4B4D5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Anti-immobility effects</w:t>
            </w:r>
          </w:p>
          <w:p w14:paraId="542A0CF8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 xml:space="preserve">5-HT </w:t>
            </w:r>
            <w:r w:rsidRPr="00A136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1A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 xml:space="preserve"> receptor</w:t>
            </w:r>
          </w:p>
        </w:tc>
        <w:tc>
          <w:tcPr>
            <w:tcW w:w="1435" w:type="dxa"/>
          </w:tcPr>
          <w:p w14:paraId="6C406BC5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(Sugimoto, Nishimura et al. 2015)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10932" w:rsidRPr="00A13615" w14:paraId="51547F31" w14:textId="77777777" w:rsidTr="00900799">
        <w:trPr>
          <w:trHeight w:val="588"/>
        </w:trPr>
        <w:tc>
          <w:tcPr>
            <w:tcW w:w="1761" w:type="dxa"/>
          </w:tcPr>
          <w:p w14:paraId="28F9AD41" w14:textId="2DE786A8" w:rsidR="00A13615" w:rsidRPr="00A13615" w:rsidRDefault="00900799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="00A13615" w:rsidRPr="00A13615">
              <w:rPr>
                <w:rFonts w:ascii="Times New Roman" w:hAnsi="Times New Roman" w:cs="Times New Roman"/>
                <w:sz w:val="18"/>
                <w:szCs w:val="18"/>
              </w:rPr>
              <w:t>mproving Alzheimer’s disease activity</w:t>
            </w:r>
          </w:p>
        </w:tc>
        <w:tc>
          <w:tcPr>
            <w:tcW w:w="3286" w:type="dxa"/>
          </w:tcPr>
          <w:p w14:paraId="0D785362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96-well plate contained BChE</w:t>
            </w:r>
          </w:p>
        </w:tc>
        <w:tc>
          <w:tcPr>
            <w:tcW w:w="2869" w:type="dxa"/>
          </w:tcPr>
          <w:p w14:paraId="5C2395FD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Inhibition of the activity of BChE</w:t>
            </w:r>
          </w:p>
        </w:tc>
        <w:tc>
          <w:tcPr>
            <w:tcW w:w="1435" w:type="dxa"/>
          </w:tcPr>
          <w:p w14:paraId="5C3DFE60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&lt;EndNote&gt;&lt;Cite&gt;&lt;Author&gt;Lin&lt;/Author&gt;&lt;Year&gt;2013&lt;/Year&gt;&lt;RecNum&gt;142&lt;/RecNum&gt;&lt;DisplayText&gt;(Lin, Wang et al. 2013)&lt;/DisplayText&gt;&lt;record&gt;&lt;rec-number&gt;142&lt;/rec-number&gt;&lt;foreign-keys&gt;&lt;key app="EN" db-id="dvtxa5fxb20rz2e0fe65pew3vd5fs05tffze" timestamp="1604240958"&gt;142&lt;/key&gt;&lt;/foreign-keys&gt;&lt;ref-type name="Journal Article"&gt;17&lt;/ref-type&gt;&lt;contributors&gt;&lt;authors&gt;&lt;author&gt;Lin, Z.&lt;/author&gt;&lt;author&gt;Wang, H.&lt;/author&gt;&lt;author&gt;Fu, Q.&lt;/author&gt;&lt;author&gt;An, H.&lt;/author&gt;&lt;author&gt;Liang, Y.&lt;/author&gt;&lt;author&gt;Zhang, B.&lt;/author&gt;&lt;author&gt;Hashi, Y.&lt;/author&gt;&lt;author&gt;Chen, S.&lt;/author&gt;&lt;/authors&gt;&lt;/contributors&gt;&lt;auth-address&gt;School of Pharmaceutical Sciences, Peking University, Beijing 100191, China. lin2510.com@163.com&lt;/auth-address&gt;&lt;titles&gt;&lt;title&gt;Simultaneous separation, identification and activity evaluation of three butyrylcholinesterase inhibitors from Plumula nelumbinis using on-line HPLC-UV coupled with ESI-IT-TOF-MS and BChE biochemical detection&lt;/title&gt;&lt;secondary-title&gt;Talanta&lt;/secondary-title&gt;&lt;alt-title&gt;Talanta&lt;/alt-title&gt;&lt;/titles&gt;&lt;periodical&gt;&lt;full-title&gt;Talanta&lt;/full-title&gt;&lt;abbr-1&gt;Talanta&lt;/abbr-1&gt;&lt;/periodical&gt;&lt;alt-periodical&gt;&lt;full-title&gt;Talanta&lt;/full-title&gt;&lt;abbr-1&gt;Talanta&lt;/abbr-1&gt;&lt;/alt-periodical&gt;&lt;pages&gt;180-9&lt;/pages&gt;&lt;volume&gt;110&lt;/volume&gt;&lt;edition&gt;2013/04/27&lt;/edition&gt;&lt;keywords&gt;&lt;keyword&gt;Butyrylcholinesterase/*drug effects&lt;/keyword&gt;&lt;keyword&gt;Cholinesterase Inhibitors/*analysis/pharmacology&lt;/keyword&gt;&lt;keyword&gt;Chromatography, High Pressure Liquid/*methods&lt;/keyword&gt;&lt;keyword&gt;Plants/*chemistry&lt;/keyword&gt;&lt;keyword&gt;Spectrometry, Mass, Electrospray Ionization/*methods&lt;/keyword&gt;&lt;keyword&gt;Spectrophotometry, Ultraviolet/*methods&lt;/keyword&gt;&lt;/keywords&gt;&lt;dates&gt;&lt;year&gt;2013&lt;/year&gt;&lt;pub-dates&gt;&lt;date&gt;Jun 15&lt;/date&gt;&lt;/pub-dates&gt;&lt;/dates&gt;&lt;isbn&gt;0039-9140&lt;/isbn&gt;&lt;accession-num&gt;23618192&lt;/accession-num&gt;&lt;urls&gt;&lt;/urls&gt;&lt;electronic-resource-num&gt;10.1016/j.talanta.2013.02.033&lt;/electronic-resource-num&gt;&lt;remote-database-provider&gt;NLM&lt;/remote-database-provider&gt;&lt;language&gt;eng&lt;/language&gt;&lt;/record&gt;&lt;/Cite&gt;&lt;/EndNote&gt;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(Lin, Wang et al. 2013)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10932" w:rsidRPr="00A13615" w14:paraId="59D29EBF" w14:textId="77777777" w:rsidTr="00900799">
        <w:trPr>
          <w:trHeight w:val="566"/>
        </w:trPr>
        <w:tc>
          <w:tcPr>
            <w:tcW w:w="1761" w:type="dxa"/>
          </w:tcPr>
          <w:p w14:paraId="31A05E3B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Anti-diabetic activity</w:t>
            </w:r>
          </w:p>
        </w:tc>
        <w:tc>
          <w:tcPr>
            <w:tcW w:w="3286" w:type="dxa"/>
          </w:tcPr>
          <w:p w14:paraId="704BD8B2" w14:textId="1258340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Rat skeletal muscle cells</w:t>
            </w:r>
            <w:r w:rsidR="00900799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 xml:space="preserve"> L6</w:t>
            </w:r>
            <w:r w:rsidR="00900799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bookmarkStart w:id="0" w:name="_GoBack"/>
            <w:bookmarkEnd w:id="0"/>
          </w:p>
          <w:p w14:paraId="28C507A5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the KK-Ay rat</w:t>
            </w:r>
          </w:p>
        </w:tc>
        <w:tc>
          <w:tcPr>
            <w:tcW w:w="2869" w:type="dxa"/>
          </w:tcPr>
          <w:p w14:paraId="29C31CD5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GLUT4↑, p-AMPK↑, p-ACC↑, PPARγ↓, SREBP-1c↓, ACC↓</w:t>
            </w:r>
          </w:p>
        </w:tc>
        <w:tc>
          <w:tcPr>
            <w:tcW w:w="1435" w:type="dxa"/>
          </w:tcPr>
          <w:p w14:paraId="3D35F3B1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(Yang, Huang et al. 2017)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10932" w:rsidRPr="00A13615" w14:paraId="6F8BC213" w14:textId="77777777" w:rsidTr="00900799">
        <w:trPr>
          <w:trHeight w:val="566"/>
        </w:trPr>
        <w:tc>
          <w:tcPr>
            <w:tcW w:w="1761" w:type="dxa"/>
            <w:tcBorders>
              <w:bottom w:val="single" w:sz="12" w:space="0" w:color="auto"/>
            </w:tcBorders>
          </w:tcPr>
          <w:p w14:paraId="0020F03D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Anti-pulmonary fibrosis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14:paraId="0AAD0864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Male Kunming mice</w:t>
            </w:r>
          </w:p>
        </w:tc>
        <w:tc>
          <w:tcPr>
            <w:tcW w:w="2869" w:type="dxa"/>
            <w:tcBorders>
              <w:bottom w:val="single" w:sz="12" w:space="0" w:color="auto"/>
            </w:tcBorders>
          </w:tcPr>
          <w:p w14:paraId="2B278899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MDA↓, hydroxyproline↓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ALP↓</w:t>
            </w:r>
          </w:p>
          <w:p w14:paraId="4C016702" w14:textId="6C0DE06F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SOD↑</w:t>
            </w:r>
            <w:r w:rsidR="0090079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TGF-β1↓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TNF-α↓,MMP2↓</w:t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14:paraId="6CD98337" w14:textId="77777777" w:rsidR="00A13615" w:rsidRPr="00A13615" w:rsidRDefault="00A13615" w:rsidP="00900799">
            <w:pPr>
              <w:spacing w:line="3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t>(Xiao, Zhang et al. 2005)</w:t>
            </w:r>
            <w:r w:rsidRPr="00A1361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706A5342" w14:textId="77777777" w:rsidR="00175684" w:rsidRPr="00710932" w:rsidRDefault="00175684" w:rsidP="00710932">
      <w:pPr>
        <w:rPr>
          <w:b/>
          <w:bCs/>
        </w:rPr>
      </w:pPr>
    </w:p>
    <w:sectPr w:rsidR="00175684" w:rsidRPr="00710932" w:rsidSect="00C04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CA927" w14:textId="77777777" w:rsidR="004D0C86" w:rsidRDefault="004D0C86" w:rsidP="003F6524">
      <w:r>
        <w:separator/>
      </w:r>
    </w:p>
  </w:endnote>
  <w:endnote w:type="continuationSeparator" w:id="0">
    <w:p w14:paraId="63EC5F6B" w14:textId="77777777" w:rsidR="004D0C86" w:rsidRDefault="004D0C86" w:rsidP="003F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CCF6B" w14:textId="77777777" w:rsidR="004D0C86" w:rsidRDefault="004D0C86" w:rsidP="003F6524">
      <w:r>
        <w:separator/>
      </w:r>
    </w:p>
  </w:footnote>
  <w:footnote w:type="continuationSeparator" w:id="0">
    <w:p w14:paraId="22FF025C" w14:textId="77777777" w:rsidR="004D0C86" w:rsidRDefault="004D0C86" w:rsidP="003F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3982"/>
    <w:multiLevelType w:val="hybridMultilevel"/>
    <w:tmpl w:val="DBFA8B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15"/>
    <w:rsid w:val="000562F2"/>
    <w:rsid w:val="00175684"/>
    <w:rsid w:val="003058F2"/>
    <w:rsid w:val="003F6524"/>
    <w:rsid w:val="004D0C86"/>
    <w:rsid w:val="00710932"/>
    <w:rsid w:val="007463BC"/>
    <w:rsid w:val="00867EA6"/>
    <w:rsid w:val="00900799"/>
    <w:rsid w:val="00A13615"/>
    <w:rsid w:val="00AB7A23"/>
    <w:rsid w:val="00C0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43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rsid w:val="00A13615"/>
    <w:rPr>
      <w:sz w:val="21"/>
      <w:szCs w:val="21"/>
    </w:rPr>
  </w:style>
  <w:style w:type="paragraph" w:styleId="a5">
    <w:name w:val="annotation text"/>
    <w:basedOn w:val="a"/>
    <w:link w:val="Char"/>
    <w:uiPriority w:val="99"/>
    <w:rsid w:val="00A13615"/>
    <w:pPr>
      <w:jc w:val="left"/>
    </w:pPr>
    <w:rPr>
      <w:rFonts w:ascii="等线" w:eastAsia="等线" w:hAnsi="等线" w:cs="宋体"/>
    </w:rPr>
  </w:style>
  <w:style w:type="character" w:customStyle="1" w:styleId="Char">
    <w:name w:val="批注文字 Char"/>
    <w:basedOn w:val="a0"/>
    <w:link w:val="a5"/>
    <w:uiPriority w:val="99"/>
    <w:rsid w:val="00A13615"/>
    <w:rPr>
      <w:rFonts w:ascii="等线" w:eastAsia="等线" w:hAnsi="等线" w:cs="宋体"/>
    </w:rPr>
  </w:style>
  <w:style w:type="paragraph" w:styleId="a6">
    <w:name w:val="Balloon Text"/>
    <w:basedOn w:val="a"/>
    <w:link w:val="Char0"/>
    <w:uiPriority w:val="99"/>
    <w:semiHidden/>
    <w:unhideWhenUsed/>
    <w:rsid w:val="00A1361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13615"/>
    <w:rPr>
      <w:sz w:val="18"/>
      <w:szCs w:val="18"/>
    </w:rPr>
  </w:style>
  <w:style w:type="paragraph" w:styleId="a7">
    <w:name w:val="List Paragraph"/>
    <w:basedOn w:val="a"/>
    <w:uiPriority w:val="34"/>
    <w:qFormat/>
    <w:rsid w:val="00710932"/>
    <w:pPr>
      <w:ind w:firstLineChars="200" w:firstLine="420"/>
    </w:pPr>
  </w:style>
  <w:style w:type="paragraph" w:styleId="a8">
    <w:name w:val="header"/>
    <w:basedOn w:val="a"/>
    <w:link w:val="Char1"/>
    <w:uiPriority w:val="99"/>
    <w:unhideWhenUsed/>
    <w:rsid w:val="003F6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3F6524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3F6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3F65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rsid w:val="00A13615"/>
    <w:rPr>
      <w:sz w:val="21"/>
      <w:szCs w:val="21"/>
    </w:rPr>
  </w:style>
  <w:style w:type="paragraph" w:styleId="a5">
    <w:name w:val="annotation text"/>
    <w:basedOn w:val="a"/>
    <w:link w:val="Char"/>
    <w:uiPriority w:val="99"/>
    <w:rsid w:val="00A13615"/>
    <w:pPr>
      <w:jc w:val="left"/>
    </w:pPr>
    <w:rPr>
      <w:rFonts w:ascii="等线" w:eastAsia="等线" w:hAnsi="等线" w:cs="宋体"/>
    </w:rPr>
  </w:style>
  <w:style w:type="character" w:customStyle="1" w:styleId="Char">
    <w:name w:val="批注文字 Char"/>
    <w:basedOn w:val="a0"/>
    <w:link w:val="a5"/>
    <w:uiPriority w:val="99"/>
    <w:rsid w:val="00A13615"/>
    <w:rPr>
      <w:rFonts w:ascii="等线" w:eastAsia="等线" w:hAnsi="等线" w:cs="宋体"/>
    </w:rPr>
  </w:style>
  <w:style w:type="paragraph" w:styleId="a6">
    <w:name w:val="Balloon Text"/>
    <w:basedOn w:val="a"/>
    <w:link w:val="Char0"/>
    <w:uiPriority w:val="99"/>
    <w:semiHidden/>
    <w:unhideWhenUsed/>
    <w:rsid w:val="00A1361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13615"/>
    <w:rPr>
      <w:sz w:val="18"/>
      <w:szCs w:val="18"/>
    </w:rPr>
  </w:style>
  <w:style w:type="paragraph" w:styleId="a7">
    <w:name w:val="List Paragraph"/>
    <w:basedOn w:val="a"/>
    <w:uiPriority w:val="34"/>
    <w:qFormat/>
    <w:rsid w:val="00710932"/>
    <w:pPr>
      <w:ind w:firstLineChars="200" w:firstLine="420"/>
    </w:pPr>
  </w:style>
  <w:style w:type="paragraph" w:styleId="a8">
    <w:name w:val="header"/>
    <w:basedOn w:val="a"/>
    <w:link w:val="Char1"/>
    <w:uiPriority w:val="99"/>
    <w:unhideWhenUsed/>
    <w:rsid w:val="003F6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3F6524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3F6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3F6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5A05-D263-4886-966C-44A3D29F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8618294336686</dc:creator>
  <cp:keywords/>
  <dc:description/>
  <cp:lastModifiedBy>GLC</cp:lastModifiedBy>
  <cp:revision>3</cp:revision>
  <dcterms:created xsi:type="dcterms:W3CDTF">2020-11-13T07:19:00Z</dcterms:created>
  <dcterms:modified xsi:type="dcterms:W3CDTF">2020-11-17T08:09:00Z</dcterms:modified>
</cp:coreProperties>
</file>