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42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510"/>
        <w:gridCol w:w="1183"/>
        <w:gridCol w:w="1848"/>
        <w:gridCol w:w="627"/>
        <w:gridCol w:w="240"/>
        <w:gridCol w:w="1189"/>
        <w:gridCol w:w="1489"/>
        <w:gridCol w:w="1200"/>
        <w:gridCol w:w="178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Locus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Genetic model</w:t>
            </w: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Gen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e types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SLEDAI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[Median (P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:vertAlign w:val="subscript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-P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:vertAlign w:val="subscript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)]</w:t>
            </w:r>
          </w:p>
        </w:tc>
        <w:tc>
          <w:tcPr>
            <w:tcW w:w="6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Locus</w:t>
            </w: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Genetic model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Gene types</w:t>
            </w:r>
          </w:p>
        </w:tc>
        <w:tc>
          <w:tcPr>
            <w:tcW w:w="17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SLEDAI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[Median (P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:vertAlign w:val="subscript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-P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:vertAlign w:val="subscript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)]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67" w:type="dxa"/>
            <w:tcBorders>
              <w:top w:val="single" w:color="auto" w:sz="4" w:space="0"/>
            </w:tcBorders>
            <w:vAlign w:val="bottom"/>
          </w:tcPr>
          <w:p>
            <w:pPr>
              <w:widowControl/>
              <w:snapToGrid w:val="0"/>
              <w:ind w:right="122" w:rightChars="58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rs1883832</w:t>
            </w:r>
          </w:p>
          <w:p>
            <w:pPr>
              <w:widowControl/>
              <w:snapToGrid w:val="0"/>
              <w:ind w:right="122" w:rightChars="58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(C &gt; T)</w:t>
            </w:r>
          </w:p>
        </w:tc>
        <w:tc>
          <w:tcPr>
            <w:tcW w:w="1510" w:type="dxa"/>
            <w:tcBorders>
              <w:top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Co-dominant model</w:t>
            </w:r>
          </w:p>
        </w:tc>
        <w:tc>
          <w:tcPr>
            <w:tcW w:w="1183" w:type="dxa"/>
            <w:tcBorders>
              <w:top w:val="single" w:color="auto" w:sz="4" w:space="0"/>
            </w:tcBorders>
            <w:vAlign w:val="bottom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CC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vAlign w:val="bottom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10.00 (5.75-12.25)</w:t>
            </w:r>
          </w:p>
        </w:tc>
        <w:tc>
          <w:tcPr>
            <w:tcW w:w="627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0.521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rs13040307 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(C&gt;T)</w:t>
            </w:r>
          </w:p>
        </w:tc>
        <w:tc>
          <w:tcPr>
            <w:tcW w:w="1489" w:type="dxa"/>
            <w:tcBorders>
              <w:top w:val="single" w:color="auto" w:sz="4" w:space="0"/>
            </w:tcBorders>
            <w:vAlign w:val="bottom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Co-dominant model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CC</w:t>
            </w:r>
          </w:p>
        </w:tc>
        <w:tc>
          <w:tcPr>
            <w:tcW w:w="1788" w:type="dxa"/>
            <w:tcBorders>
              <w:top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10.00 (4.00-15.0)</w:t>
            </w:r>
          </w:p>
        </w:tc>
        <w:tc>
          <w:tcPr>
            <w:tcW w:w="750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ind w:right="122" w:rightChars="58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CT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(4.00-13.00)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0.122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CT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(4.00-12.00)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ind w:right="122" w:rightChars="58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10.50 (4.00-18.50)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10.50 (6.00-12.00)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ind w:right="122" w:rightChars="58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Recessive model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CT+TT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(4.00-13.25)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0.344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Recessive model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CT+TT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(4.00-12.00)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ind w:right="122" w:rightChars="58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Dominant model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CT+CC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8.50 (4.00-13.00)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0.211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Dominant model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CT+CC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8.50 (4.00-13.00)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ind w:right="122" w:rightChars="58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ind w:right="122" w:rightChars="58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rs1569723 (A&gt;C)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Co-dominant model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AA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9.50 (5.00-12.00)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0.576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rs3765456 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(G&gt;A)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Co-dominant model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GG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10.50 (6.00-13.00)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AC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(4.00-13.00)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0.232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GA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(4.00-13.00)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CC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9.50 (4.00-17.50)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AA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(4.00-16.00)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Recessive model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AC+CC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(4.00-14.00)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0.615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Recessive model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GA+AA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(4.00-13.00)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Dominant model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AC+AA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9.00 (4.00-13.00)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0.316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Dominant model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GA+GG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9.00 (4.00-13.00)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rs4810485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(G&gt;T)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Co-dominant model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GG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10.00 (5.50-12.00)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0.496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rs73115010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(T&gt;C)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Co-dominant model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10.00 (4.00-15.00)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GT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(4.00-13.00)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0.131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TC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(4.00-13.00)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10.50 (4.00-18.50)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CC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10.00 (5.50-12.00)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Recessive model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GT+TT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(4.00-14.00)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0.419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Recessive model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TC+CC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8.00 (4.00-12.00)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Dominant model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GT+ GG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ind w:left="420" w:hanging="42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8.50 (4.00-13.00)</w:t>
            </w: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0.211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Dominant model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TC+TT</w:t>
            </w:r>
          </w:p>
        </w:tc>
        <w:tc>
          <w:tcPr>
            <w:tcW w:w="17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9.00 (4.00-14.00)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0.528</w:t>
            </w:r>
          </w:p>
        </w:tc>
      </w:tr>
    </w:tbl>
    <w:p>
      <w:pPr>
        <w:ind w:left="-811" w:leftChars="-386"/>
        <w:jc w:val="center"/>
        <w:rPr>
          <w:rFonts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>Supplement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>ary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 xml:space="preserve">able 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18"/>
          <w:szCs w:val="13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 xml:space="preserve"> Systemic Lupus Erythematosus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>isease activity index (SLEDAI)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 xml:space="preserve">in relation to CD40 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>gene polymorphisms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 w:val="18"/>
          <w:szCs w:val="13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ascii="Times New Roman" w:hAnsi="Times New Roman" w:eastAsia="宋体" w:cs="Times New Roman"/>
          <w:bCs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EC"/>
    <w:rsid w:val="00022A8D"/>
    <w:rsid w:val="002E5B1A"/>
    <w:rsid w:val="00341166"/>
    <w:rsid w:val="0056096A"/>
    <w:rsid w:val="00581B0C"/>
    <w:rsid w:val="006114EC"/>
    <w:rsid w:val="007820A3"/>
    <w:rsid w:val="009A092E"/>
    <w:rsid w:val="00A30ACA"/>
    <w:rsid w:val="00AE37FF"/>
    <w:rsid w:val="00B67470"/>
    <w:rsid w:val="00BA21A8"/>
    <w:rsid w:val="00E1519A"/>
    <w:rsid w:val="00F0762D"/>
    <w:rsid w:val="27BD0A80"/>
    <w:rsid w:val="406A77C8"/>
    <w:rsid w:val="4F7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hahahaha</Company>
  <Pages>1</Pages>
  <Words>232</Words>
  <Characters>1329</Characters>
  <Lines>11</Lines>
  <Paragraphs>3</Paragraphs>
  <TotalTime>1</TotalTime>
  <ScaleCrop>false</ScaleCrop>
  <LinksUpToDate>false</LinksUpToDate>
  <CharactersWithSpaces>1558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2021-03-04T14:37:00Z</dcterms:created>
  <dc:creator>黄琦</dc:creator>
  <cp:lastModifiedBy>喵尔摩斯</cp:lastModifiedBy>
  <dcterms:modified xsi:type="dcterms:W3CDTF">2021-03-11T03:26:26Z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