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89FE7" w14:textId="77777777" w:rsidR="00114F7E" w:rsidRPr="001549D3" w:rsidRDefault="00114F7E" w:rsidP="00114F7E">
      <w:pPr>
        <w:pStyle w:val="SupplementaryMaterial"/>
        <w:rPr>
          <w:b w:val="0"/>
        </w:rPr>
      </w:pPr>
      <w:r w:rsidRPr="001549D3">
        <w:t>Supplementary Material</w:t>
      </w:r>
    </w:p>
    <w:p w14:paraId="0FBE7D46" w14:textId="77777777" w:rsidR="00114F7E" w:rsidRPr="00114F7E" w:rsidRDefault="00114F7E" w:rsidP="00114F7E"/>
    <w:p w14:paraId="4E5AF66E" w14:textId="77777777" w:rsidR="005E47EF" w:rsidRDefault="004158A9" w:rsidP="005E47EF">
      <w:pPr>
        <w:pStyle w:val="Heading1"/>
        <w:numPr>
          <w:ilvl w:val="0"/>
          <w:numId w:val="1"/>
        </w:numPr>
        <w:tabs>
          <w:tab w:val="num" w:pos="567"/>
        </w:tabs>
        <w:ind w:left="567" w:hanging="567"/>
      </w:pPr>
      <w:r>
        <w:t xml:space="preserve">Experimental Cell Reorientation Data </w:t>
      </w:r>
      <w:r w:rsidR="001159E7">
        <w:rPr>
          <w:noProof/>
        </w:rPr>
        <w:drawing>
          <wp:inline distT="0" distB="0" distL="0" distR="0" wp14:anchorId="20159B69" wp14:editId="04DB05FF">
            <wp:extent cx="4114800" cy="578229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17108" cy="5785533"/>
                    </a:xfrm>
                    <a:prstGeom prst="rect">
                      <a:avLst/>
                    </a:prstGeom>
                  </pic:spPr>
                </pic:pic>
              </a:graphicData>
            </a:graphic>
          </wp:inline>
        </w:drawing>
      </w:r>
    </w:p>
    <w:p w14:paraId="5E0A3E6B" w14:textId="7B646F67" w:rsidR="001159E7" w:rsidRPr="0030156D" w:rsidRDefault="001159E7" w:rsidP="002937D8">
      <w:pPr>
        <w:pStyle w:val="Heading1"/>
      </w:pPr>
      <w:r w:rsidRPr="0030156D">
        <w:t xml:space="preserve">Figure </w:t>
      </w:r>
      <w:r w:rsidRPr="0030156D">
        <w:fldChar w:fldCharType="begin"/>
      </w:r>
      <w:r w:rsidRPr="005E47EF">
        <w:instrText xml:space="preserve"> SEQ Figure \* ARABIC </w:instrText>
      </w:r>
      <w:r w:rsidRPr="002937D8">
        <w:fldChar w:fldCharType="separate"/>
      </w:r>
      <w:r w:rsidRPr="0030156D">
        <w:rPr>
          <w:noProof/>
        </w:rPr>
        <w:t>1</w:t>
      </w:r>
      <w:r w:rsidRPr="0030156D">
        <w:fldChar w:fldCharType="end"/>
      </w:r>
      <w:r w:rsidR="00607C68">
        <w:t>.</w:t>
      </w:r>
      <w:r w:rsidR="00607C68" w:rsidRPr="00607C68">
        <w:t xml:space="preserve"> </w:t>
      </w:r>
      <w:r w:rsidR="00607C68" w:rsidRPr="002937D8">
        <w:rPr>
          <w:b w:val="0"/>
          <w:bCs/>
        </w:rPr>
        <w:t>Representative images of RASMC after 24 (A, C, E, G) or 72 hours (B, D, F, H) of no strain (A, B), or 4-6% (C, D), 2-8% (E, F), or 0-10% (G, H) 1 Hz cyclic tensile strain. Blue – DAPI nuclei, Red – Phalloidin f-actin</w:t>
      </w:r>
      <w:r w:rsidR="0030156D">
        <w:rPr>
          <w:b w:val="0"/>
          <w:bCs/>
        </w:rPr>
        <w:t xml:space="preserve"> </w:t>
      </w:r>
      <w:r w:rsidR="0030156D">
        <w:rPr>
          <w:b w:val="0"/>
          <w:bCs/>
        </w:rPr>
        <w:fldChar w:fldCharType="begin" w:fldLock="1"/>
      </w:r>
      <w:r w:rsidR="0030156D">
        <w:rPr>
          <w:b w:val="0"/>
          <w:bCs/>
        </w:rPr>
        <w:instrText>ADDIN CSL_CITATION {"citationItems":[{"id":"ITEM-1","itemData":{"abstract":"APPROVED","author":[{"dropping-particle":"","family":"Mathieu","given":"Pattie S","non-dropping-particle":"","parse-names":false,"suffix":""}],"id":"ITEM-1","issued":{"date-parts":[["2020"]]},"publisher":"Trinity College Dublin. School of Engineering. Discipline of Mechanical &amp; Manuf. Eng","title":"Multipotent Vascular Stem Cells and the Effects of Cyclic Tensile Strain, Collagen Structure and Stenting on Medial Vascular Cell Populations","type":"report"},"uris":["http://www.mendeley.com/documents/?uuid=af07e8e0-82c0-3806-98d0-14ecabfc30d6"]}],"mendeley":{"formattedCitation":"(Mathieu 2020)","plainTextFormattedCitation":"(Mathieu 2020)","previouslyFormattedCitation":"(Mathieu 2020)"},"properties":{"noteIndex":0},"schema":"https://github.com/citation-style-language/schema/raw/master/csl-citation.json"}</w:instrText>
      </w:r>
      <w:r w:rsidR="0030156D">
        <w:rPr>
          <w:b w:val="0"/>
          <w:bCs/>
        </w:rPr>
        <w:fldChar w:fldCharType="separate"/>
      </w:r>
      <w:r w:rsidR="0030156D" w:rsidRPr="0030156D">
        <w:rPr>
          <w:b w:val="0"/>
          <w:bCs/>
          <w:noProof/>
        </w:rPr>
        <w:t>(Mathieu 2020)</w:t>
      </w:r>
      <w:r w:rsidR="0030156D">
        <w:rPr>
          <w:b w:val="0"/>
          <w:bCs/>
        </w:rPr>
        <w:fldChar w:fldCharType="end"/>
      </w:r>
      <w:r w:rsidR="0030156D">
        <w:rPr>
          <w:b w:val="0"/>
          <w:bCs/>
        </w:rPr>
        <w:t>.</w:t>
      </w:r>
    </w:p>
    <w:p w14:paraId="7DADF193" w14:textId="77777777" w:rsidR="00D71774" w:rsidRDefault="00D71774" w:rsidP="002937D8">
      <w:pPr>
        <w:keepNext/>
      </w:pPr>
      <w:r w:rsidRPr="00D71774">
        <w:rPr>
          <w:noProof/>
        </w:rPr>
        <w:drawing>
          <wp:inline distT="0" distB="0" distL="0" distR="0" wp14:anchorId="1E84D133" wp14:editId="067D700F">
            <wp:extent cx="5731510" cy="3634105"/>
            <wp:effectExtent l="0" t="0" r="0" b="0"/>
            <wp:docPr id="13" name="Picture 12">
              <a:extLst xmlns:a="http://schemas.openxmlformats.org/drawingml/2006/main">
                <a:ext uri="{FF2B5EF4-FFF2-40B4-BE49-F238E27FC236}">
                  <a16:creationId xmlns:a16="http://schemas.microsoft.com/office/drawing/2014/main" id="{947EF974-0371-4FA3-8A07-F18470064E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947EF974-0371-4FA3-8A07-F18470064EB2}"/>
                        </a:ext>
                      </a:extLst>
                    </pic:cNvPr>
                    <pic:cNvPicPr>
                      <a:picLocks noChangeAspect="1"/>
                    </pic:cNvPicPr>
                  </pic:nvPicPr>
                  <pic:blipFill>
                    <a:blip r:embed="rId12"/>
                    <a:stretch>
                      <a:fillRect/>
                    </a:stretch>
                  </pic:blipFill>
                  <pic:spPr>
                    <a:xfrm>
                      <a:off x="0" y="0"/>
                      <a:ext cx="5731510" cy="3634105"/>
                    </a:xfrm>
                    <a:prstGeom prst="rect">
                      <a:avLst/>
                    </a:prstGeom>
                  </pic:spPr>
                </pic:pic>
              </a:graphicData>
            </a:graphic>
          </wp:inline>
        </w:drawing>
      </w:r>
    </w:p>
    <w:p w14:paraId="27FB702F" w14:textId="5B9A525E" w:rsidR="00A54C22" w:rsidRDefault="00D71774" w:rsidP="00A54C22">
      <w:pPr>
        <w:pStyle w:val="Caption"/>
      </w:pPr>
      <w:r w:rsidRPr="002937D8">
        <w:rPr>
          <w:b/>
          <w:bCs w:val="0"/>
        </w:rPr>
        <w:t xml:space="preserve">Figure </w:t>
      </w:r>
      <w:r w:rsidRPr="002937D8">
        <w:rPr>
          <w:b/>
          <w:bCs w:val="0"/>
        </w:rPr>
        <w:fldChar w:fldCharType="begin"/>
      </w:r>
      <w:r w:rsidRPr="002937D8">
        <w:rPr>
          <w:b/>
          <w:bCs w:val="0"/>
        </w:rPr>
        <w:instrText xml:space="preserve"> SEQ Figure \* ARABIC </w:instrText>
      </w:r>
      <w:r w:rsidRPr="002937D8">
        <w:rPr>
          <w:b/>
          <w:bCs w:val="0"/>
        </w:rPr>
        <w:fldChar w:fldCharType="separate"/>
      </w:r>
      <w:r w:rsidR="001159E7">
        <w:rPr>
          <w:b/>
          <w:bCs w:val="0"/>
          <w:noProof/>
        </w:rPr>
        <w:t>2</w:t>
      </w:r>
      <w:r w:rsidRPr="002937D8">
        <w:rPr>
          <w:b/>
          <w:bCs w:val="0"/>
        </w:rPr>
        <w:fldChar w:fldCharType="end"/>
      </w:r>
      <w:r w:rsidRPr="002937D8">
        <w:rPr>
          <w:b/>
          <w:bCs w:val="0"/>
        </w:rPr>
        <w:t>.</w:t>
      </w:r>
      <w:r>
        <w:t xml:space="preserve"> Experimental cell reorientation data displaying the percentage of nuclei and their orientation in relation to strain at 24 and 72hr when the cells are subject to 4-6%, 2-8% and 0-10% cyclic strain</w:t>
      </w:r>
      <w:r w:rsidR="0030156D">
        <w:t xml:space="preserve"> </w:t>
      </w:r>
      <w:r w:rsidR="0030156D">
        <w:fldChar w:fldCharType="begin" w:fldLock="1"/>
      </w:r>
      <w:r w:rsidR="0030156D">
        <w:instrText>ADDIN CSL_CITATION {"citationItems":[{"id":"ITEM-1","itemData":{"abstract":"APPROVED","author":[{"dropping-particle":"","family":"Mathieu","given":"Pattie S","non-dropping-particle":"","parse-names":false,"suffix":""}],"id":"ITEM-1","issued":{"date-parts":[["2020"]]},"publisher":"Trinity College Dublin. School of Engineering. Discipline of Mechanical &amp; Manuf. Eng","title":"Multipotent Vascular Stem Cells and the Effects of Cyclic Tensile Strain, Collagen Structure and Stenting on Medial Vascular Cell Populations","type":"report"},"uris":["http://www.mendeley.com/documents/?uuid=af07e8e0-82c0-3806-98d0-14ecabfc30d6"]}],"mendeley":{"formattedCitation":"(Mathieu 2020)","plainTextFormattedCitation":"(Mathieu 2020)","previouslyFormattedCitation":"(Mathieu 2020)"},"properties":{"noteIndex":0},"schema":"https://github.com/citation-style-language/schema/raw/master/csl-citation.json"}</w:instrText>
      </w:r>
      <w:r w:rsidR="0030156D">
        <w:fldChar w:fldCharType="separate"/>
      </w:r>
      <w:r w:rsidR="0030156D" w:rsidRPr="0030156D">
        <w:rPr>
          <w:noProof/>
        </w:rPr>
        <w:t>(Mathieu 2020)</w:t>
      </w:r>
      <w:r w:rsidR="0030156D">
        <w:fldChar w:fldCharType="end"/>
      </w:r>
      <w:r>
        <w:t>.</w:t>
      </w:r>
    </w:p>
    <w:p w14:paraId="6AAACBE9" w14:textId="1CF83E02" w:rsidR="00A96F3F" w:rsidRPr="00051656" w:rsidRDefault="00A96F3F" w:rsidP="00051656">
      <w:pPr>
        <w:pStyle w:val="Heading1"/>
        <w:numPr>
          <w:ilvl w:val="0"/>
          <w:numId w:val="1"/>
        </w:numPr>
        <w:tabs>
          <w:tab w:val="num" w:pos="567"/>
        </w:tabs>
        <w:ind w:left="567" w:hanging="567"/>
      </w:pPr>
      <w:r>
        <w:t>Cell Radius</w:t>
      </w:r>
      <w:r w:rsidR="00114F7E">
        <w:t xml:space="preserve"> (</w:t>
      </w: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c</m:t>
            </m:r>
          </m:sub>
        </m:sSub>
      </m:oMath>
      <w:r w:rsidR="00114F7E" w:rsidRPr="00051656">
        <w:t>)</w:t>
      </w:r>
    </w:p>
    <w:p w14:paraId="61196F5C" w14:textId="68E84CC8" w:rsidR="00114F7E" w:rsidRDefault="00051656" w:rsidP="00114F7E">
      <w:pPr>
        <w:rPr>
          <w:lang w:val="en-GB"/>
        </w:rPr>
      </w:pPr>
      <w:r>
        <w:rPr>
          <w:lang w:val="en-GB"/>
        </w:rPr>
        <w:t>As confluence was not seen in the experimental data</w:t>
      </w:r>
      <w:r w:rsidR="009626C9">
        <w:rPr>
          <w:lang w:val="en-GB"/>
        </w:rPr>
        <w:t xml:space="preserve"> t</w:t>
      </w:r>
      <w:r w:rsidR="00114F7E">
        <w:rPr>
          <w:lang w:val="en-GB"/>
        </w:rPr>
        <w:t>he following sensitivity analysis was performed on the cell radius to ensure that it was not the influencing parameter in predicting the final cell density due to an artificial over confluence.</w:t>
      </w:r>
      <w:r>
        <w:rPr>
          <w:lang w:val="en-GB"/>
        </w:rPr>
        <w:t xml:space="preserve"> The example of an initial cell density of 305 cell/mm</w:t>
      </w:r>
      <w:r w:rsidRPr="00051656">
        <w:rPr>
          <w:vertAlign w:val="superscript"/>
          <w:lang w:val="en-GB"/>
        </w:rPr>
        <w:t>2</w:t>
      </w:r>
      <w:r>
        <w:rPr>
          <w:lang w:val="en-GB"/>
        </w:rPr>
        <w:t xml:space="preserve"> was used. </w:t>
      </w:r>
      <w:r w:rsidR="0062436C">
        <w:rPr>
          <w:lang w:val="en-GB"/>
        </w:rPr>
        <w:t>Firstly,</w:t>
      </w:r>
      <w:r>
        <w:rPr>
          <w:lang w:val="en-GB"/>
        </w:rPr>
        <w:t xml:space="preserve"> the model was r</w:t>
      </w:r>
      <w:r w:rsidR="0062436C">
        <w:rPr>
          <w:lang w:val="en-GB"/>
        </w:rPr>
        <w:t>u</w:t>
      </w:r>
      <w:r>
        <w:rPr>
          <w:lang w:val="en-GB"/>
        </w:rPr>
        <w:t>n for different iterations using the same parameters</w:t>
      </w:r>
      <w:r w:rsidR="009626C9">
        <w:rPr>
          <w:lang w:val="en-GB"/>
        </w:rPr>
        <w:t xml:space="preserve">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oMath>
      <w:r w:rsidR="009626C9">
        <w:rPr>
          <w:lang w:val="en-GB"/>
        </w:rPr>
        <w:t xml:space="preserve"> of 12.96 μm </w:t>
      </w:r>
      <w:r w:rsidR="009626C9">
        <w:rPr>
          <w:rStyle w:val="FootnoteReference"/>
          <w:lang w:val="en-GB"/>
        </w:rPr>
        <w:fldChar w:fldCharType="begin" w:fldLock="1"/>
      </w:r>
      <w:r w:rsidR="0030156D">
        <w:rPr>
          <w:lang w:val="en-GB"/>
        </w:rPr>
        <w:instrText>ADDIN CSL_CITATION {"citationItems":[{"id":"ITEM-1","itemData":{"DOI":"10.1007/s10237-011-0316-0","ISBN":"1023701103","ISSN":"16177959","PMID":"21626394","abstract":"Computational models of mechanobiological systems have been widely used to provide insight into these systems and also to predict their behaviour. In this context, vascular tissue engineering benefits from further attention given the challenges involved in developing functional low calibre vascular grafts with long-term patency. In this study, a novel multiscale mechanobiological modelling framework is presented, which takes advantage of lattice-free agent-based models coupled with the finite element method to investigate the dynamics of VSMC growth in vascular tis-sue engineering scaffolds. The results illustrate the ability of the mechanobiological modelling approach to capture com-plex multiscale mechanobiological phenomena. Specifically, the framework enabled the study of the influence of scaffold compliance and loading regime in regulating the growth of VSMCs in vascular scaffolds and their role in development of intimal hyperplasia (IH). The model demonstrates that low scaffold compliance compared to host arteries leads to increased luminal ingrowth and IH development. In addition, culture of a tissue-engineered blood vessel under a pulsa-tile luminal pressure reduced luminal ingrowth and enhanced collagen synthesis within the scaffold compared to non-pul-satile culture. The mechanobiological framework presented provides a robust platform for testing hypotheses in vascular tissue engineering and lends itself to use as an optimisation design tool.","author":[{"dropping-particle":"","family":"Zahedmanesh","given":"Houman","non-dropping-particle":"","parse-names":false,"suffix":""},{"dropping-particle":"","family":"Lally","given":"Caitríona","non-dropping-particle":"","parse-names":false,"suffix":""}],"container-title":"Biomechanics and Modeling in Mechanobiology","id":"ITEM-1","issue":"3-4","issued":{"date-parts":[["2012"]]},"page":"363-377","title":"A multiscale mechanobiological modelling framework using agent-based models and finite element analysis: Application to vascular tissue engineering","type":"article-journal","volume":"11"},"uris":["http://www.mendeley.com/documents/?uuid=02666511-e032-401c-b445-6b9dc98b2035"]},{"id":"ITEM-2","itemData":{"DOI":"10.1080/10255842.2012.716830","ISBN":"1476-8259 (Electronic)\\r1025-5842 (Linking)","ISSN":"14768259","PMID":"22967148","abstract":"Since their first introduction, stents have revolutionised the treatment of atherosclerosis; however, the development of in-stent restenosis still remains the Achilles' heel of stent deployment procedures. Computational modelling can be used as a means to model the biological response of arteries to different stent designs using mechanobiological models, whereby the mechanical environment may be used to dictate the growth and remodelling of vascular cells. Changes occurring within the arterial wall due to stent-induced mechanical injury, specifically changes within the extracellular matrix, have been postulated to be a major cause of activation of vascular smooth muscle cells and the subsequent development of in-stent restenosis. In this study, a mechanistic multi-scale mechanobiological model of in-stent restenosis using finite element models and agent-based modelling is presented, which allows quantitative evaluation of the collagen matrix turnover following stent-induced arterial injury and the subsequent development of in-stent restenosis. The model is specifically used to study the influence of stent deployment diameter and stent strut thickness on the level of in-stent restenosis. The model demonstrates that there exists a direct correlation between the stent deployment diameter and the level of in-stent restenosis. In addition, investigating the influence of stent strut thickness using the mechanobiological model reveals that thicker strut stents induce a higher level of in-stent restenosis due to a higher extent of arterial injury. The presented mechanobiological modelling framework provides a robust platform for testing hypotheses on the mechanisms underlying the development of in-stent restenosis and lends itself for use as a tool for optimisation of the mechanical parameters involved in stent design.","author":[{"dropping-particle":"","family":"Zahedmanesh","given":"Houman","non-dropping-particle":"","parse-names":false,"suffix":""},{"dropping-particle":"","family":"Oosterwyck","given":"Hans","non-dropping-particle":"Van","parse-names":false,"suffix":""},{"dropping-particle":"","family":"Lally","given":"Caitríona","non-dropping-particle":"","parse-names":false,"suffix":""}],"container-title":"Computer Methods in Biomechanics and Biomedical Engineering","id":"ITEM-2","issue":"8","issued":{"date-parts":[["2014"]]},"page":"813-828","title":"A multi-scale mechanobiological model of in-stent restenosis: deciphering the role of matrix metalloproteinase and extracellular matrix changes","type":"article-journal","volume":"17"},"uris":["http://www.mendeley.com/documents/?uuid=bbd84d73-33ce-4232-9819-5e7be97f100d"]}],"mendeley":{"formattedCitation":"(Zahedmanesh and Lally 2012; Zahedmanesh, Van Oosterwyck, and Lally 2014)","plainTextFormattedCitation":"(Zahedmanesh and Lally 2012; Zahedmanesh, Van Oosterwyck, and Lally 2014)","previouslyFormattedCitation":"(Zahedmanesh and Lally 2012; Zahedmanesh, Van Oosterwyck, and Lally 2014)"},"properties":{"noteIndex":0},"schema":"https://github.com/citation-style-language/schema/raw/master/csl-citation.json"}</w:instrText>
      </w:r>
      <w:r w:rsidR="009626C9">
        <w:rPr>
          <w:rStyle w:val="FootnoteReference"/>
          <w:lang w:val="en-GB"/>
        </w:rPr>
        <w:fldChar w:fldCharType="separate"/>
      </w:r>
      <w:r w:rsidR="009626C9" w:rsidRPr="009626C9">
        <w:rPr>
          <w:noProof/>
          <w:lang w:val="en-GB"/>
        </w:rPr>
        <w:t>(Zahedmanesh and Lally 2012; Zahedmanesh, Van Oosterwyck, and Lally 2014)</w:t>
      </w:r>
      <w:r w:rsidR="009626C9">
        <w:rPr>
          <w:rStyle w:val="FootnoteReference"/>
          <w:lang w:val="en-GB"/>
        </w:rPr>
        <w:fldChar w:fldCharType="end"/>
      </w:r>
      <w:r w:rsidR="009626C9">
        <w:rPr>
          <w:lang w:val="en-GB"/>
        </w:rPr>
        <w:t>)</w:t>
      </w:r>
      <w:r>
        <w:rPr>
          <w:lang w:val="en-GB"/>
        </w:rPr>
        <w:t xml:space="preserve"> to investigate the influence of the inherent randomness in the model. </w:t>
      </w:r>
      <w:r w:rsidR="00F814D4">
        <w:rPr>
          <w:lang w:val="en-GB"/>
        </w:rPr>
        <w:t>A change in</w:t>
      </w:r>
      <w:r>
        <w:rPr>
          <w:lang w:val="en-GB"/>
        </w:rPr>
        <w:t xml:space="preserve"> the cell density</w:t>
      </w:r>
      <w:r w:rsidR="00F814D4">
        <w:rPr>
          <w:lang w:val="en-GB"/>
        </w:rPr>
        <w:t xml:space="preserve"> of 1-2% was deemed acceptable</w:t>
      </w:r>
      <w:r>
        <w:rPr>
          <w:lang w:val="en-GB"/>
        </w:rPr>
        <w:t xml:space="preserve">. </w:t>
      </w:r>
      <w:r w:rsidR="00F814D4">
        <w:rPr>
          <w:lang w:val="en-GB"/>
        </w:rPr>
        <w:t>Different</w:t>
      </w:r>
      <w:r>
        <w:rPr>
          <w:lang w:val="en-GB"/>
        </w:rPr>
        <w:t xml:space="preserve"> magnitudes of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oMath>
      <w:r w:rsidR="009626C9">
        <w:rPr>
          <w:lang w:val="en-GB"/>
        </w:rPr>
        <w:t xml:space="preserve"> </w:t>
      </w:r>
      <w:r>
        <w:rPr>
          <w:lang w:val="en-GB"/>
        </w:rPr>
        <w:t xml:space="preserve">were </w:t>
      </w:r>
      <w:r w:rsidR="00F814D4">
        <w:rPr>
          <w:lang w:val="en-GB"/>
        </w:rPr>
        <w:t xml:space="preserve">then </w:t>
      </w:r>
      <w:r>
        <w:rPr>
          <w:lang w:val="en-GB"/>
        </w:rPr>
        <w:t xml:space="preserve">examined and it </w:t>
      </w:r>
      <w:r w:rsidR="00114F7E">
        <w:rPr>
          <w:lang w:val="en-GB"/>
        </w:rPr>
        <w:t xml:space="preserve">was found that </w:t>
      </w:r>
      <w:r>
        <w:rPr>
          <w:lang w:val="en-GB"/>
        </w:rPr>
        <w:t xml:space="preserve">a value of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oMath>
      <w:r>
        <w:rPr>
          <w:lang w:val="en-GB"/>
        </w:rPr>
        <w:t xml:space="preserve"> </w:t>
      </w:r>
      <w:r w:rsidR="00F814D4">
        <w:rPr>
          <w:lang w:val="en-GB"/>
        </w:rPr>
        <w:t xml:space="preserve">of </w:t>
      </w:r>
      <w:r w:rsidR="00F814D4" w:rsidRPr="00C42306">
        <w:rPr>
          <w:lang w:val="en-GB"/>
        </w:rPr>
        <w:t>0.3888</w:t>
      </w:r>
      <w:r w:rsidR="00F814D4">
        <w:rPr>
          <w:lang w:val="en-GB"/>
        </w:rPr>
        <w:t xml:space="preserve"> μm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r>
          <w:rPr>
            <w:rFonts w:ascii="Cambria Math" w:hAnsi="Cambria Math"/>
            <w:lang w:val="en-GB"/>
          </w:rPr>
          <m:t>x0.03</m:t>
        </m:r>
      </m:oMath>
      <w:r w:rsidR="00F814D4">
        <w:rPr>
          <w:lang w:val="en-GB"/>
        </w:rPr>
        <w:t xml:space="preserve"> ) was appropriate in predicting cell density </w:t>
      </w:r>
      <w:r>
        <w:rPr>
          <w:lang w:val="en-GB"/>
        </w:rPr>
        <w:t>(Table</w:t>
      </w:r>
      <w:r w:rsidR="0062436C">
        <w:rPr>
          <w:lang w:val="en-GB"/>
        </w:rPr>
        <w:t xml:space="preserve"> 1</w:t>
      </w:r>
      <w:r>
        <w:rPr>
          <w:lang w:val="en-GB"/>
        </w:rPr>
        <w:t>)</w:t>
      </w:r>
      <w:r w:rsidR="0062436C">
        <w:rPr>
          <w:lang w:val="en-GB"/>
        </w:rPr>
        <w:t>.</w:t>
      </w:r>
    </w:p>
    <w:p w14:paraId="20082D95" w14:textId="77777777" w:rsidR="002937D8" w:rsidRDefault="002937D8">
      <w:pPr>
        <w:spacing w:line="259" w:lineRule="auto"/>
        <w:jc w:val="left"/>
        <w:rPr>
          <w:rFonts w:eastAsiaTheme="minorHAnsi"/>
          <w:b/>
          <w:bCs/>
        </w:rPr>
      </w:pPr>
      <w:r>
        <w:rPr>
          <w:b/>
        </w:rPr>
        <w:br w:type="page"/>
      </w:r>
    </w:p>
    <w:p w14:paraId="3E56A612" w14:textId="3EA3768F" w:rsidR="00051656" w:rsidRPr="00051656" w:rsidRDefault="00051656" w:rsidP="002377C7">
      <w:pPr>
        <w:pStyle w:val="Caption"/>
        <w:rPr>
          <w:i/>
          <w:iCs/>
        </w:rPr>
      </w:pPr>
      <w:r w:rsidRPr="002377C7">
        <w:rPr>
          <w:b/>
        </w:rPr>
        <w:t xml:space="preserve">Table </w:t>
      </w:r>
      <w:r w:rsidRPr="002377C7">
        <w:rPr>
          <w:b/>
        </w:rPr>
        <w:fldChar w:fldCharType="begin"/>
      </w:r>
      <w:r w:rsidRPr="002377C7">
        <w:rPr>
          <w:b/>
        </w:rPr>
        <w:instrText xml:space="preserve"> SEQ Table \* ARABIC </w:instrText>
      </w:r>
      <w:r w:rsidRPr="002377C7">
        <w:rPr>
          <w:b/>
        </w:rPr>
        <w:fldChar w:fldCharType="separate"/>
      </w:r>
      <w:r w:rsidR="00004D83">
        <w:rPr>
          <w:b/>
          <w:noProof/>
        </w:rPr>
        <w:t>1</w:t>
      </w:r>
      <w:r w:rsidRPr="002377C7">
        <w:rPr>
          <w:b/>
        </w:rPr>
        <w:fldChar w:fldCharType="end"/>
      </w:r>
      <w:r w:rsidRPr="002377C7">
        <w:rPr>
          <w:b/>
        </w:rPr>
        <w:t>.</w:t>
      </w:r>
      <w:r>
        <w:rPr>
          <w:b/>
          <w:i/>
          <w:iCs/>
        </w:rPr>
        <w:t xml:space="preserve"> </w:t>
      </w:r>
      <w:r w:rsidRPr="002377C7">
        <w:t>Sensitivity of Cell Density Predict</w:t>
      </w:r>
      <w:r w:rsidR="0062436C" w:rsidRPr="002377C7">
        <w:t>ion to</w:t>
      </w:r>
      <w:r w:rsidRPr="002377C7">
        <w:t xml:space="preserve"> </w:t>
      </w:r>
      <m:oMath>
        <m:sSub>
          <m:sSubPr>
            <m:ctrlPr>
              <w:rPr>
                <w:rFonts w:ascii="Cambria Math" w:hAnsi="Cambria Math"/>
                <w:lang w:val="en-GB"/>
              </w:rPr>
            </m:ctrlPr>
          </m:sSubPr>
          <m:e>
            <m:r>
              <w:rPr>
                <w:rFonts w:ascii="Cambria Math" w:hAnsi="Cambria Math"/>
              </w:rPr>
              <m:t>R</m:t>
            </m:r>
          </m:e>
          <m:sub>
            <m:r>
              <w:rPr>
                <w:rFonts w:ascii="Cambria Math" w:hAnsi="Cambria Math"/>
              </w:rPr>
              <m:t>c</m:t>
            </m:r>
          </m:sub>
        </m:sSub>
      </m:oMath>
    </w:p>
    <w:tbl>
      <w:tblPr>
        <w:tblStyle w:val="PlainTable1"/>
        <w:tblW w:w="9683" w:type="dxa"/>
        <w:jc w:val="center"/>
        <w:tblLook w:val="0420" w:firstRow="1" w:lastRow="0" w:firstColumn="0" w:lastColumn="0" w:noHBand="0" w:noVBand="1"/>
      </w:tblPr>
      <w:tblGrid>
        <w:gridCol w:w="3745"/>
        <w:gridCol w:w="3315"/>
        <w:gridCol w:w="2623"/>
      </w:tblGrid>
      <w:tr w:rsidR="00A96F3F" w:rsidRPr="0093335A" w14:paraId="3B7A9CF3" w14:textId="77777777" w:rsidTr="0062436C">
        <w:trPr>
          <w:cnfStyle w:val="100000000000" w:firstRow="1" w:lastRow="0" w:firstColumn="0" w:lastColumn="0" w:oddVBand="0" w:evenVBand="0" w:oddHBand="0" w:evenHBand="0" w:firstRowFirstColumn="0" w:firstRowLastColumn="0" w:lastRowFirstColumn="0" w:lastRowLastColumn="0"/>
          <w:trHeight w:val="1015"/>
          <w:jc w:val="center"/>
        </w:trPr>
        <w:tc>
          <w:tcPr>
            <w:tcW w:w="3745" w:type="dxa"/>
            <w:vAlign w:val="center"/>
          </w:tcPr>
          <w:p w14:paraId="355DACD8" w14:textId="445B5824" w:rsidR="00A96F3F" w:rsidRPr="00051656" w:rsidRDefault="00051656" w:rsidP="0062436C">
            <w:pPr>
              <w:jc w:val="center"/>
              <w:rPr>
                <w:lang w:val="en-GB"/>
              </w:rPr>
            </w:pPr>
            <w:r>
              <w:rPr>
                <w:lang w:val="en-GB"/>
              </w:rPr>
              <w:t>Magnitude</w:t>
            </w:r>
            <w:r w:rsidRPr="00051656">
              <w:rPr>
                <w:lang w:val="en-GB"/>
              </w:rPr>
              <w:t xml:space="preserve"> of </w:t>
            </w:r>
            <m:oMath>
              <m:sSub>
                <m:sSubPr>
                  <m:ctrlPr>
                    <w:rPr>
                      <w:rFonts w:ascii="Cambria Math" w:hAnsi="Cambria Math"/>
                      <w:i/>
                      <w:lang w:val="en-GB"/>
                    </w:rPr>
                  </m:ctrlPr>
                </m:sSubPr>
                <m:e>
                  <m:r>
                    <m:rPr>
                      <m:sty m:val="bi"/>
                    </m:rPr>
                    <w:rPr>
                      <w:rFonts w:ascii="Cambria Math" w:hAnsi="Cambria Math"/>
                      <w:lang w:val="en-GB"/>
                    </w:rPr>
                    <m:t>R</m:t>
                  </m:r>
                </m:e>
                <m:sub>
                  <m:r>
                    <m:rPr>
                      <m:sty m:val="bi"/>
                    </m:rPr>
                    <w:rPr>
                      <w:rFonts w:ascii="Cambria Math" w:hAnsi="Cambria Math"/>
                      <w:lang w:val="en-GB"/>
                    </w:rPr>
                    <m:t>c</m:t>
                  </m:r>
                </m:sub>
              </m:sSub>
            </m:oMath>
          </w:p>
        </w:tc>
        <w:tc>
          <w:tcPr>
            <w:tcW w:w="3315" w:type="dxa"/>
            <w:vAlign w:val="center"/>
          </w:tcPr>
          <w:p w14:paraId="65BCB654" w14:textId="789DE200" w:rsidR="00A96F3F" w:rsidRPr="00114F7E" w:rsidRDefault="00051656" w:rsidP="0062436C">
            <w:pPr>
              <w:jc w:val="center"/>
              <w:rPr>
                <w:lang w:val="en-GB"/>
              </w:rPr>
            </w:pPr>
            <w:r>
              <w:rPr>
                <w:lang w:val="en-GB"/>
              </w:rPr>
              <w:t>Predicted Day 3 Cell Density</w:t>
            </w:r>
          </w:p>
        </w:tc>
        <w:tc>
          <w:tcPr>
            <w:tcW w:w="2623" w:type="dxa"/>
            <w:vAlign w:val="center"/>
            <w:hideMark/>
          </w:tcPr>
          <w:p w14:paraId="13ABA8E2" w14:textId="313AF058" w:rsidR="00A96F3F" w:rsidRPr="00114F7E" w:rsidRDefault="00A96F3F" w:rsidP="0062436C">
            <w:pPr>
              <w:jc w:val="center"/>
              <w:rPr>
                <w:lang w:val="en-GB"/>
              </w:rPr>
            </w:pPr>
            <w:r w:rsidRPr="00114F7E">
              <w:rPr>
                <w:lang w:val="en-GB"/>
              </w:rPr>
              <w:t>Difference for Previou</w:t>
            </w:r>
            <w:r w:rsidRPr="00051656">
              <w:rPr>
                <w:lang w:val="en-GB"/>
              </w:rPr>
              <w:t xml:space="preserve">s </w:t>
            </w:r>
            <m:oMath>
              <m:sSub>
                <m:sSubPr>
                  <m:ctrlPr>
                    <w:rPr>
                      <w:rFonts w:ascii="Cambria Math" w:hAnsi="Cambria Math"/>
                      <w:i/>
                      <w:lang w:val="en-GB"/>
                    </w:rPr>
                  </m:ctrlPr>
                </m:sSubPr>
                <m:e>
                  <m:r>
                    <m:rPr>
                      <m:sty m:val="bi"/>
                    </m:rPr>
                    <w:rPr>
                      <w:rFonts w:ascii="Cambria Math" w:hAnsi="Cambria Math"/>
                      <w:lang w:val="en-GB"/>
                    </w:rPr>
                    <m:t>R</m:t>
                  </m:r>
                </m:e>
                <m:sub>
                  <m:r>
                    <m:rPr>
                      <m:sty m:val="bi"/>
                    </m:rPr>
                    <w:rPr>
                      <w:rFonts w:ascii="Cambria Math" w:hAnsi="Cambria Math"/>
                      <w:lang w:val="en-GB"/>
                    </w:rPr>
                    <m:t>c</m:t>
                  </m:r>
                </m:sub>
              </m:sSub>
            </m:oMath>
            <w:r w:rsidRPr="00051656">
              <w:rPr>
                <w:lang w:val="en-GB"/>
              </w:rPr>
              <w:t>Value</w:t>
            </w:r>
            <w:r w:rsidR="00051656">
              <w:rPr>
                <w:lang w:val="en-GB"/>
              </w:rPr>
              <w:t xml:space="preserve"> (%)</w:t>
            </w:r>
          </w:p>
        </w:tc>
      </w:tr>
      <w:tr w:rsidR="00A96F3F" w:rsidRPr="0093335A" w14:paraId="60829F7A" w14:textId="77777777" w:rsidTr="0062436C">
        <w:trPr>
          <w:cnfStyle w:val="000000100000" w:firstRow="0" w:lastRow="0" w:firstColumn="0" w:lastColumn="0" w:oddVBand="0" w:evenVBand="0" w:oddHBand="1" w:evenHBand="0" w:firstRowFirstColumn="0" w:firstRowLastColumn="0" w:lastRowFirstColumn="0" w:lastRowLastColumn="0"/>
          <w:trHeight w:val="509"/>
          <w:jc w:val="center"/>
        </w:trPr>
        <w:tc>
          <w:tcPr>
            <w:tcW w:w="3745" w:type="dxa"/>
            <w:vAlign w:val="center"/>
            <w:hideMark/>
          </w:tcPr>
          <w:p w14:paraId="273695D0" w14:textId="70404012" w:rsidR="00A96F3F" w:rsidRPr="00114F7E" w:rsidRDefault="00574990" w:rsidP="0062436C">
            <w:pPr>
              <w:jc w:val="center"/>
              <w:rPr>
                <w:lang w:val="en-GB"/>
              </w:rPr>
            </w:pP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r>
                <w:rPr>
                  <w:rFonts w:ascii="Cambria Math" w:hAnsi="Cambria Math"/>
                  <w:lang w:val="en-GB"/>
                </w:rPr>
                <m:t>=12.96</m:t>
              </m:r>
            </m:oMath>
            <w:r w:rsidR="0062436C">
              <w:rPr>
                <w:lang w:val="en-GB"/>
              </w:rPr>
              <w:t xml:space="preserve"> (iteration 1)</w:t>
            </w:r>
          </w:p>
        </w:tc>
        <w:tc>
          <w:tcPr>
            <w:tcW w:w="3315" w:type="dxa"/>
            <w:vAlign w:val="center"/>
            <w:hideMark/>
          </w:tcPr>
          <w:p w14:paraId="741E0EA5" w14:textId="2E5DEDE7" w:rsidR="00A96F3F" w:rsidRPr="00114F7E" w:rsidRDefault="00A96F3F" w:rsidP="0062436C">
            <w:pPr>
              <w:jc w:val="center"/>
              <w:rPr>
                <w:lang w:val="en-GB"/>
              </w:rPr>
            </w:pPr>
            <w:r w:rsidRPr="00114F7E">
              <w:rPr>
                <w:lang w:val="en-GB"/>
              </w:rPr>
              <w:t>608</w:t>
            </w:r>
          </w:p>
        </w:tc>
        <w:tc>
          <w:tcPr>
            <w:tcW w:w="2623" w:type="dxa"/>
            <w:vAlign w:val="center"/>
            <w:hideMark/>
          </w:tcPr>
          <w:p w14:paraId="4024D816" w14:textId="77777777" w:rsidR="00A96F3F" w:rsidRPr="00114F7E" w:rsidRDefault="00A96F3F" w:rsidP="0062436C">
            <w:pPr>
              <w:jc w:val="center"/>
              <w:rPr>
                <w:lang w:val="en-GB"/>
              </w:rPr>
            </w:pPr>
          </w:p>
        </w:tc>
      </w:tr>
      <w:tr w:rsidR="0062436C" w:rsidRPr="0093335A" w14:paraId="276A5EDD" w14:textId="77777777" w:rsidTr="0062436C">
        <w:trPr>
          <w:trHeight w:val="509"/>
          <w:jc w:val="center"/>
        </w:trPr>
        <w:tc>
          <w:tcPr>
            <w:tcW w:w="3745" w:type="dxa"/>
            <w:vAlign w:val="center"/>
            <w:hideMark/>
          </w:tcPr>
          <w:p w14:paraId="0E2D0335" w14:textId="6ACE20F6" w:rsidR="0062436C" w:rsidRPr="00114F7E" w:rsidRDefault="00574990" w:rsidP="0062436C">
            <w:pPr>
              <w:jc w:val="center"/>
              <w:rPr>
                <w:lang w:val="en-GB"/>
              </w:rPr>
            </w:pP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r>
                <w:rPr>
                  <w:rFonts w:ascii="Cambria Math" w:hAnsi="Cambria Math"/>
                  <w:lang w:val="en-GB"/>
                </w:rPr>
                <m:t>=12.96</m:t>
              </m:r>
            </m:oMath>
            <w:r w:rsidR="0062436C">
              <w:rPr>
                <w:lang w:val="en-GB"/>
              </w:rPr>
              <w:t xml:space="preserve"> (iteration 2)</w:t>
            </w:r>
          </w:p>
        </w:tc>
        <w:tc>
          <w:tcPr>
            <w:tcW w:w="3315" w:type="dxa"/>
            <w:vAlign w:val="center"/>
            <w:hideMark/>
          </w:tcPr>
          <w:p w14:paraId="6FE0D3B4" w14:textId="139650C6" w:rsidR="0062436C" w:rsidRPr="00114F7E" w:rsidRDefault="0062436C" w:rsidP="0062436C">
            <w:pPr>
              <w:jc w:val="center"/>
              <w:rPr>
                <w:lang w:val="en-GB"/>
              </w:rPr>
            </w:pPr>
            <w:r w:rsidRPr="00114F7E">
              <w:rPr>
                <w:lang w:val="en-GB"/>
              </w:rPr>
              <w:t>613</w:t>
            </w:r>
          </w:p>
        </w:tc>
        <w:tc>
          <w:tcPr>
            <w:tcW w:w="2623" w:type="dxa"/>
            <w:vAlign w:val="center"/>
            <w:hideMark/>
          </w:tcPr>
          <w:p w14:paraId="1F269D39" w14:textId="57E59EDB" w:rsidR="0062436C" w:rsidRPr="00114F7E" w:rsidRDefault="0062436C" w:rsidP="0062436C">
            <w:pPr>
              <w:jc w:val="center"/>
              <w:rPr>
                <w:lang w:val="en-GB"/>
              </w:rPr>
            </w:pPr>
            <w:r w:rsidRPr="0062436C">
              <w:rPr>
                <w:lang w:val="en-GB"/>
              </w:rPr>
              <w:t>0.82</w:t>
            </w:r>
          </w:p>
        </w:tc>
      </w:tr>
      <w:tr w:rsidR="0062436C" w:rsidRPr="0093335A" w14:paraId="24A62DAC" w14:textId="77777777" w:rsidTr="0062436C">
        <w:trPr>
          <w:cnfStyle w:val="000000100000" w:firstRow="0" w:lastRow="0" w:firstColumn="0" w:lastColumn="0" w:oddVBand="0" w:evenVBand="0" w:oddHBand="1" w:evenHBand="0" w:firstRowFirstColumn="0" w:firstRowLastColumn="0" w:lastRowFirstColumn="0" w:lastRowLastColumn="0"/>
          <w:trHeight w:val="412"/>
          <w:jc w:val="center"/>
        </w:trPr>
        <w:tc>
          <w:tcPr>
            <w:tcW w:w="3745" w:type="dxa"/>
            <w:vAlign w:val="center"/>
            <w:hideMark/>
          </w:tcPr>
          <w:p w14:paraId="36C5FEE1" w14:textId="6F420B0A" w:rsidR="0062436C" w:rsidRPr="00114F7E" w:rsidRDefault="00574990" w:rsidP="0062436C">
            <w:pPr>
              <w:jc w:val="center"/>
              <w:rPr>
                <w:lang w:val="en-GB"/>
              </w:rPr>
            </w:pPr>
            <m:oMathPara>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r>
                  <w:rPr>
                    <w:rFonts w:ascii="Cambria Math" w:hAnsi="Cambria Math"/>
                    <w:lang w:val="en-GB"/>
                  </w:rPr>
                  <m:t>x10</m:t>
                </m:r>
              </m:oMath>
            </m:oMathPara>
          </w:p>
        </w:tc>
        <w:tc>
          <w:tcPr>
            <w:tcW w:w="3315" w:type="dxa"/>
            <w:vAlign w:val="center"/>
            <w:hideMark/>
          </w:tcPr>
          <w:p w14:paraId="64CFD939" w14:textId="77777777" w:rsidR="0062436C" w:rsidRPr="00114F7E" w:rsidRDefault="0062436C" w:rsidP="0062436C">
            <w:pPr>
              <w:jc w:val="center"/>
              <w:rPr>
                <w:lang w:val="en-GB"/>
              </w:rPr>
            </w:pPr>
            <w:r w:rsidRPr="00114F7E">
              <w:rPr>
                <w:lang w:val="en-GB"/>
              </w:rPr>
              <w:t>171</w:t>
            </w:r>
          </w:p>
        </w:tc>
        <w:tc>
          <w:tcPr>
            <w:tcW w:w="2623" w:type="dxa"/>
            <w:vAlign w:val="center"/>
            <w:hideMark/>
          </w:tcPr>
          <w:p w14:paraId="14CD5798" w14:textId="2E5D3835" w:rsidR="0062436C" w:rsidRPr="00114F7E" w:rsidRDefault="0062436C" w:rsidP="0062436C">
            <w:pPr>
              <w:jc w:val="center"/>
              <w:rPr>
                <w:lang w:val="en-GB"/>
              </w:rPr>
            </w:pPr>
            <w:r w:rsidRPr="0062436C">
              <w:rPr>
                <w:lang w:val="en-GB"/>
              </w:rPr>
              <w:t>-72.10</w:t>
            </w:r>
          </w:p>
        </w:tc>
      </w:tr>
      <w:tr w:rsidR="0062436C" w:rsidRPr="0093335A" w14:paraId="66F3D918" w14:textId="77777777" w:rsidTr="0062436C">
        <w:trPr>
          <w:trHeight w:val="412"/>
          <w:jc w:val="center"/>
        </w:trPr>
        <w:tc>
          <w:tcPr>
            <w:tcW w:w="3745" w:type="dxa"/>
            <w:vAlign w:val="center"/>
            <w:hideMark/>
          </w:tcPr>
          <w:p w14:paraId="1632F5F4" w14:textId="53C56A5C" w:rsidR="0062436C" w:rsidRPr="00114F7E" w:rsidRDefault="00574990" w:rsidP="0062436C">
            <w:pPr>
              <w:jc w:val="center"/>
              <w:rPr>
                <w:lang w:val="en-GB"/>
              </w:rPr>
            </w:pPr>
            <m:oMathPara>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r>
                  <w:rPr>
                    <w:rFonts w:ascii="Cambria Math" w:hAnsi="Cambria Math"/>
                    <w:lang w:val="en-GB"/>
                  </w:rPr>
                  <m:t>x2</m:t>
                </m:r>
              </m:oMath>
            </m:oMathPara>
          </w:p>
        </w:tc>
        <w:tc>
          <w:tcPr>
            <w:tcW w:w="3315" w:type="dxa"/>
            <w:vAlign w:val="center"/>
            <w:hideMark/>
          </w:tcPr>
          <w:p w14:paraId="3C125CA5" w14:textId="77777777" w:rsidR="0062436C" w:rsidRPr="00114F7E" w:rsidRDefault="0062436C" w:rsidP="0062436C">
            <w:pPr>
              <w:jc w:val="center"/>
              <w:rPr>
                <w:lang w:val="en-GB"/>
              </w:rPr>
            </w:pPr>
            <w:r w:rsidRPr="00114F7E">
              <w:rPr>
                <w:lang w:val="en-GB"/>
              </w:rPr>
              <w:t>228</w:t>
            </w:r>
          </w:p>
        </w:tc>
        <w:tc>
          <w:tcPr>
            <w:tcW w:w="2623" w:type="dxa"/>
            <w:vAlign w:val="center"/>
            <w:hideMark/>
          </w:tcPr>
          <w:p w14:paraId="2778F8F7" w14:textId="09D8DAEE" w:rsidR="0062436C" w:rsidRPr="00114F7E" w:rsidRDefault="0062436C" w:rsidP="0062436C">
            <w:pPr>
              <w:jc w:val="center"/>
              <w:rPr>
                <w:lang w:val="en-GB"/>
              </w:rPr>
            </w:pPr>
            <w:r w:rsidRPr="0062436C">
              <w:rPr>
                <w:lang w:val="en-GB"/>
              </w:rPr>
              <w:t>33.33</w:t>
            </w:r>
          </w:p>
        </w:tc>
      </w:tr>
      <w:tr w:rsidR="0062436C" w:rsidRPr="0093335A" w14:paraId="29CDD8AD" w14:textId="77777777" w:rsidTr="0062436C">
        <w:trPr>
          <w:cnfStyle w:val="000000100000" w:firstRow="0" w:lastRow="0" w:firstColumn="0" w:lastColumn="0" w:oddVBand="0" w:evenVBand="0" w:oddHBand="1" w:evenHBand="0" w:firstRowFirstColumn="0" w:firstRowLastColumn="0" w:lastRowFirstColumn="0" w:lastRowLastColumn="0"/>
          <w:trHeight w:val="441"/>
          <w:jc w:val="center"/>
        </w:trPr>
        <w:tc>
          <w:tcPr>
            <w:tcW w:w="3745" w:type="dxa"/>
            <w:vAlign w:val="center"/>
            <w:hideMark/>
          </w:tcPr>
          <w:p w14:paraId="33DC64DB" w14:textId="63FF49F7" w:rsidR="0062436C" w:rsidRPr="00114F7E" w:rsidRDefault="00574990" w:rsidP="0062436C">
            <w:pPr>
              <w:jc w:val="center"/>
              <w:rPr>
                <w:lang w:val="en-GB"/>
              </w:rPr>
            </w:pPr>
            <m:oMathPara>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r>
                  <w:rPr>
                    <w:rFonts w:ascii="Cambria Math" w:hAnsi="Cambria Math"/>
                    <w:lang w:val="en-GB"/>
                  </w:rPr>
                  <m:t>x1.5</m:t>
                </m:r>
              </m:oMath>
            </m:oMathPara>
          </w:p>
        </w:tc>
        <w:tc>
          <w:tcPr>
            <w:tcW w:w="3315" w:type="dxa"/>
            <w:vAlign w:val="center"/>
            <w:hideMark/>
          </w:tcPr>
          <w:p w14:paraId="2915F80E" w14:textId="77777777" w:rsidR="0062436C" w:rsidRPr="00114F7E" w:rsidRDefault="0062436C" w:rsidP="0062436C">
            <w:pPr>
              <w:jc w:val="center"/>
              <w:rPr>
                <w:lang w:val="en-GB"/>
              </w:rPr>
            </w:pPr>
            <w:r w:rsidRPr="00114F7E">
              <w:rPr>
                <w:lang w:val="en-GB"/>
              </w:rPr>
              <w:t>341</w:t>
            </w:r>
          </w:p>
        </w:tc>
        <w:tc>
          <w:tcPr>
            <w:tcW w:w="2623" w:type="dxa"/>
            <w:vAlign w:val="center"/>
            <w:hideMark/>
          </w:tcPr>
          <w:p w14:paraId="4ADA0A66" w14:textId="21925536" w:rsidR="0062436C" w:rsidRPr="00114F7E" w:rsidRDefault="0062436C" w:rsidP="0062436C">
            <w:pPr>
              <w:jc w:val="center"/>
              <w:rPr>
                <w:lang w:val="en-GB"/>
              </w:rPr>
            </w:pPr>
            <w:r w:rsidRPr="0062436C">
              <w:rPr>
                <w:lang w:val="en-GB"/>
              </w:rPr>
              <w:t>49.56</w:t>
            </w:r>
          </w:p>
        </w:tc>
      </w:tr>
      <w:tr w:rsidR="0062436C" w:rsidRPr="0093335A" w14:paraId="68884A11" w14:textId="77777777" w:rsidTr="0062436C">
        <w:trPr>
          <w:trHeight w:val="412"/>
          <w:jc w:val="center"/>
        </w:trPr>
        <w:tc>
          <w:tcPr>
            <w:tcW w:w="3745" w:type="dxa"/>
            <w:vAlign w:val="center"/>
            <w:hideMark/>
          </w:tcPr>
          <w:p w14:paraId="58FE34B8" w14:textId="02CC803E" w:rsidR="0062436C" w:rsidRPr="00114F7E" w:rsidRDefault="00574990" w:rsidP="0062436C">
            <w:pPr>
              <w:jc w:val="center"/>
              <w:rPr>
                <w:lang w:val="en-GB"/>
              </w:rPr>
            </w:pPr>
            <m:oMathPara>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r>
                  <w:rPr>
                    <w:rFonts w:ascii="Cambria Math" w:hAnsi="Cambria Math"/>
                    <w:lang w:val="en-GB"/>
                  </w:rPr>
                  <m:t>x1.2</m:t>
                </m:r>
              </m:oMath>
            </m:oMathPara>
          </w:p>
        </w:tc>
        <w:tc>
          <w:tcPr>
            <w:tcW w:w="3315" w:type="dxa"/>
            <w:vAlign w:val="center"/>
            <w:hideMark/>
          </w:tcPr>
          <w:p w14:paraId="2B3968D0" w14:textId="77777777" w:rsidR="0062436C" w:rsidRPr="00114F7E" w:rsidRDefault="0062436C" w:rsidP="0062436C">
            <w:pPr>
              <w:jc w:val="center"/>
              <w:rPr>
                <w:lang w:val="en-GB"/>
              </w:rPr>
            </w:pPr>
            <w:r w:rsidRPr="00114F7E">
              <w:rPr>
                <w:lang w:val="en-GB"/>
              </w:rPr>
              <w:t>478</w:t>
            </w:r>
          </w:p>
        </w:tc>
        <w:tc>
          <w:tcPr>
            <w:tcW w:w="2623" w:type="dxa"/>
            <w:vAlign w:val="center"/>
            <w:hideMark/>
          </w:tcPr>
          <w:p w14:paraId="5476B19A" w14:textId="57A5238B" w:rsidR="0062436C" w:rsidRPr="00114F7E" w:rsidRDefault="0062436C" w:rsidP="0062436C">
            <w:pPr>
              <w:jc w:val="center"/>
              <w:rPr>
                <w:lang w:val="en-GB"/>
              </w:rPr>
            </w:pPr>
            <w:r w:rsidRPr="0062436C">
              <w:rPr>
                <w:lang w:val="en-GB"/>
              </w:rPr>
              <w:t>40.18</w:t>
            </w:r>
          </w:p>
        </w:tc>
      </w:tr>
      <w:tr w:rsidR="0062436C" w:rsidRPr="0093335A" w14:paraId="24FECB13" w14:textId="77777777" w:rsidTr="0062436C">
        <w:trPr>
          <w:cnfStyle w:val="000000100000" w:firstRow="0" w:lastRow="0" w:firstColumn="0" w:lastColumn="0" w:oddVBand="0" w:evenVBand="0" w:oddHBand="1" w:evenHBand="0" w:firstRowFirstColumn="0" w:firstRowLastColumn="0" w:lastRowFirstColumn="0" w:lastRowLastColumn="0"/>
          <w:trHeight w:val="412"/>
          <w:jc w:val="center"/>
        </w:trPr>
        <w:tc>
          <w:tcPr>
            <w:tcW w:w="3745" w:type="dxa"/>
            <w:vAlign w:val="center"/>
            <w:hideMark/>
          </w:tcPr>
          <w:p w14:paraId="4F8E684F" w14:textId="16EFA653" w:rsidR="0062436C" w:rsidRPr="00114F7E" w:rsidRDefault="00574990" w:rsidP="0062436C">
            <w:pPr>
              <w:jc w:val="center"/>
              <w:rPr>
                <w:lang w:val="en-GB"/>
              </w:rPr>
            </w:pPr>
            <m:oMathPara>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r>
                  <w:rPr>
                    <w:rFonts w:ascii="Cambria Math" w:hAnsi="Cambria Math"/>
                    <w:lang w:val="en-GB"/>
                  </w:rPr>
                  <m:t>x0.5</m:t>
                </m:r>
              </m:oMath>
            </m:oMathPara>
          </w:p>
        </w:tc>
        <w:tc>
          <w:tcPr>
            <w:tcW w:w="3315" w:type="dxa"/>
            <w:vAlign w:val="center"/>
            <w:hideMark/>
          </w:tcPr>
          <w:p w14:paraId="25447B63" w14:textId="77777777" w:rsidR="0062436C" w:rsidRPr="00114F7E" w:rsidRDefault="0062436C" w:rsidP="0062436C">
            <w:pPr>
              <w:jc w:val="center"/>
              <w:rPr>
                <w:lang w:val="en-GB"/>
              </w:rPr>
            </w:pPr>
            <w:r w:rsidRPr="00114F7E">
              <w:rPr>
                <w:lang w:val="en-GB"/>
              </w:rPr>
              <w:t>947</w:t>
            </w:r>
          </w:p>
        </w:tc>
        <w:tc>
          <w:tcPr>
            <w:tcW w:w="2623" w:type="dxa"/>
            <w:vAlign w:val="center"/>
            <w:hideMark/>
          </w:tcPr>
          <w:p w14:paraId="4F3E52E4" w14:textId="52413C87" w:rsidR="0062436C" w:rsidRPr="00114F7E" w:rsidRDefault="0062436C" w:rsidP="0062436C">
            <w:pPr>
              <w:jc w:val="center"/>
              <w:rPr>
                <w:lang w:val="en-GB"/>
              </w:rPr>
            </w:pPr>
            <w:r w:rsidRPr="0062436C">
              <w:rPr>
                <w:lang w:val="en-GB"/>
              </w:rPr>
              <w:t>98.12</w:t>
            </w:r>
          </w:p>
        </w:tc>
      </w:tr>
      <w:tr w:rsidR="0062436C" w:rsidRPr="0093335A" w14:paraId="4E397397" w14:textId="77777777" w:rsidTr="0062436C">
        <w:trPr>
          <w:trHeight w:val="412"/>
          <w:jc w:val="center"/>
        </w:trPr>
        <w:tc>
          <w:tcPr>
            <w:tcW w:w="3745" w:type="dxa"/>
            <w:vAlign w:val="center"/>
            <w:hideMark/>
          </w:tcPr>
          <w:p w14:paraId="5DC14E00" w14:textId="357CFC81" w:rsidR="0062436C" w:rsidRPr="00114F7E" w:rsidRDefault="00574990" w:rsidP="0062436C">
            <w:pPr>
              <w:jc w:val="center"/>
              <w:rPr>
                <w:lang w:val="en-GB"/>
              </w:rPr>
            </w:pPr>
            <m:oMathPara>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r>
                  <w:rPr>
                    <w:rFonts w:ascii="Cambria Math" w:hAnsi="Cambria Math"/>
                    <w:lang w:val="en-GB"/>
                  </w:rPr>
                  <m:t>x0.1</m:t>
                </m:r>
              </m:oMath>
            </m:oMathPara>
          </w:p>
        </w:tc>
        <w:tc>
          <w:tcPr>
            <w:tcW w:w="3315" w:type="dxa"/>
            <w:vAlign w:val="center"/>
            <w:hideMark/>
          </w:tcPr>
          <w:p w14:paraId="5BDA3562" w14:textId="77777777" w:rsidR="0062436C" w:rsidRPr="00114F7E" w:rsidRDefault="0062436C" w:rsidP="0062436C">
            <w:pPr>
              <w:jc w:val="center"/>
              <w:rPr>
                <w:lang w:val="en-GB"/>
              </w:rPr>
            </w:pPr>
            <w:r w:rsidRPr="00114F7E">
              <w:rPr>
                <w:lang w:val="en-GB"/>
              </w:rPr>
              <w:t>972</w:t>
            </w:r>
          </w:p>
        </w:tc>
        <w:tc>
          <w:tcPr>
            <w:tcW w:w="2623" w:type="dxa"/>
            <w:vAlign w:val="center"/>
            <w:hideMark/>
          </w:tcPr>
          <w:p w14:paraId="5D3ED335" w14:textId="653B66E8" w:rsidR="0062436C" w:rsidRPr="00114F7E" w:rsidRDefault="0062436C" w:rsidP="0062436C">
            <w:pPr>
              <w:jc w:val="center"/>
              <w:rPr>
                <w:lang w:val="en-GB"/>
              </w:rPr>
            </w:pPr>
            <w:r w:rsidRPr="0062436C">
              <w:rPr>
                <w:lang w:val="en-GB"/>
              </w:rPr>
              <w:t>2.64</w:t>
            </w:r>
          </w:p>
        </w:tc>
      </w:tr>
      <w:tr w:rsidR="0062436C" w:rsidRPr="0093335A" w14:paraId="2DB2EFAC" w14:textId="77777777" w:rsidTr="0062436C">
        <w:trPr>
          <w:cnfStyle w:val="000000100000" w:firstRow="0" w:lastRow="0" w:firstColumn="0" w:lastColumn="0" w:oddVBand="0" w:evenVBand="0" w:oddHBand="1" w:evenHBand="0" w:firstRowFirstColumn="0" w:firstRowLastColumn="0" w:lastRowFirstColumn="0" w:lastRowLastColumn="0"/>
          <w:trHeight w:val="412"/>
          <w:jc w:val="center"/>
        </w:trPr>
        <w:tc>
          <w:tcPr>
            <w:tcW w:w="3745" w:type="dxa"/>
            <w:vAlign w:val="center"/>
            <w:hideMark/>
          </w:tcPr>
          <w:p w14:paraId="0D1451CF" w14:textId="4CF38688" w:rsidR="0062436C" w:rsidRPr="00114F7E" w:rsidRDefault="00574990" w:rsidP="0062436C">
            <w:pPr>
              <w:jc w:val="center"/>
              <w:rPr>
                <w:lang w:val="en-GB"/>
              </w:rPr>
            </w:pPr>
            <m:oMathPara>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r>
                  <w:rPr>
                    <w:rFonts w:ascii="Cambria Math" w:hAnsi="Cambria Math"/>
                    <w:lang w:val="en-GB"/>
                  </w:rPr>
                  <m:t>x0.05</m:t>
                </m:r>
              </m:oMath>
            </m:oMathPara>
          </w:p>
        </w:tc>
        <w:tc>
          <w:tcPr>
            <w:tcW w:w="3315" w:type="dxa"/>
            <w:vAlign w:val="center"/>
            <w:hideMark/>
          </w:tcPr>
          <w:p w14:paraId="5F931F87" w14:textId="77777777" w:rsidR="0062436C" w:rsidRPr="00114F7E" w:rsidRDefault="0062436C" w:rsidP="0062436C">
            <w:pPr>
              <w:jc w:val="center"/>
              <w:rPr>
                <w:lang w:val="en-GB"/>
              </w:rPr>
            </w:pPr>
            <w:r w:rsidRPr="00114F7E">
              <w:rPr>
                <w:lang w:val="en-GB"/>
              </w:rPr>
              <w:t>966</w:t>
            </w:r>
          </w:p>
        </w:tc>
        <w:tc>
          <w:tcPr>
            <w:tcW w:w="2623" w:type="dxa"/>
            <w:vAlign w:val="center"/>
            <w:hideMark/>
          </w:tcPr>
          <w:p w14:paraId="2A2D7A20" w14:textId="7D023016" w:rsidR="0062436C" w:rsidRPr="00114F7E" w:rsidRDefault="0062436C" w:rsidP="0062436C">
            <w:pPr>
              <w:jc w:val="center"/>
              <w:rPr>
                <w:lang w:val="en-GB"/>
              </w:rPr>
            </w:pPr>
            <w:r w:rsidRPr="0062436C">
              <w:rPr>
                <w:lang w:val="en-GB"/>
              </w:rPr>
              <w:t>-0.62</w:t>
            </w:r>
          </w:p>
        </w:tc>
      </w:tr>
      <w:tr w:rsidR="0062436C" w:rsidRPr="0093335A" w14:paraId="1209B97B" w14:textId="77777777" w:rsidTr="0062436C">
        <w:trPr>
          <w:trHeight w:val="412"/>
          <w:jc w:val="center"/>
        </w:trPr>
        <w:tc>
          <w:tcPr>
            <w:tcW w:w="3745" w:type="dxa"/>
            <w:vAlign w:val="center"/>
            <w:hideMark/>
          </w:tcPr>
          <w:p w14:paraId="44A16F5A" w14:textId="555F880F" w:rsidR="0062436C" w:rsidRPr="00114F7E" w:rsidRDefault="00574990" w:rsidP="0062436C">
            <w:pPr>
              <w:jc w:val="center"/>
              <w:rPr>
                <w:lang w:val="en-GB"/>
              </w:rPr>
            </w:pPr>
            <m:oMathPara>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r>
                  <w:rPr>
                    <w:rFonts w:ascii="Cambria Math" w:hAnsi="Cambria Math"/>
                    <w:lang w:val="en-GB"/>
                  </w:rPr>
                  <m:t>x0.03</m:t>
                </m:r>
              </m:oMath>
            </m:oMathPara>
          </w:p>
        </w:tc>
        <w:tc>
          <w:tcPr>
            <w:tcW w:w="3315" w:type="dxa"/>
            <w:vAlign w:val="center"/>
            <w:hideMark/>
          </w:tcPr>
          <w:p w14:paraId="0039AFAF" w14:textId="30C416A4" w:rsidR="0062436C" w:rsidRPr="00114F7E" w:rsidRDefault="0062436C" w:rsidP="0062436C">
            <w:pPr>
              <w:jc w:val="center"/>
              <w:rPr>
                <w:lang w:val="en-GB"/>
              </w:rPr>
            </w:pPr>
            <w:r>
              <w:rPr>
                <w:lang w:val="en-GB"/>
              </w:rPr>
              <w:t>1014</w:t>
            </w:r>
          </w:p>
        </w:tc>
        <w:tc>
          <w:tcPr>
            <w:tcW w:w="2623" w:type="dxa"/>
            <w:vAlign w:val="center"/>
            <w:hideMark/>
          </w:tcPr>
          <w:p w14:paraId="401573D6" w14:textId="6D47B4BD" w:rsidR="0062436C" w:rsidRPr="00114F7E" w:rsidRDefault="0062436C" w:rsidP="0062436C">
            <w:pPr>
              <w:jc w:val="center"/>
              <w:rPr>
                <w:lang w:val="en-GB"/>
              </w:rPr>
            </w:pPr>
            <w:r w:rsidRPr="0062436C">
              <w:rPr>
                <w:lang w:val="en-GB"/>
              </w:rPr>
              <w:t>4.97</w:t>
            </w:r>
          </w:p>
        </w:tc>
      </w:tr>
      <w:tr w:rsidR="0062436C" w:rsidRPr="0093335A" w14:paraId="31429A39" w14:textId="77777777" w:rsidTr="0062436C">
        <w:trPr>
          <w:cnfStyle w:val="000000100000" w:firstRow="0" w:lastRow="0" w:firstColumn="0" w:lastColumn="0" w:oddVBand="0" w:evenVBand="0" w:oddHBand="1" w:evenHBand="0" w:firstRowFirstColumn="0" w:firstRowLastColumn="0" w:lastRowFirstColumn="0" w:lastRowLastColumn="0"/>
          <w:trHeight w:val="412"/>
          <w:jc w:val="center"/>
        </w:trPr>
        <w:tc>
          <w:tcPr>
            <w:tcW w:w="3745" w:type="dxa"/>
            <w:vAlign w:val="center"/>
            <w:hideMark/>
          </w:tcPr>
          <w:p w14:paraId="1A1D524B" w14:textId="0F128AB2" w:rsidR="0062436C" w:rsidRPr="00114F7E" w:rsidRDefault="00574990" w:rsidP="0062436C">
            <w:pPr>
              <w:jc w:val="center"/>
              <w:rPr>
                <w:lang w:val="en-GB"/>
              </w:rPr>
            </w:pPr>
            <m:oMathPara>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r>
                  <w:rPr>
                    <w:rFonts w:ascii="Cambria Math" w:hAnsi="Cambria Math"/>
                    <w:lang w:val="en-GB"/>
                  </w:rPr>
                  <m:t>x0.02</m:t>
                </m:r>
              </m:oMath>
            </m:oMathPara>
          </w:p>
        </w:tc>
        <w:tc>
          <w:tcPr>
            <w:tcW w:w="3315" w:type="dxa"/>
            <w:vAlign w:val="center"/>
            <w:hideMark/>
          </w:tcPr>
          <w:p w14:paraId="71EAB9F8" w14:textId="6DA57142" w:rsidR="0062436C" w:rsidRPr="00114F7E" w:rsidRDefault="0062436C" w:rsidP="0062436C">
            <w:pPr>
              <w:jc w:val="center"/>
              <w:rPr>
                <w:lang w:val="en-GB"/>
              </w:rPr>
            </w:pPr>
            <w:r>
              <w:rPr>
                <w:lang w:val="en-GB"/>
              </w:rPr>
              <w:t>1006</w:t>
            </w:r>
          </w:p>
        </w:tc>
        <w:tc>
          <w:tcPr>
            <w:tcW w:w="2623" w:type="dxa"/>
            <w:vAlign w:val="center"/>
            <w:hideMark/>
          </w:tcPr>
          <w:p w14:paraId="54ED5E2C" w14:textId="235F3BB0" w:rsidR="0062436C" w:rsidRPr="00114F7E" w:rsidRDefault="0062436C" w:rsidP="0062436C">
            <w:pPr>
              <w:jc w:val="center"/>
              <w:rPr>
                <w:lang w:val="en-GB"/>
              </w:rPr>
            </w:pPr>
            <w:r w:rsidRPr="0062436C">
              <w:rPr>
                <w:lang w:val="en-GB"/>
              </w:rPr>
              <w:t>-0.79</w:t>
            </w:r>
          </w:p>
        </w:tc>
      </w:tr>
      <w:tr w:rsidR="0062436C" w:rsidRPr="0093335A" w14:paraId="22C312C5" w14:textId="77777777" w:rsidTr="0062436C">
        <w:trPr>
          <w:trHeight w:val="657"/>
          <w:jc w:val="center"/>
        </w:trPr>
        <w:tc>
          <w:tcPr>
            <w:tcW w:w="3745" w:type="dxa"/>
            <w:vAlign w:val="center"/>
            <w:hideMark/>
          </w:tcPr>
          <w:p w14:paraId="6323472F" w14:textId="63856221" w:rsidR="0062436C" w:rsidRPr="00114F7E" w:rsidRDefault="00574990" w:rsidP="0062436C">
            <w:pPr>
              <w:jc w:val="center"/>
              <w:rPr>
                <w:lang w:val="en-GB"/>
              </w:rPr>
            </w:pPr>
            <m:oMathPara>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r>
                  <w:rPr>
                    <w:rFonts w:ascii="Cambria Math" w:hAnsi="Cambria Math"/>
                    <w:lang w:val="en-GB"/>
                  </w:rPr>
                  <m:t>x0.01</m:t>
                </m:r>
              </m:oMath>
            </m:oMathPara>
          </w:p>
        </w:tc>
        <w:tc>
          <w:tcPr>
            <w:tcW w:w="3315" w:type="dxa"/>
            <w:vAlign w:val="center"/>
            <w:hideMark/>
          </w:tcPr>
          <w:p w14:paraId="5B6EC50B" w14:textId="7EF6EF74" w:rsidR="0062436C" w:rsidRPr="00114F7E" w:rsidRDefault="0062436C" w:rsidP="0062436C">
            <w:pPr>
              <w:jc w:val="center"/>
              <w:rPr>
                <w:lang w:val="en-GB"/>
              </w:rPr>
            </w:pPr>
            <w:r>
              <w:rPr>
                <w:lang w:val="en-GB"/>
              </w:rPr>
              <w:t>1002</w:t>
            </w:r>
          </w:p>
        </w:tc>
        <w:tc>
          <w:tcPr>
            <w:tcW w:w="2623" w:type="dxa"/>
            <w:vAlign w:val="center"/>
            <w:hideMark/>
          </w:tcPr>
          <w:p w14:paraId="438A1136" w14:textId="62184447" w:rsidR="0062436C" w:rsidRPr="00114F7E" w:rsidRDefault="0062436C" w:rsidP="0062436C">
            <w:pPr>
              <w:jc w:val="center"/>
              <w:rPr>
                <w:lang w:val="en-GB"/>
              </w:rPr>
            </w:pPr>
            <w:r w:rsidRPr="0062436C">
              <w:rPr>
                <w:lang w:val="en-GB"/>
              </w:rPr>
              <w:t>-0.40</w:t>
            </w:r>
          </w:p>
        </w:tc>
      </w:tr>
      <w:tr w:rsidR="0062436C" w:rsidRPr="0093335A" w14:paraId="79FE01A7" w14:textId="77777777" w:rsidTr="0062436C">
        <w:trPr>
          <w:cnfStyle w:val="000000100000" w:firstRow="0" w:lastRow="0" w:firstColumn="0" w:lastColumn="0" w:oddVBand="0" w:evenVBand="0" w:oddHBand="1" w:evenHBand="0" w:firstRowFirstColumn="0" w:firstRowLastColumn="0" w:lastRowFirstColumn="0" w:lastRowLastColumn="0"/>
          <w:trHeight w:val="657"/>
          <w:jc w:val="center"/>
        </w:trPr>
        <w:tc>
          <w:tcPr>
            <w:tcW w:w="3745" w:type="dxa"/>
            <w:vAlign w:val="center"/>
            <w:hideMark/>
          </w:tcPr>
          <w:p w14:paraId="30B3D45A" w14:textId="772F0FFD" w:rsidR="0062436C" w:rsidRPr="00114F7E" w:rsidRDefault="00574990" w:rsidP="0062436C">
            <w:pPr>
              <w:jc w:val="center"/>
              <w:rPr>
                <w:lang w:val="en-GB"/>
              </w:rPr>
            </w:pPr>
            <m:oMathPara>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r>
                  <w:rPr>
                    <w:rFonts w:ascii="Cambria Math" w:hAnsi="Cambria Math"/>
                    <w:lang w:val="en-GB"/>
                  </w:rPr>
                  <m:t>x0.001</m:t>
                </m:r>
              </m:oMath>
            </m:oMathPara>
          </w:p>
        </w:tc>
        <w:tc>
          <w:tcPr>
            <w:tcW w:w="3315" w:type="dxa"/>
            <w:vAlign w:val="center"/>
            <w:hideMark/>
          </w:tcPr>
          <w:p w14:paraId="7DE650CA" w14:textId="624D265B" w:rsidR="0062436C" w:rsidRPr="00114F7E" w:rsidRDefault="0062436C" w:rsidP="0062436C">
            <w:pPr>
              <w:jc w:val="center"/>
              <w:rPr>
                <w:lang w:val="en-GB"/>
              </w:rPr>
            </w:pPr>
            <w:r>
              <w:rPr>
                <w:lang w:val="en-GB"/>
              </w:rPr>
              <w:t>1016</w:t>
            </w:r>
          </w:p>
        </w:tc>
        <w:tc>
          <w:tcPr>
            <w:tcW w:w="2623" w:type="dxa"/>
            <w:vAlign w:val="center"/>
            <w:hideMark/>
          </w:tcPr>
          <w:p w14:paraId="07B65C42" w14:textId="1B8B195F" w:rsidR="0062436C" w:rsidRPr="00114F7E" w:rsidRDefault="0062436C" w:rsidP="0062436C">
            <w:pPr>
              <w:jc w:val="center"/>
              <w:rPr>
                <w:lang w:val="en-GB"/>
              </w:rPr>
            </w:pPr>
            <w:r w:rsidRPr="0062436C">
              <w:rPr>
                <w:lang w:val="en-GB"/>
              </w:rPr>
              <w:t>1.40</w:t>
            </w:r>
          </w:p>
        </w:tc>
      </w:tr>
    </w:tbl>
    <w:p w14:paraId="20924DEB" w14:textId="569FF4B9" w:rsidR="00A96F3F" w:rsidRDefault="00A96F3F" w:rsidP="00A96F3F"/>
    <w:p w14:paraId="1DD6AD0A" w14:textId="0AE29916" w:rsidR="00D06F9D" w:rsidRPr="002377C7" w:rsidRDefault="00D06F9D" w:rsidP="00D06F9D">
      <w:pPr>
        <w:pStyle w:val="Heading1"/>
        <w:numPr>
          <w:ilvl w:val="0"/>
          <w:numId w:val="1"/>
        </w:numPr>
        <w:tabs>
          <w:tab w:val="num" w:pos="567"/>
        </w:tabs>
        <w:ind w:left="567" w:hanging="567"/>
      </w:pPr>
      <w:r>
        <w:t xml:space="preserve">Influence of </w:t>
      </w:r>
      <w:r w:rsidR="00DD2869">
        <w:t>Dispersion,</w:t>
      </w:r>
      <w:r>
        <w:t xml:space="preserve"> </w:t>
      </w:r>
      <w:r w:rsidR="00DD2869" w:rsidRPr="003C694E">
        <w:t>κ</w:t>
      </w:r>
      <w:r w:rsidR="00DD2869">
        <w:t>, on Generated Fibre Distribution</w:t>
      </w:r>
    </w:p>
    <w:p w14:paraId="2A92468D" w14:textId="77777777" w:rsidR="00D06F9D" w:rsidRDefault="00D06F9D" w:rsidP="00D06F9D">
      <w:pPr>
        <w:keepNext/>
      </w:pPr>
      <w:r>
        <w:rPr>
          <w:noProof/>
        </w:rPr>
        <w:drawing>
          <wp:inline distT="0" distB="0" distL="0" distR="0" wp14:anchorId="2689787A" wp14:editId="0FE2629A">
            <wp:extent cx="5731510" cy="1445895"/>
            <wp:effectExtent l="0" t="0" r="254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a:extLst>
                        <a:ext uri="{28A0092B-C50C-407E-A947-70E740481C1C}">
                          <a14:useLocalDpi xmlns:a14="http://schemas.microsoft.com/office/drawing/2010/main" val="0"/>
                        </a:ext>
                      </a:extLst>
                    </a:blip>
                    <a:stretch>
                      <a:fillRect/>
                    </a:stretch>
                  </pic:blipFill>
                  <pic:spPr>
                    <a:xfrm>
                      <a:off x="0" y="0"/>
                      <a:ext cx="5731510" cy="1445895"/>
                    </a:xfrm>
                    <a:prstGeom prst="rect">
                      <a:avLst/>
                    </a:prstGeom>
                  </pic:spPr>
                </pic:pic>
              </a:graphicData>
            </a:graphic>
          </wp:inline>
        </w:drawing>
      </w:r>
    </w:p>
    <w:p w14:paraId="48A96B62" w14:textId="3217AA0C" w:rsidR="00D06F9D" w:rsidRDefault="00D06F9D" w:rsidP="00D06F9D">
      <w:pPr>
        <w:pStyle w:val="Caption"/>
      </w:pPr>
      <w:r w:rsidRPr="009277C1">
        <w:rPr>
          <w:b/>
          <w:bCs w:val="0"/>
        </w:rPr>
        <w:t xml:space="preserve">Figure </w:t>
      </w:r>
      <w:r w:rsidRPr="009277C1">
        <w:rPr>
          <w:b/>
          <w:bCs w:val="0"/>
        </w:rPr>
        <w:fldChar w:fldCharType="begin"/>
      </w:r>
      <w:r w:rsidRPr="009277C1">
        <w:rPr>
          <w:b/>
          <w:bCs w:val="0"/>
        </w:rPr>
        <w:instrText xml:space="preserve"> SEQ Figure \* ARABIC </w:instrText>
      </w:r>
      <w:r w:rsidRPr="009277C1">
        <w:rPr>
          <w:b/>
          <w:bCs w:val="0"/>
        </w:rPr>
        <w:fldChar w:fldCharType="separate"/>
      </w:r>
      <w:r w:rsidR="001159E7">
        <w:rPr>
          <w:b/>
          <w:bCs w:val="0"/>
          <w:noProof/>
        </w:rPr>
        <w:t>4</w:t>
      </w:r>
      <w:r w:rsidRPr="009277C1">
        <w:rPr>
          <w:b/>
          <w:bCs w:val="0"/>
        </w:rPr>
        <w:fldChar w:fldCharType="end"/>
      </w:r>
      <w:r w:rsidRPr="009277C1">
        <w:rPr>
          <w:b/>
          <w:bCs w:val="0"/>
        </w:rPr>
        <w:t>.</w:t>
      </w:r>
      <w:r>
        <w:t xml:space="preserve"> Fibre distributions demonstrating influence of dispersion with (a) </w:t>
      </w:r>
      <w:r w:rsidRPr="003C694E">
        <w:t>κ</w:t>
      </w:r>
      <w:r>
        <w:t xml:space="preserve">=2 (b) </w:t>
      </w:r>
      <w:r w:rsidRPr="003C694E">
        <w:t>κ</w:t>
      </w:r>
      <w:r>
        <w:t>=5 (c)</w:t>
      </w:r>
      <w:r w:rsidRPr="00015238">
        <w:t xml:space="preserve"> </w:t>
      </w:r>
      <w:r w:rsidRPr="003C694E">
        <w:t>κ</w:t>
      </w:r>
      <w:r>
        <w:t xml:space="preserve">=8 (d) </w:t>
      </w:r>
      <w:r w:rsidRPr="003C694E">
        <w:t>κ</w:t>
      </w:r>
      <w:r>
        <w:t>=100.</w:t>
      </w:r>
    </w:p>
    <w:p w14:paraId="00C4565B" w14:textId="77777777" w:rsidR="00C67349" w:rsidRPr="00C67349" w:rsidRDefault="00C67349" w:rsidP="00C67349"/>
    <w:p w14:paraId="7EAB4A51" w14:textId="77777777" w:rsidR="002937D8" w:rsidRDefault="002937D8">
      <w:pPr>
        <w:spacing w:line="259" w:lineRule="auto"/>
        <w:jc w:val="left"/>
        <w:rPr>
          <w:rFonts w:eastAsia="Cambria"/>
          <w:b/>
        </w:rPr>
      </w:pPr>
      <w:r>
        <w:br w:type="page"/>
      </w:r>
    </w:p>
    <w:p w14:paraId="6CA7A38A" w14:textId="7AED5A3A" w:rsidR="00004D83" w:rsidRDefault="00004D83" w:rsidP="009926D9">
      <w:pPr>
        <w:pStyle w:val="Heading1"/>
        <w:numPr>
          <w:ilvl w:val="0"/>
          <w:numId w:val="1"/>
        </w:numPr>
        <w:tabs>
          <w:tab w:val="num" w:pos="567"/>
        </w:tabs>
        <w:ind w:left="567" w:hanging="567"/>
      </w:pPr>
      <w:r>
        <w:t>Sensitivity Analysis</w:t>
      </w:r>
    </w:p>
    <w:p w14:paraId="7639E375" w14:textId="77777777" w:rsidR="00004D83" w:rsidRDefault="00004D83" w:rsidP="00004D83">
      <w:r>
        <w:t>The sensitivity of the predicted results to each of the parameters was investigated. The parameters used to predict change in cell density in the absence of external stimulus were examined first. This was done by varying each parameter individually by ± 10% and keeping the other parameters constant (</w:t>
      </w:r>
      <w:bookmarkStart w:id="0" w:name="_Hlk57893756"/>
      <m:oMath>
        <m:sSub>
          <m:sSubPr>
            <m:ctrlPr>
              <w:rPr>
                <w:rFonts w:ascii="Cambria Math" w:hAnsi="Cambria Math"/>
                <w:i/>
              </w:rPr>
            </m:ctrlPr>
          </m:sSubPr>
          <m:e>
            <m:r>
              <w:rPr>
                <w:rFonts w:ascii="Cambria Math" w:hAnsi="Cambria Math"/>
              </w:rPr>
              <m:t>C</m:t>
            </m:r>
          </m:e>
          <m:sub>
            <m:r>
              <w:rPr>
                <w:rFonts w:ascii="Cambria Math" w:hAnsi="Cambria Math"/>
              </w:rPr>
              <m:t>prolif</m:t>
            </m:r>
          </m:sub>
        </m:sSub>
        <m:r>
          <w:rPr>
            <w:rFonts w:ascii="Cambria Math" w:hAnsi="Cambria Math"/>
          </w:rPr>
          <m:t>=71</m:t>
        </m:r>
      </m:oMath>
      <w:r>
        <w:rPr>
          <w:rFonts w:eastAsiaTheme="minorEastAsia"/>
        </w:rPr>
        <w:t xml:space="preserve">, </w:t>
      </w:r>
      <m:oMath>
        <m:sSub>
          <m:sSubPr>
            <m:ctrlPr>
              <w:rPr>
                <w:rFonts w:ascii="Cambria Math" w:hAnsi="Cambria Math"/>
                <w:i/>
                <w:iCs/>
              </w:rPr>
            </m:ctrlPr>
          </m:sSubPr>
          <m:e>
            <m:r>
              <w:rPr>
                <w:rFonts w:ascii="Cambria Math" w:hAnsi="Cambria Math"/>
              </w:rPr>
              <m:t>σ</m:t>
            </m:r>
          </m:e>
          <m:sub>
            <m:r>
              <w:rPr>
                <w:rFonts w:ascii="Cambria Math" w:hAnsi="Cambria Math"/>
              </w:rPr>
              <m:t>prolif</m:t>
            </m:r>
          </m:sub>
        </m:sSub>
        <m:r>
          <w:rPr>
            <w:rFonts w:ascii="Cambria Math" w:eastAsiaTheme="minorEastAsia" w:hAnsi="Cambria Math"/>
          </w:rPr>
          <m:t>=9</m:t>
        </m:r>
      </m:oMath>
      <w:r>
        <w:rPr>
          <w:rFonts w:eastAsiaTheme="minorEastAsia"/>
          <w:iCs/>
        </w:rPr>
        <w:t xml:space="preserve">, </w:t>
      </w:r>
      <m:oMath>
        <m:sSub>
          <m:sSubPr>
            <m:ctrlPr>
              <w:rPr>
                <w:rFonts w:ascii="Cambria Math" w:hAnsi="Cambria Math"/>
                <w:i/>
              </w:rPr>
            </m:ctrlPr>
          </m:sSubPr>
          <m:e>
            <m:r>
              <w:rPr>
                <w:rFonts w:ascii="Cambria Math" w:hAnsi="Cambria Math"/>
              </w:rPr>
              <m:t>B</m:t>
            </m:r>
          </m:e>
          <m:sub>
            <m:r>
              <w:rPr>
                <w:rFonts w:ascii="Cambria Math" w:hAnsi="Cambria Math"/>
              </w:rPr>
              <m:t>apop</m:t>
            </m:r>
          </m:sub>
        </m:sSub>
        <m:r>
          <w:rPr>
            <w:rFonts w:ascii="Cambria Math" w:hAnsi="Cambria Math"/>
          </w:rPr>
          <m:t>=1.64</m:t>
        </m:r>
      </m:oMath>
      <w:bookmarkEnd w:id="0"/>
      <w:r>
        <w:rPr>
          <w:rFonts w:eastAsiaTheme="minorEastAsia"/>
        </w:rPr>
        <w:t xml:space="preserve">) </w:t>
      </w:r>
      <w:r>
        <w:t xml:space="preserve">to examine how cell behaviour changed. </w:t>
      </w:r>
    </w:p>
    <w:p w14:paraId="25D8094D" w14:textId="581835C0" w:rsidR="00004D83" w:rsidRDefault="00004D83" w:rsidP="00004D83">
      <w:pPr>
        <w:pStyle w:val="Caption"/>
      </w:pPr>
      <w:r w:rsidRPr="00004D83">
        <w:rPr>
          <w:b/>
          <w:bCs w:val="0"/>
        </w:rPr>
        <w:t xml:space="preserve">Table </w:t>
      </w:r>
      <w:r w:rsidRPr="00004D83">
        <w:rPr>
          <w:b/>
          <w:bCs w:val="0"/>
        </w:rPr>
        <w:fldChar w:fldCharType="begin"/>
      </w:r>
      <w:r w:rsidRPr="00004D83">
        <w:rPr>
          <w:b/>
          <w:bCs w:val="0"/>
        </w:rPr>
        <w:instrText xml:space="preserve"> SEQ Table \* ARABIC </w:instrText>
      </w:r>
      <w:r w:rsidRPr="00004D83">
        <w:rPr>
          <w:b/>
          <w:bCs w:val="0"/>
        </w:rPr>
        <w:fldChar w:fldCharType="separate"/>
      </w:r>
      <w:r>
        <w:rPr>
          <w:b/>
          <w:bCs w:val="0"/>
          <w:noProof/>
        </w:rPr>
        <w:t>2</w:t>
      </w:r>
      <w:r w:rsidRPr="00004D83">
        <w:rPr>
          <w:b/>
          <w:bCs w:val="0"/>
        </w:rPr>
        <w:fldChar w:fldCharType="end"/>
      </w:r>
      <w:r w:rsidRPr="00004D83">
        <w:rPr>
          <w:b/>
          <w:bCs w:val="0"/>
        </w:rPr>
        <w:t>.</w:t>
      </w:r>
      <w:r>
        <w:t xml:space="preserve"> Influence of </w:t>
      </w:r>
      <m:oMath>
        <m:sSub>
          <m:sSubPr>
            <m:ctrlPr>
              <w:rPr>
                <w:rFonts w:ascii="Cambria Math" w:hAnsi="Cambria Math"/>
              </w:rPr>
            </m:ctrlPr>
          </m:sSubPr>
          <m:e>
            <m:r>
              <w:rPr>
                <w:rFonts w:ascii="Cambria Math" w:hAnsi="Cambria Math"/>
              </w:rPr>
              <m:t>C</m:t>
            </m:r>
          </m:e>
          <m:sub>
            <m:r>
              <w:rPr>
                <w:rFonts w:ascii="Cambria Math" w:hAnsi="Cambria Math"/>
              </w:rPr>
              <m:t>prolif</m:t>
            </m:r>
          </m:sub>
        </m:sSub>
      </m:oMath>
      <w:r w:rsidRPr="004E32FB">
        <w:t xml:space="preserve">,  </w:t>
      </w:r>
      <m:oMath>
        <m:sSub>
          <m:sSubPr>
            <m:ctrlPr>
              <w:rPr>
                <w:rFonts w:ascii="Cambria Math" w:hAnsi="Cambria Math"/>
              </w:rPr>
            </m:ctrlPr>
          </m:sSubPr>
          <m:e>
            <m:r>
              <w:rPr>
                <w:rFonts w:ascii="Cambria Math" w:hAnsi="Cambria Math"/>
              </w:rPr>
              <m:t>σ</m:t>
            </m:r>
          </m:e>
          <m:sub>
            <m:r>
              <w:rPr>
                <w:rFonts w:ascii="Cambria Math" w:hAnsi="Cambria Math"/>
              </w:rPr>
              <m:t>prolif</m:t>
            </m:r>
          </m:sub>
        </m:sSub>
      </m:oMath>
      <w:r w:rsidRPr="004E32FB">
        <w:t>,</w:t>
      </w:r>
      <w:r>
        <w:t xml:space="preserve"> and</w:t>
      </w:r>
      <w:r w:rsidRPr="004E32FB">
        <w:t xml:space="preserve"> </w:t>
      </w:r>
      <m:oMath>
        <m:sSub>
          <m:sSubPr>
            <m:ctrlPr>
              <w:rPr>
                <w:rFonts w:ascii="Cambria Math" w:hAnsi="Cambria Math"/>
              </w:rPr>
            </m:ctrlPr>
          </m:sSubPr>
          <m:e>
            <m:r>
              <w:rPr>
                <w:rFonts w:ascii="Cambria Math" w:hAnsi="Cambria Math"/>
              </w:rPr>
              <m:t>B</m:t>
            </m:r>
          </m:e>
          <m:sub>
            <m:r>
              <w:rPr>
                <w:rFonts w:ascii="Cambria Math" w:hAnsi="Cambria Math"/>
              </w:rPr>
              <m:t>apop</m:t>
            </m:r>
          </m:sub>
        </m:sSub>
      </m:oMath>
    </w:p>
    <w:tbl>
      <w:tblPr>
        <w:tblStyle w:val="PlainTable4"/>
        <w:tblW w:w="9436" w:type="dxa"/>
        <w:tblLook w:val="0420" w:firstRow="1" w:lastRow="0" w:firstColumn="0" w:lastColumn="0" w:noHBand="0" w:noVBand="1"/>
      </w:tblPr>
      <w:tblGrid>
        <w:gridCol w:w="2353"/>
        <w:gridCol w:w="2353"/>
        <w:gridCol w:w="2353"/>
        <w:gridCol w:w="2377"/>
      </w:tblGrid>
      <w:tr w:rsidR="00004D83" w:rsidRPr="00665ACE" w14:paraId="5E749A9D" w14:textId="77777777" w:rsidTr="00574990">
        <w:trPr>
          <w:cnfStyle w:val="100000000000" w:firstRow="1" w:lastRow="0" w:firstColumn="0" w:lastColumn="0" w:oddVBand="0" w:evenVBand="0" w:oddHBand="0" w:evenHBand="0" w:firstRowFirstColumn="0" w:firstRowLastColumn="0" w:lastRowFirstColumn="0" w:lastRowLastColumn="0"/>
          <w:trHeight w:val="411"/>
        </w:trPr>
        <w:tc>
          <w:tcPr>
            <w:tcW w:w="2353" w:type="dxa"/>
          </w:tcPr>
          <w:p w14:paraId="6BE983F2" w14:textId="77777777" w:rsidR="00004D83" w:rsidRPr="00601396" w:rsidRDefault="00004D83" w:rsidP="00574990">
            <w:pPr>
              <w:jc w:val="center"/>
            </w:pPr>
            <w:r w:rsidRPr="00601396">
              <w:t>Parameter</w:t>
            </w:r>
          </w:p>
        </w:tc>
        <w:tc>
          <w:tcPr>
            <w:tcW w:w="2353" w:type="dxa"/>
          </w:tcPr>
          <w:p w14:paraId="7877C4DC" w14:textId="77777777" w:rsidR="00004D83" w:rsidRDefault="00004D83" w:rsidP="00574990">
            <w:pPr>
              <w:jc w:val="center"/>
            </w:pPr>
            <w:r>
              <w:t>x</w:t>
            </w:r>
            <w:r w:rsidRPr="00601396">
              <w:t>0.9</w:t>
            </w:r>
          </w:p>
        </w:tc>
        <w:tc>
          <w:tcPr>
            <w:tcW w:w="2353" w:type="dxa"/>
          </w:tcPr>
          <w:p w14:paraId="25C82622" w14:textId="77777777" w:rsidR="00004D83" w:rsidRPr="00665ACE" w:rsidRDefault="00004D83" w:rsidP="00574990">
            <w:pPr>
              <w:spacing w:after="160"/>
              <w:jc w:val="center"/>
            </w:pPr>
            <w:r>
              <w:t xml:space="preserve">x </w:t>
            </w:r>
            <w:r w:rsidRPr="00601396">
              <w:t>1</w:t>
            </w:r>
          </w:p>
        </w:tc>
        <w:tc>
          <w:tcPr>
            <w:tcW w:w="2377" w:type="dxa"/>
            <w:hideMark/>
          </w:tcPr>
          <w:p w14:paraId="0A6BA3B9" w14:textId="77777777" w:rsidR="00004D83" w:rsidRPr="00665ACE" w:rsidRDefault="00004D83" w:rsidP="00574990">
            <w:pPr>
              <w:spacing w:after="160"/>
              <w:jc w:val="center"/>
            </w:pPr>
            <w:r>
              <w:t>x1</w:t>
            </w:r>
            <w:r w:rsidRPr="00601396">
              <w:t>.1</w:t>
            </w:r>
          </w:p>
        </w:tc>
      </w:tr>
      <w:tr w:rsidR="00004D83" w:rsidRPr="00665ACE" w14:paraId="6F286256" w14:textId="77777777" w:rsidTr="00574990">
        <w:trPr>
          <w:cnfStyle w:val="000000100000" w:firstRow="0" w:lastRow="0" w:firstColumn="0" w:lastColumn="0" w:oddVBand="0" w:evenVBand="0" w:oddHBand="1" w:evenHBand="0" w:firstRowFirstColumn="0" w:firstRowLastColumn="0" w:lastRowFirstColumn="0" w:lastRowLastColumn="0"/>
          <w:trHeight w:val="280"/>
        </w:trPr>
        <w:tc>
          <w:tcPr>
            <w:tcW w:w="2353" w:type="dxa"/>
          </w:tcPr>
          <w:p w14:paraId="3A5C71E5" w14:textId="77777777" w:rsidR="00004D83" w:rsidRPr="00665ACE" w:rsidRDefault="00574990" w:rsidP="00574990">
            <w:pPr>
              <w:jc w:val="center"/>
            </w:pPr>
            <m:oMathPara>
              <m:oMath>
                <m:sSub>
                  <m:sSubPr>
                    <m:ctrlPr>
                      <w:rPr>
                        <w:rFonts w:ascii="Cambria Math" w:hAnsi="Cambria Math"/>
                        <w:i/>
                      </w:rPr>
                    </m:ctrlPr>
                  </m:sSubPr>
                  <m:e>
                    <m:r>
                      <w:rPr>
                        <w:rFonts w:ascii="Cambria Math" w:hAnsi="Cambria Math"/>
                      </w:rPr>
                      <m:t>C</m:t>
                    </m:r>
                  </m:e>
                  <m:sub>
                    <m:r>
                      <w:rPr>
                        <w:rFonts w:ascii="Cambria Math" w:hAnsi="Cambria Math"/>
                      </w:rPr>
                      <m:t>prolif</m:t>
                    </m:r>
                  </m:sub>
                </m:sSub>
              </m:oMath>
            </m:oMathPara>
          </w:p>
        </w:tc>
        <w:tc>
          <w:tcPr>
            <w:tcW w:w="2353" w:type="dxa"/>
          </w:tcPr>
          <w:p w14:paraId="078A3782" w14:textId="77777777" w:rsidR="00004D83" w:rsidRDefault="00004D83" w:rsidP="00574990">
            <w:pPr>
              <w:jc w:val="center"/>
            </w:pPr>
            <w:r>
              <w:t>923.90</w:t>
            </w:r>
          </w:p>
        </w:tc>
        <w:tc>
          <w:tcPr>
            <w:tcW w:w="2353" w:type="dxa"/>
          </w:tcPr>
          <w:p w14:paraId="5C803D7B" w14:textId="77777777" w:rsidR="00004D83" w:rsidRPr="00665ACE" w:rsidRDefault="00004D83" w:rsidP="00574990">
            <w:pPr>
              <w:spacing w:after="160"/>
              <w:jc w:val="center"/>
            </w:pPr>
            <w:r>
              <w:t>763.38</w:t>
            </w:r>
          </w:p>
        </w:tc>
        <w:tc>
          <w:tcPr>
            <w:tcW w:w="2377" w:type="dxa"/>
          </w:tcPr>
          <w:p w14:paraId="3EC38DEC" w14:textId="77777777" w:rsidR="00004D83" w:rsidRPr="00665ACE" w:rsidRDefault="00004D83" w:rsidP="00574990">
            <w:pPr>
              <w:spacing w:after="160"/>
              <w:jc w:val="center"/>
            </w:pPr>
            <w:r>
              <w:t>644.36</w:t>
            </w:r>
          </w:p>
        </w:tc>
      </w:tr>
      <w:tr w:rsidR="00004D83" w:rsidRPr="00665ACE" w14:paraId="01C5C2A3" w14:textId="77777777" w:rsidTr="00574990">
        <w:trPr>
          <w:trHeight w:val="385"/>
        </w:trPr>
        <w:tc>
          <w:tcPr>
            <w:tcW w:w="2353" w:type="dxa"/>
          </w:tcPr>
          <w:p w14:paraId="7B5161A5" w14:textId="77777777" w:rsidR="00004D83" w:rsidRPr="00665ACE" w:rsidRDefault="00574990" w:rsidP="00574990">
            <w:pPr>
              <w:jc w:val="center"/>
            </w:pPr>
            <m:oMathPara>
              <m:oMath>
                <m:sSub>
                  <m:sSubPr>
                    <m:ctrlPr>
                      <w:rPr>
                        <w:rFonts w:ascii="Cambria Math" w:hAnsi="Cambria Math"/>
                        <w:i/>
                        <w:iCs/>
                      </w:rPr>
                    </m:ctrlPr>
                  </m:sSubPr>
                  <m:e>
                    <m:r>
                      <w:rPr>
                        <w:rFonts w:ascii="Cambria Math" w:hAnsi="Cambria Math"/>
                      </w:rPr>
                      <m:t>σ</m:t>
                    </m:r>
                  </m:e>
                  <m:sub>
                    <m:r>
                      <w:rPr>
                        <w:rFonts w:ascii="Cambria Math" w:hAnsi="Cambria Math"/>
                      </w:rPr>
                      <m:t>prolif</m:t>
                    </m:r>
                  </m:sub>
                </m:sSub>
              </m:oMath>
            </m:oMathPara>
          </w:p>
        </w:tc>
        <w:tc>
          <w:tcPr>
            <w:tcW w:w="2353" w:type="dxa"/>
          </w:tcPr>
          <w:p w14:paraId="7C1BE010" w14:textId="77777777" w:rsidR="00004D83" w:rsidRDefault="00004D83" w:rsidP="00574990">
            <w:pPr>
              <w:jc w:val="center"/>
            </w:pPr>
            <w:r>
              <w:t>731.68</w:t>
            </w:r>
          </w:p>
        </w:tc>
        <w:tc>
          <w:tcPr>
            <w:tcW w:w="2353" w:type="dxa"/>
          </w:tcPr>
          <w:p w14:paraId="546FC005" w14:textId="77777777" w:rsidR="00004D83" w:rsidRPr="00665ACE" w:rsidRDefault="00004D83" w:rsidP="00574990">
            <w:pPr>
              <w:spacing w:after="160"/>
              <w:jc w:val="center"/>
            </w:pPr>
            <w:r>
              <w:t>763.38</w:t>
            </w:r>
          </w:p>
        </w:tc>
        <w:tc>
          <w:tcPr>
            <w:tcW w:w="2377" w:type="dxa"/>
          </w:tcPr>
          <w:p w14:paraId="5E26638B" w14:textId="77777777" w:rsidR="00004D83" w:rsidRPr="00665ACE" w:rsidRDefault="00004D83" w:rsidP="00574990">
            <w:pPr>
              <w:spacing w:after="160"/>
              <w:jc w:val="center"/>
            </w:pPr>
            <w:r>
              <w:t>804.96</w:t>
            </w:r>
          </w:p>
        </w:tc>
      </w:tr>
      <w:tr w:rsidR="00004D83" w:rsidRPr="00665ACE" w14:paraId="2FD65A7A" w14:textId="77777777" w:rsidTr="00574990">
        <w:trPr>
          <w:cnfStyle w:val="000000100000" w:firstRow="0" w:lastRow="0" w:firstColumn="0" w:lastColumn="0" w:oddVBand="0" w:evenVBand="0" w:oddHBand="1" w:evenHBand="0" w:firstRowFirstColumn="0" w:firstRowLastColumn="0" w:lastRowFirstColumn="0" w:lastRowLastColumn="0"/>
          <w:trHeight w:val="280"/>
        </w:trPr>
        <w:tc>
          <w:tcPr>
            <w:tcW w:w="2353" w:type="dxa"/>
          </w:tcPr>
          <w:p w14:paraId="1AC8935A" w14:textId="77777777" w:rsidR="00004D83" w:rsidRPr="00665ACE" w:rsidRDefault="00574990" w:rsidP="00574990">
            <w:pPr>
              <w:jc w:val="center"/>
            </w:pPr>
            <m:oMathPara>
              <m:oMath>
                <m:sSub>
                  <m:sSubPr>
                    <m:ctrlPr>
                      <w:rPr>
                        <w:rFonts w:ascii="Cambria Math" w:hAnsi="Cambria Math"/>
                        <w:i/>
                      </w:rPr>
                    </m:ctrlPr>
                  </m:sSubPr>
                  <m:e>
                    <m:r>
                      <w:rPr>
                        <w:rFonts w:ascii="Cambria Math" w:hAnsi="Cambria Math"/>
                      </w:rPr>
                      <m:t>B</m:t>
                    </m:r>
                  </m:e>
                  <m:sub>
                    <m:r>
                      <w:rPr>
                        <w:rFonts w:ascii="Cambria Math" w:hAnsi="Cambria Math"/>
                      </w:rPr>
                      <m:t>apop</m:t>
                    </m:r>
                  </m:sub>
                </m:sSub>
              </m:oMath>
            </m:oMathPara>
          </w:p>
        </w:tc>
        <w:tc>
          <w:tcPr>
            <w:tcW w:w="2353" w:type="dxa"/>
          </w:tcPr>
          <w:p w14:paraId="1BC996A7" w14:textId="77777777" w:rsidR="00004D83" w:rsidRDefault="00004D83" w:rsidP="00574990">
            <w:pPr>
              <w:jc w:val="center"/>
            </w:pPr>
            <w:r>
              <w:t>842.48</w:t>
            </w:r>
          </w:p>
        </w:tc>
        <w:tc>
          <w:tcPr>
            <w:tcW w:w="2353" w:type="dxa"/>
          </w:tcPr>
          <w:p w14:paraId="1FA53C91" w14:textId="77777777" w:rsidR="00004D83" w:rsidRPr="00665ACE" w:rsidRDefault="00004D83" w:rsidP="00574990">
            <w:pPr>
              <w:spacing w:after="160"/>
              <w:jc w:val="center"/>
            </w:pPr>
            <w:r>
              <w:t>763.38</w:t>
            </w:r>
          </w:p>
        </w:tc>
        <w:tc>
          <w:tcPr>
            <w:tcW w:w="2377" w:type="dxa"/>
          </w:tcPr>
          <w:p w14:paraId="21114D7C" w14:textId="77777777" w:rsidR="00004D83" w:rsidRPr="00665ACE" w:rsidRDefault="00004D83" w:rsidP="00574990">
            <w:pPr>
              <w:spacing w:after="160"/>
              <w:jc w:val="center"/>
            </w:pPr>
            <w:r>
              <w:t>695.48</w:t>
            </w:r>
          </w:p>
        </w:tc>
      </w:tr>
    </w:tbl>
    <w:p w14:paraId="4D59B849" w14:textId="77777777" w:rsidR="00004D83" w:rsidRPr="00F879A9" w:rsidRDefault="00004D83" w:rsidP="00004D83"/>
    <w:p w14:paraId="05FFAAAE" w14:textId="6B67E70C" w:rsidR="00004D83" w:rsidRDefault="00004D83" w:rsidP="00004D83">
      <w:r>
        <w:t xml:space="preserve">The sensitivity of the model to these parameters can be seen in Table </w:t>
      </w:r>
      <w:r w:rsidR="002937D8">
        <w:t>2</w:t>
      </w:r>
      <w:r>
        <w:t xml:space="preserve">. Increasing </w:t>
      </w:r>
      <m:oMath>
        <m:sSub>
          <m:sSubPr>
            <m:ctrlPr>
              <w:rPr>
                <w:rFonts w:ascii="Cambria Math" w:hAnsi="Cambria Math"/>
              </w:rPr>
            </m:ctrlPr>
          </m:sSubPr>
          <m:e>
            <m:r>
              <w:rPr>
                <w:rFonts w:ascii="Cambria Math" w:hAnsi="Cambria Math"/>
              </w:rPr>
              <m:t>C</m:t>
            </m:r>
          </m:e>
          <m:sub>
            <m:r>
              <w:rPr>
                <w:rFonts w:ascii="Cambria Math" w:hAnsi="Cambria Math"/>
              </w:rPr>
              <m:t>prolif</m:t>
            </m:r>
          </m:sub>
        </m:sSub>
      </m:oMath>
      <w:r>
        <w:t xml:space="preserve"> by 10% led to a 16% decrease in cell density whereas a 10% decrease led to a 21% increase in cell density after 3 days. When </w:t>
      </w:r>
      <m:oMath>
        <m:sSub>
          <m:sSubPr>
            <m:ctrlPr>
              <w:rPr>
                <w:rFonts w:ascii="Cambria Math" w:hAnsi="Cambria Math"/>
              </w:rPr>
            </m:ctrlPr>
          </m:sSubPr>
          <m:e>
            <m:r>
              <w:rPr>
                <w:rFonts w:ascii="Cambria Math" w:hAnsi="Cambria Math"/>
              </w:rPr>
              <m:t>B</m:t>
            </m:r>
          </m:e>
          <m:sub>
            <m:r>
              <w:rPr>
                <w:rFonts w:ascii="Cambria Math" w:hAnsi="Cambria Math"/>
              </w:rPr>
              <m:t>apop</m:t>
            </m:r>
          </m:sub>
        </m:sSub>
      </m:oMath>
      <w:r>
        <w:t xml:space="preserve"> was increased by 10% the model predicted a 10% increase in cell density and decreased 9% with a 10% decrease. Conversely, a 10% increase and decrease in </w:t>
      </w:r>
      <m:oMath>
        <m:sSub>
          <m:sSubPr>
            <m:ctrlPr>
              <w:rPr>
                <w:rFonts w:ascii="Cambria Math" w:hAnsi="Cambria Math"/>
                <w:i/>
                <w:iCs/>
              </w:rPr>
            </m:ctrlPr>
          </m:sSubPr>
          <m:e>
            <m:r>
              <w:rPr>
                <w:rFonts w:ascii="Cambria Math" w:hAnsi="Cambria Math"/>
              </w:rPr>
              <m:t>σ</m:t>
            </m:r>
          </m:e>
          <m:sub>
            <m:r>
              <w:rPr>
                <w:rFonts w:ascii="Cambria Math" w:hAnsi="Cambria Math"/>
              </w:rPr>
              <m:t>prolif</m:t>
            </m:r>
          </m:sub>
        </m:sSub>
      </m:oMath>
      <w:r>
        <w:t xml:space="preserve">  led to a 5% increase and a 4% decrease in cell density, respectively. </w:t>
      </w:r>
    </w:p>
    <w:p w14:paraId="3C4386BD" w14:textId="3FB3D79B" w:rsidR="00004D83" w:rsidRDefault="00004D83" w:rsidP="00004D83">
      <w:r>
        <w:t xml:space="preserve">A sensitivity analysis was also performed on the parameters relating to the influence of cyclic strain. The sensitivity of each of the three parameters was investigated by increasing and decreasing the value by an order of magnitude and investigating how the fold change in cell number was influenced, see Table </w:t>
      </w:r>
      <w:r w:rsidR="002937D8">
        <w:t>3</w:t>
      </w:r>
      <w:r>
        <w:t xml:space="preserve">. </w:t>
      </w:r>
    </w:p>
    <w:p w14:paraId="50582F0F" w14:textId="77777777" w:rsidR="002937D8" w:rsidRDefault="002937D8">
      <w:pPr>
        <w:spacing w:line="259" w:lineRule="auto"/>
        <w:jc w:val="left"/>
        <w:rPr>
          <w:rFonts w:eastAsiaTheme="minorHAnsi"/>
          <w:b/>
          <w:bCs/>
        </w:rPr>
      </w:pPr>
      <w:r>
        <w:rPr>
          <w:b/>
        </w:rPr>
        <w:br w:type="page"/>
      </w:r>
    </w:p>
    <w:p w14:paraId="0594DCFA" w14:textId="0C4F1152" w:rsidR="00004D83" w:rsidRDefault="00004D83" w:rsidP="00004D83">
      <w:pPr>
        <w:pStyle w:val="Caption"/>
        <w:rPr>
          <w:bCs w:val="0"/>
        </w:rPr>
      </w:pPr>
      <w:r w:rsidRPr="00712EF1">
        <w:rPr>
          <w:b/>
        </w:rPr>
        <w:t xml:space="preserve">Table </w:t>
      </w:r>
      <w:r w:rsidRPr="00712EF1">
        <w:rPr>
          <w:b/>
        </w:rPr>
        <w:fldChar w:fldCharType="begin"/>
      </w:r>
      <w:r w:rsidRPr="00712EF1">
        <w:rPr>
          <w:b/>
        </w:rPr>
        <w:instrText xml:space="preserve"> SEQ Table \* ARABIC </w:instrText>
      </w:r>
      <w:r w:rsidRPr="00712EF1">
        <w:rPr>
          <w:b/>
        </w:rPr>
        <w:fldChar w:fldCharType="separate"/>
      </w:r>
      <w:r>
        <w:rPr>
          <w:b/>
          <w:noProof/>
        </w:rPr>
        <w:t>3</w:t>
      </w:r>
      <w:r w:rsidRPr="00712EF1">
        <w:rPr>
          <w:b/>
        </w:rPr>
        <w:fldChar w:fldCharType="end"/>
      </w:r>
      <w:r w:rsidRPr="00712EF1">
        <w:rPr>
          <w:b/>
        </w:rPr>
        <w:t>.</w:t>
      </w:r>
      <w:r>
        <w:t xml:space="preserve"> </w:t>
      </w:r>
      <w:r w:rsidRPr="00976D16">
        <w:t xml:space="preserve">Influence of </w:t>
      </w:r>
      <m:oMath>
        <m:sSub>
          <m:sSubPr>
            <m:ctrlPr>
              <w:rPr>
                <w:rFonts w:ascii="Cambria Math" w:hAnsi="Cambria Math"/>
              </w:rPr>
            </m:ctrlPr>
          </m:sSubPr>
          <m:e>
            <m:r>
              <w:rPr>
                <w:rFonts w:ascii="Cambria Math" w:hAnsi="Cambria Math"/>
              </w:rPr>
              <m:t>A</m:t>
            </m:r>
          </m:e>
          <m:sub>
            <m:r>
              <w:rPr>
                <w:rFonts w:ascii="Cambria Math" w:hAnsi="Cambria Math"/>
              </w:rPr>
              <m:t>prolif,</m:t>
            </m:r>
          </m:sub>
        </m:sSub>
        <m:r>
          <w:rPr>
            <w:rFonts w:ascii="Cambria Math" w:hAnsi="Cambria Math"/>
          </w:rPr>
          <m:t xml:space="preserve"> </m:t>
        </m:r>
        <m:sSub>
          <m:sSubPr>
            <m:ctrlPr>
              <w:rPr>
                <w:rFonts w:ascii="Cambria Math" w:hAnsi="Cambria Math"/>
              </w:rPr>
            </m:ctrlPr>
          </m:sSubPr>
          <m:e>
            <m:r>
              <w:rPr>
                <w:rFonts w:ascii="Cambria Math" w:hAnsi="Cambria Math"/>
              </w:rPr>
              <m:t>A</m:t>
            </m:r>
          </m:e>
          <m:sub>
            <m:r>
              <w:rPr>
                <w:rFonts w:ascii="Cambria Math" w:hAnsi="Cambria Math"/>
              </w:rPr>
              <m:t>apop</m:t>
            </m:r>
          </m:sub>
        </m:sSub>
      </m:oMath>
      <w:r w:rsidRPr="00976D16">
        <w:t xml:space="preserve"> and </w:t>
      </w:r>
      <m:oMath>
        <m:sSub>
          <m:sSubPr>
            <m:ctrlPr>
              <w:rPr>
                <w:rFonts w:ascii="Cambria Math" w:hAnsi="Cambria Math"/>
              </w:rPr>
            </m:ctrlPr>
          </m:sSubPr>
          <m:e>
            <m:r>
              <w:rPr>
                <w:rFonts w:ascii="Cambria Math" w:hAnsi="Cambria Math"/>
              </w:rPr>
              <m:t>B</m:t>
            </m:r>
          </m:e>
          <m:sub>
            <m:r>
              <w:rPr>
                <w:rFonts w:ascii="Cambria Math" w:hAnsi="Cambria Math"/>
              </w:rPr>
              <m:t>prolif</m:t>
            </m:r>
          </m:sub>
        </m:sSub>
      </m:oMath>
      <w:r w:rsidRPr="00976D16">
        <w:t xml:space="preserve"> o</w:t>
      </w:r>
      <w:r>
        <w:t>n fold change in cell number</w:t>
      </w:r>
      <w:r w:rsidRPr="00976D16">
        <w:t xml:space="preserve"> </w:t>
      </w:r>
    </w:p>
    <w:tbl>
      <w:tblPr>
        <w:tblStyle w:val="GridTable1Light"/>
        <w:tblW w:w="9015" w:type="dxa"/>
        <w:tblLook w:val="04A0" w:firstRow="1" w:lastRow="0" w:firstColumn="1" w:lastColumn="0" w:noHBand="0" w:noVBand="1"/>
      </w:tblPr>
      <w:tblGrid>
        <w:gridCol w:w="3005"/>
        <w:gridCol w:w="3005"/>
        <w:gridCol w:w="3005"/>
      </w:tblGrid>
      <w:tr w:rsidR="00004D83" w14:paraId="7D7FF45F" w14:textId="77777777" w:rsidTr="005749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AEE0DE8" w14:textId="77777777" w:rsidR="00004D83" w:rsidRDefault="00004D83" w:rsidP="00574990">
            <w:pPr>
              <w:jc w:val="center"/>
            </w:pPr>
            <w:r w:rsidRPr="00F357B0">
              <w:t>0-10%</w:t>
            </w:r>
          </w:p>
        </w:tc>
        <w:tc>
          <w:tcPr>
            <w:tcW w:w="3005" w:type="dxa"/>
          </w:tcPr>
          <w:p w14:paraId="599841C4" w14:textId="77777777" w:rsidR="00004D83" w:rsidRDefault="00004D83" w:rsidP="00574990">
            <w:pPr>
              <w:jc w:val="center"/>
              <w:cnfStyle w:val="100000000000" w:firstRow="1" w:lastRow="0" w:firstColumn="0" w:lastColumn="0" w:oddVBand="0" w:evenVBand="0" w:oddHBand="0" w:evenHBand="0" w:firstRowFirstColumn="0" w:firstRowLastColumn="0" w:lastRowFirstColumn="0" w:lastRowLastColumn="0"/>
            </w:pPr>
            <w:r w:rsidRPr="00F357B0">
              <w:t>24 Hr</w:t>
            </w:r>
          </w:p>
        </w:tc>
        <w:tc>
          <w:tcPr>
            <w:tcW w:w="3005" w:type="dxa"/>
          </w:tcPr>
          <w:p w14:paraId="411FD6CB" w14:textId="77777777" w:rsidR="00004D83" w:rsidRDefault="00004D83" w:rsidP="00574990">
            <w:pPr>
              <w:jc w:val="center"/>
              <w:cnfStyle w:val="100000000000" w:firstRow="1" w:lastRow="0" w:firstColumn="0" w:lastColumn="0" w:oddVBand="0" w:evenVBand="0" w:oddHBand="0" w:evenHBand="0" w:firstRowFirstColumn="0" w:firstRowLastColumn="0" w:lastRowFirstColumn="0" w:lastRowLastColumn="0"/>
            </w:pPr>
            <w:r w:rsidRPr="00F357B0">
              <w:t>72 Hr</w:t>
            </w:r>
          </w:p>
        </w:tc>
      </w:tr>
      <w:tr w:rsidR="00004D83" w14:paraId="11C43825" w14:textId="77777777" w:rsidTr="00574990">
        <w:tc>
          <w:tcPr>
            <w:cnfStyle w:val="001000000000" w:firstRow="0" w:lastRow="0" w:firstColumn="1" w:lastColumn="0" w:oddVBand="0" w:evenVBand="0" w:oddHBand="0" w:evenHBand="0" w:firstRowFirstColumn="0" w:firstRowLastColumn="0" w:lastRowFirstColumn="0" w:lastRowLastColumn="0"/>
            <w:tcW w:w="3005" w:type="dxa"/>
          </w:tcPr>
          <w:p w14:paraId="30CEDD6B" w14:textId="77777777" w:rsidR="00004D83" w:rsidRPr="00712EF1" w:rsidRDefault="00004D83" w:rsidP="00574990">
            <w:pPr>
              <w:rPr>
                <w:b w:val="0"/>
                <w:bCs w:val="0"/>
              </w:rPr>
            </w:pPr>
            <w:r w:rsidRPr="00712EF1">
              <w:rPr>
                <w:b w:val="0"/>
                <w:bCs w:val="0"/>
              </w:rPr>
              <w:t>Experimental</w:t>
            </w:r>
          </w:p>
        </w:tc>
        <w:tc>
          <w:tcPr>
            <w:tcW w:w="3005" w:type="dxa"/>
          </w:tcPr>
          <w:p w14:paraId="0B1123EC" w14:textId="77777777" w:rsidR="00004D83" w:rsidRDefault="00004D83" w:rsidP="00574990">
            <w:pPr>
              <w:jc w:val="center"/>
              <w:cnfStyle w:val="000000000000" w:firstRow="0" w:lastRow="0" w:firstColumn="0" w:lastColumn="0" w:oddVBand="0" w:evenVBand="0" w:oddHBand="0" w:evenHBand="0" w:firstRowFirstColumn="0" w:firstRowLastColumn="0" w:lastRowFirstColumn="0" w:lastRowLastColumn="0"/>
            </w:pPr>
            <w:r w:rsidRPr="00995083">
              <w:t>0.80 ± 0.14</w:t>
            </w:r>
          </w:p>
        </w:tc>
        <w:tc>
          <w:tcPr>
            <w:tcW w:w="3005" w:type="dxa"/>
          </w:tcPr>
          <w:p w14:paraId="2B9BC43E" w14:textId="77777777" w:rsidR="00004D83" w:rsidRDefault="00004D83" w:rsidP="00574990">
            <w:pPr>
              <w:jc w:val="center"/>
              <w:cnfStyle w:val="000000000000" w:firstRow="0" w:lastRow="0" w:firstColumn="0" w:lastColumn="0" w:oddVBand="0" w:evenVBand="0" w:oddHBand="0" w:evenHBand="0" w:firstRowFirstColumn="0" w:firstRowLastColumn="0" w:lastRowFirstColumn="0" w:lastRowLastColumn="0"/>
            </w:pPr>
            <w:r w:rsidRPr="00995083">
              <w:t>0.939 ± 0.12</w:t>
            </w:r>
          </w:p>
        </w:tc>
      </w:tr>
      <w:tr w:rsidR="00004D83" w14:paraId="71241CF4" w14:textId="77777777" w:rsidTr="00574990">
        <w:tc>
          <w:tcPr>
            <w:cnfStyle w:val="001000000000" w:firstRow="0" w:lastRow="0" w:firstColumn="1" w:lastColumn="0" w:oddVBand="0" w:evenVBand="0" w:oddHBand="0" w:evenHBand="0" w:firstRowFirstColumn="0" w:firstRowLastColumn="0" w:lastRowFirstColumn="0" w:lastRowLastColumn="0"/>
            <w:tcW w:w="3005" w:type="dxa"/>
          </w:tcPr>
          <w:p w14:paraId="2FAAB112" w14:textId="77777777" w:rsidR="00004D83" w:rsidRPr="00712EF1" w:rsidRDefault="00004D83" w:rsidP="00574990">
            <w:pPr>
              <w:rPr>
                <w:b w:val="0"/>
                <w:bCs w:val="0"/>
              </w:rPr>
            </w:pPr>
            <w:r w:rsidRPr="00712EF1">
              <w:rPr>
                <w:b w:val="0"/>
                <w:bCs w:val="0"/>
              </w:rPr>
              <w:t>Original Parameters</w:t>
            </w:r>
          </w:p>
        </w:tc>
        <w:tc>
          <w:tcPr>
            <w:tcW w:w="3005" w:type="dxa"/>
          </w:tcPr>
          <w:p w14:paraId="4257B9E9" w14:textId="77777777" w:rsidR="00004D83" w:rsidRDefault="00004D83" w:rsidP="00574990">
            <w:pPr>
              <w:jc w:val="center"/>
              <w:cnfStyle w:val="000000000000" w:firstRow="0" w:lastRow="0" w:firstColumn="0" w:lastColumn="0" w:oddVBand="0" w:evenVBand="0" w:oddHBand="0" w:evenHBand="0" w:firstRowFirstColumn="0" w:firstRowLastColumn="0" w:lastRowFirstColumn="0" w:lastRowLastColumn="0"/>
            </w:pPr>
            <w:r>
              <w:t>0.87</w:t>
            </w:r>
          </w:p>
        </w:tc>
        <w:tc>
          <w:tcPr>
            <w:tcW w:w="3005" w:type="dxa"/>
          </w:tcPr>
          <w:p w14:paraId="3A83E63A" w14:textId="77777777" w:rsidR="00004D83" w:rsidRDefault="00004D83" w:rsidP="00574990">
            <w:pPr>
              <w:jc w:val="center"/>
              <w:cnfStyle w:val="000000000000" w:firstRow="0" w:lastRow="0" w:firstColumn="0" w:lastColumn="0" w:oddVBand="0" w:evenVBand="0" w:oddHBand="0" w:evenHBand="0" w:firstRowFirstColumn="0" w:firstRowLastColumn="0" w:lastRowFirstColumn="0" w:lastRowLastColumn="0"/>
            </w:pPr>
            <w:r>
              <w:t>0.83</w:t>
            </w:r>
          </w:p>
        </w:tc>
      </w:tr>
      <w:tr w:rsidR="00004D83" w14:paraId="545FD1D8" w14:textId="77777777" w:rsidTr="00574990">
        <w:tc>
          <w:tcPr>
            <w:cnfStyle w:val="001000000000" w:firstRow="0" w:lastRow="0" w:firstColumn="1" w:lastColumn="0" w:oddVBand="0" w:evenVBand="0" w:oddHBand="0" w:evenHBand="0" w:firstRowFirstColumn="0" w:firstRowLastColumn="0" w:lastRowFirstColumn="0" w:lastRowLastColumn="0"/>
            <w:tcW w:w="3005" w:type="dxa"/>
          </w:tcPr>
          <w:p w14:paraId="1177AD56" w14:textId="77777777" w:rsidR="00004D83" w:rsidRPr="00712EF1" w:rsidRDefault="00004D83" w:rsidP="00574990">
            <w:pPr>
              <w:rPr>
                <w:b w:val="0"/>
                <w:bCs w:val="0"/>
              </w:rPr>
            </w:pPr>
            <w:r w:rsidRPr="00712EF1">
              <w:rPr>
                <w:b w:val="0"/>
                <w:bCs w:val="0"/>
              </w:rPr>
              <w:t>Aprolif x10</w:t>
            </w:r>
          </w:p>
        </w:tc>
        <w:tc>
          <w:tcPr>
            <w:tcW w:w="3005" w:type="dxa"/>
          </w:tcPr>
          <w:p w14:paraId="374176E9" w14:textId="77777777" w:rsidR="00004D83" w:rsidRDefault="00004D83" w:rsidP="00574990">
            <w:pPr>
              <w:jc w:val="center"/>
              <w:cnfStyle w:val="000000000000" w:firstRow="0" w:lastRow="0" w:firstColumn="0" w:lastColumn="0" w:oddVBand="0" w:evenVBand="0" w:oddHBand="0" w:evenHBand="0" w:firstRowFirstColumn="0" w:firstRowLastColumn="0" w:lastRowFirstColumn="0" w:lastRowLastColumn="0"/>
            </w:pPr>
            <w:r>
              <w:t>0.77</w:t>
            </w:r>
          </w:p>
        </w:tc>
        <w:tc>
          <w:tcPr>
            <w:tcW w:w="3005" w:type="dxa"/>
          </w:tcPr>
          <w:p w14:paraId="657BAB19" w14:textId="77777777" w:rsidR="00004D83" w:rsidRDefault="00004D83" w:rsidP="00574990">
            <w:pPr>
              <w:jc w:val="center"/>
              <w:cnfStyle w:val="000000000000" w:firstRow="0" w:lastRow="0" w:firstColumn="0" w:lastColumn="0" w:oddVBand="0" w:evenVBand="0" w:oddHBand="0" w:evenHBand="0" w:firstRowFirstColumn="0" w:firstRowLastColumn="0" w:lastRowFirstColumn="0" w:lastRowLastColumn="0"/>
            </w:pPr>
            <w:r>
              <w:t>0.54</w:t>
            </w:r>
          </w:p>
        </w:tc>
      </w:tr>
      <w:tr w:rsidR="00004D83" w14:paraId="0E5F5FEB" w14:textId="77777777" w:rsidTr="00574990">
        <w:tc>
          <w:tcPr>
            <w:cnfStyle w:val="001000000000" w:firstRow="0" w:lastRow="0" w:firstColumn="1" w:lastColumn="0" w:oddVBand="0" w:evenVBand="0" w:oddHBand="0" w:evenHBand="0" w:firstRowFirstColumn="0" w:firstRowLastColumn="0" w:lastRowFirstColumn="0" w:lastRowLastColumn="0"/>
            <w:tcW w:w="3005" w:type="dxa"/>
          </w:tcPr>
          <w:p w14:paraId="7B023DA8" w14:textId="77777777" w:rsidR="00004D83" w:rsidRPr="00712EF1" w:rsidRDefault="00004D83" w:rsidP="00574990">
            <w:pPr>
              <w:rPr>
                <w:b w:val="0"/>
                <w:bCs w:val="0"/>
              </w:rPr>
            </w:pPr>
            <w:r w:rsidRPr="00712EF1">
              <w:rPr>
                <w:b w:val="0"/>
                <w:bCs w:val="0"/>
              </w:rPr>
              <w:t>Aprolif x0.1</w:t>
            </w:r>
          </w:p>
        </w:tc>
        <w:tc>
          <w:tcPr>
            <w:tcW w:w="3005" w:type="dxa"/>
          </w:tcPr>
          <w:p w14:paraId="20044F58" w14:textId="77777777" w:rsidR="00004D83" w:rsidRDefault="00004D83" w:rsidP="00574990">
            <w:pPr>
              <w:jc w:val="center"/>
              <w:cnfStyle w:val="000000000000" w:firstRow="0" w:lastRow="0" w:firstColumn="0" w:lastColumn="0" w:oddVBand="0" w:evenVBand="0" w:oddHBand="0" w:evenHBand="0" w:firstRowFirstColumn="0" w:firstRowLastColumn="0" w:lastRowFirstColumn="0" w:lastRowLastColumn="0"/>
            </w:pPr>
            <w:r>
              <w:t>0.94</w:t>
            </w:r>
          </w:p>
        </w:tc>
        <w:tc>
          <w:tcPr>
            <w:tcW w:w="3005" w:type="dxa"/>
          </w:tcPr>
          <w:p w14:paraId="60649971" w14:textId="77777777" w:rsidR="00004D83" w:rsidRDefault="00004D83" w:rsidP="00574990">
            <w:pPr>
              <w:jc w:val="center"/>
              <w:cnfStyle w:val="000000000000" w:firstRow="0" w:lastRow="0" w:firstColumn="0" w:lastColumn="0" w:oddVBand="0" w:evenVBand="0" w:oddHBand="0" w:evenHBand="0" w:firstRowFirstColumn="0" w:firstRowLastColumn="0" w:lastRowFirstColumn="0" w:lastRowLastColumn="0"/>
            </w:pPr>
            <w:r>
              <w:t>0.99</w:t>
            </w:r>
          </w:p>
        </w:tc>
      </w:tr>
      <w:tr w:rsidR="00004D83" w14:paraId="7C6D68CC" w14:textId="77777777" w:rsidTr="00574990">
        <w:tc>
          <w:tcPr>
            <w:cnfStyle w:val="001000000000" w:firstRow="0" w:lastRow="0" w:firstColumn="1" w:lastColumn="0" w:oddVBand="0" w:evenVBand="0" w:oddHBand="0" w:evenHBand="0" w:firstRowFirstColumn="0" w:firstRowLastColumn="0" w:lastRowFirstColumn="0" w:lastRowLastColumn="0"/>
            <w:tcW w:w="3005" w:type="dxa"/>
          </w:tcPr>
          <w:p w14:paraId="7BEF6201" w14:textId="77777777" w:rsidR="00004D83" w:rsidRPr="00712EF1" w:rsidRDefault="00004D83" w:rsidP="00574990">
            <w:pPr>
              <w:rPr>
                <w:b w:val="0"/>
                <w:bCs w:val="0"/>
              </w:rPr>
            </w:pPr>
            <w:r w:rsidRPr="00712EF1">
              <w:rPr>
                <w:b w:val="0"/>
                <w:bCs w:val="0"/>
              </w:rPr>
              <w:t>Bprolif x10</w:t>
            </w:r>
          </w:p>
        </w:tc>
        <w:tc>
          <w:tcPr>
            <w:tcW w:w="3005" w:type="dxa"/>
          </w:tcPr>
          <w:p w14:paraId="298FC3F0" w14:textId="77777777" w:rsidR="00004D83" w:rsidRDefault="00004D83" w:rsidP="00574990">
            <w:pPr>
              <w:jc w:val="center"/>
              <w:cnfStyle w:val="000000000000" w:firstRow="0" w:lastRow="0" w:firstColumn="0" w:lastColumn="0" w:oddVBand="0" w:evenVBand="0" w:oddHBand="0" w:evenHBand="0" w:firstRowFirstColumn="0" w:firstRowLastColumn="0" w:lastRowFirstColumn="0" w:lastRowLastColumn="0"/>
            </w:pPr>
            <w:r>
              <w:t>0.69</w:t>
            </w:r>
          </w:p>
        </w:tc>
        <w:tc>
          <w:tcPr>
            <w:tcW w:w="3005" w:type="dxa"/>
          </w:tcPr>
          <w:p w14:paraId="0B5CA688" w14:textId="77777777" w:rsidR="00004D83" w:rsidRDefault="00004D83" w:rsidP="00574990">
            <w:pPr>
              <w:jc w:val="center"/>
              <w:cnfStyle w:val="000000000000" w:firstRow="0" w:lastRow="0" w:firstColumn="0" w:lastColumn="0" w:oddVBand="0" w:evenVBand="0" w:oddHBand="0" w:evenHBand="0" w:firstRowFirstColumn="0" w:firstRowLastColumn="0" w:lastRowFirstColumn="0" w:lastRowLastColumn="0"/>
            </w:pPr>
            <w:r>
              <w:t>0.38</w:t>
            </w:r>
          </w:p>
        </w:tc>
      </w:tr>
      <w:tr w:rsidR="00004D83" w14:paraId="2F93D740" w14:textId="77777777" w:rsidTr="00574990">
        <w:tc>
          <w:tcPr>
            <w:cnfStyle w:val="001000000000" w:firstRow="0" w:lastRow="0" w:firstColumn="1" w:lastColumn="0" w:oddVBand="0" w:evenVBand="0" w:oddHBand="0" w:evenHBand="0" w:firstRowFirstColumn="0" w:firstRowLastColumn="0" w:lastRowFirstColumn="0" w:lastRowLastColumn="0"/>
            <w:tcW w:w="3005" w:type="dxa"/>
          </w:tcPr>
          <w:p w14:paraId="0C5A5F8F" w14:textId="77777777" w:rsidR="00004D83" w:rsidRPr="00712EF1" w:rsidRDefault="00004D83" w:rsidP="00574990">
            <w:pPr>
              <w:rPr>
                <w:b w:val="0"/>
                <w:bCs w:val="0"/>
              </w:rPr>
            </w:pPr>
            <w:r w:rsidRPr="00712EF1">
              <w:rPr>
                <w:b w:val="0"/>
                <w:bCs w:val="0"/>
              </w:rPr>
              <w:t>Bprolif x0.1</w:t>
            </w:r>
          </w:p>
        </w:tc>
        <w:tc>
          <w:tcPr>
            <w:tcW w:w="3005" w:type="dxa"/>
          </w:tcPr>
          <w:p w14:paraId="0210B7C3" w14:textId="77777777" w:rsidR="00004D83" w:rsidRDefault="00004D83" w:rsidP="00574990">
            <w:pPr>
              <w:jc w:val="center"/>
              <w:cnfStyle w:val="000000000000" w:firstRow="0" w:lastRow="0" w:firstColumn="0" w:lastColumn="0" w:oddVBand="0" w:evenVBand="0" w:oddHBand="0" w:evenHBand="0" w:firstRowFirstColumn="0" w:firstRowLastColumn="0" w:lastRowFirstColumn="0" w:lastRowLastColumn="0"/>
            </w:pPr>
            <w:r>
              <w:t>1.12</w:t>
            </w:r>
          </w:p>
        </w:tc>
        <w:tc>
          <w:tcPr>
            <w:tcW w:w="3005" w:type="dxa"/>
          </w:tcPr>
          <w:p w14:paraId="566659E7" w14:textId="77777777" w:rsidR="00004D83" w:rsidRDefault="00004D83" w:rsidP="00574990">
            <w:pPr>
              <w:jc w:val="center"/>
              <w:cnfStyle w:val="000000000000" w:firstRow="0" w:lastRow="0" w:firstColumn="0" w:lastColumn="0" w:oddVBand="0" w:evenVBand="0" w:oddHBand="0" w:evenHBand="0" w:firstRowFirstColumn="0" w:firstRowLastColumn="0" w:lastRowFirstColumn="0" w:lastRowLastColumn="0"/>
            </w:pPr>
            <w:r>
              <w:t>1.14</w:t>
            </w:r>
          </w:p>
        </w:tc>
      </w:tr>
      <w:tr w:rsidR="00004D83" w14:paraId="2D1A7CFE" w14:textId="77777777" w:rsidTr="00574990">
        <w:tc>
          <w:tcPr>
            <w:cnfStyle w:val="001000000000" w:firstRow="0" w:lastRow="0" w:firstColumn="1" w:lastColumn="0" w:oddVBand="0" w:evenVBand="0" w:oddHBand="0" w:evenHBand="0" w:firstRowFirstColumn="0" w:firstRowLastColumn="0" w:lastRowFirstColumn="0" w:lastRowLastColumn="0"/>
            <w:tcW w:w="3005" w:type="dxa"/>
          </w:tcPr>
          <w:p w14:paraId="55B5850B" w14:textId="77777777" w:rsidR="00004D83" w:rsidRPr="00712EF1" w:rsidRDefault="00004D83" w:rsidP="00574990">
            <w:pPr>
              <w:rPr>
                <w:b w:val="0"/>
                <w:bCs w:val="0"/>
              </w:rPr>
            </w:pPr>
            <w:r w:rsidRPr="00712EF1">
              <w:rPr>
                <w:b w:val="0"/>
                <w:bCs w:val="0"/>
              </w:rPr>
              <w:t>Aapop x10</w:t>
            </w:r>
          </w:p>
        </w:tc>
        <w:tc>
          <w:tcPr>
            <w:tcW w:w="3005" w:type="dxa"/>
          </w:tcPr>
          <w:p w14:paraId="2FBDEC2F" w14:textId="77777777" w:rsidR="00004D83" w:rsidRDefault="00004D83" w:rsidP="00574990">
            <w:pPr>
              <w:jc w:val="center"/>
              <w:cnfStyle w:val="000000000000" w:firstRow="0" w:lastRow="0" w:firstColumn="0" w:lastColumn="0" w:oddVBand="0" w:evenVBand="0" w:oddHBand="0" w:evenHBand="0" w:firstRowFirstColumn="0" w:firstRowLastColumn="0" w:lastRowFirstColumn="0" w:lastRowLastColumn="0"/>
            </w:pPr>
            <w:r>
              <w:t>0.79</w:t>
            </w:r>
          </w:p>
        </w:tc>
        <w:tc>
          <w:tcPr>
            <w:tcW w:w="3005" w:type="dxa"/>
          </w:tcPr>
          <w:p w14:paraId="241AA436" w14:textId="77777777" w:rsidR="00004D83" w:rsidRDefault="00004D83" w:rsidP="00574990">
            <w:pPr>
              <w:jc w:val="center"/>
              <w:cnfStyle w:val="000000000000" w:firstRow="0" w:lastRow="0" w:firstColumn="0" w:lastColumn="0" w:oddVBand="0" w:evenVBand="0" w:oddHBand="0" w:evenHBand="0" w:firstRowFirstColumn="0" w:firstRowLastColumn="0" w:lastRowFirstColumn="0" w:lastRowLastColumn="0"/>
            </w:pPr>
            <w:r>
              <w:t>0.62</w:t>
            </w:r>
          </w:p>
        </w:tc>
      </w:tr>
      <w:tr w:rsidR="00004D83" w14:paraId="12CE4587" w14:textId="77777777" w:rsidTr="00574990">
        <w:tc>
          <w:tcPr>
            <w:cnfStyle w:val="001000000000" w:firstRow="0" w:lastRow="0" w:firstColumn="1" w:lastColumn="0" w:oddVBand="0" w:evenVBand="0" w:oddHBand="0" w:evenHBand="0" w:firstRowFirstColumn="0" w:firstRowLastColumn="0" w:lastRowFirstColumn="0" w:lastRowLastColumn="0"/>
            <w:tcW w:w="3005" w:type="dxa"/>
          </w:tcPr>
          <w:p w14:paraId="6C39D9CA" w14:textId="77777777" w:rsidR="00004D83" w:rsidRPr="00712EF1" w:rsidRDefault="00004D83" w:rsidP="00574990">
            <w:pPr>
              <w:rPr>
                <w:b w:val="0"/>
                <w:bCs w:val="0"/>
              </w:rPr>
            </w:pPr>
            <w:r w:rsidRPr="00712EF1">
              <w:rPr>
                <w:b w:val="0"/>
                <w:bCs w:val="0"/>
              </w:rPr>
              <w:t>Aapop x0.1</w:t>
            </w:r>
          </w:p>
        </w:tc>
        <w:tc>
          <w:tcPr>
            <w:tcW w:w="3005" w:type="dxa"/>
          </w:tcPr>
          <w:p w14:paraId="0264F919" w14:textId="77777777" w:rsidR="00004D83" w:rsidRDefault="00004D83" w:rsidP="00574990">
            <w:pPr>
              <w:jc w:val="center"/>
              <w:cnfStyle w:val="000000000000" w:firstRow="0" w:lastRow="0" w:firstColumn="0" w:lastColumn="0" w:oddVBand="0" w:evenVBand="0" w:oddHBand="0" w:evenHBand="0" w:firstRowFirstColumn="0" w:firstRowLastColumn="0" w:lastRowFirstColumn="0" w:lastRowLastColumn="0"/>
            </w:pPr>
            <w:r>
              <w:t>0.89</w:t>
            </w:r>
          </w:p>
        </w:tc>
        <w:tc>
          <w:tcPr>
            <w:tcW w:w="3005" w:type="dxa"/>
          </w:tcPr>
          <w:p w14:paraId="76B4D7F8" w14:textId="77777777" w:rsidR="00004D83" w:rsidRDefault="00004D83" w:rsidP="00574990">
            <w:pPr>
              <w:jc w:val="center"/>
              <w:cnfStyle w:val="000000000000" w:firstRow="0" w:lastRow="0" w:firstColumn="0" w:lastColumn="0" w:oddVBand="0" w:evenVBand="0" w:oddHBand="0" w:evenHBand="0" w:firstRowFirstColumn="0" w:firstRowLastColumn="0" w:lastRowFirstColumn="0" w:lastRowLastColumn="0"/>
            </w:pPr>
            <w:r>
              <w:t>0.85</w:t>
            </w:r>
          </w:p>
        </w:tc>
      </w:tr>
    </w:tbl>
    <w:p w14:paraId="0E4DFCF9" w14:textId="77777777" w:rsidR="00004D83" w:rsidRDefault="00004D83" w:rsidP="00004D83"/>
    <w:p w14:paraId="563727FC" w14:textId="10996E00" w:rsidR="00004D83" w:rsidRDefault="00004D83" w:rsidP="00004D83">
      <w:r>
        <w:t xml:space="preserve">The influence of </w:t>
      </w:r>
      <m:oMath>
        <m:sSub>
          <m:sSubPr>
            <m:ctrlPr>
              <w:rPr>
                <w:rFonts w:ascii="Cambria Math" w:hAnsi="Cambria Math"/>
              </w:rPr>
            </m:ctrlPr>
          </m:sSubPr>
          <m:e>
            <m:r>
              <w:rPr>
                <w:rFonts w:ascii="Cambria Math" w:hAnsi="Cambria Math"/>
              </w:rPr>
              <m:t>ε</m:t>
            </m:r>
          </m:e>
          <m:sub>
            <m:r>
              <w:rPr>
                <w:rFonts w:ascii="Cambria Math" w:hAnsi="Cambria Math"/>
              </w:rPr>
              <m:t>Max</m:t>
            </m:r>
          </m:sub>
        </m:sSub>
      </m:oMath>
      <w:r>
        <w:rPr>
          <w:rFonts w:eastAsiaTheme="minorEastAsia"/>
        </w:rPr>
        <w:t xml:space="preserve"> and </w:t>
      </w:r>
      <m:oMath>
        <m:sSub>
          <m:sSubPr>
            <m:ctrlPr>
              <w:rPr>
                <w:rFonts w:ascii="Cambria Math" w:hAnsi="Cambria Math"/>
              </w:rPr>
            </m:ctrlPr>
          </m:sSubPr>
          <m:e>
            <m:r>
              <w:rPr>
                <w:rFonts w:ascii="Cambria Math" w:hAnsi="Cambria Math"/>
              </w:rPr>
              <m:t>ε</m:t>
            </m:r>
          </m:e>
          <m:sub>
            <m:r>
              <w:rPr>
                <w:rFonts w:ascii="Cambria Math" w:hAnsi="Cambria Math"/>
              </w:rPr>
              <m:t>Thres</m:t>
            </m:r>
          </m:sub>
        </m:sSub>
        <m:r>
          <w:rPr>
            <w:rFonts w:ascii="Cambria Math" w:hAnsi="Cambria Math"/>
          </w:rPr>
          <m:t xml:space="preserve"> </m:t>
        </m:r>
      </m:oMath>
      <w:r>
        <w:t xml:space="preserve">on fold change were investigated and can be seen in Table </w:t>
      </w:r>
    </w:p>
    <w:p w14:paraId="14942936" w14:textId="797B9ABC" w:rsidR="00004D83" w:rsidRPr="00004D83" w:rsidRDefault="00004D83" w:rsidP="00004D83">
      <w:r w:rsidRPr="00712EF1">
        <w:rPr>
          <w:b/>
          <w:bCs/>
        </w:rPr>
        <w:t xml:space="preserve">Table </w:t>
      </w:r>
      <w:r w:rsidRPr="00712EF1">
        <w:rPr>
          <w:b/>
          <w:bCs/>
        </w:rPr>
        <w:fldChar w:fldCharType="begin"/>
      </w:r>
      <w:r w:rsidRPr="00712EF1">
        <w:rPr>
          <w:b/>
          <w:bCs/>
        </w:rPr>
        <w:instrText>SEQ Table \* ARABIC</w:instrText>
      </w:r>
      <w:r w:rsidRPr="00712EF1">
        <w:rPr>
          <w:b/>
          <w:bCs/>
        </w:rPr>
        <w:fldChar w:fldCharType="separate"/>
      </w:r>
      <w:r>
        <w:rPr>
          <w:b/>
          <w:bCs/>
          <w:noProof/>
        </w:rPr>
        <w:t>4</w:t>
      </w:r>
      <w:r w:rsidRPr="00712EF1">
        <w:rPr>
          <w:b/>
          <w:bCs/>
        </w:rPr>
        <w:fldChar w:fldCharType="end"/>
      </w:r>
      <w:r w:rsidRPr="00712EF1">
        <w:rPr>
          <w:b/>
          <w:bCs/>
        </w:rPr>
        <w:t>.</w:t>
      </w:r>
      <w:r>
        <w:t xml:space="preserve"> I</w:t>
      </w:r>
      <w:r w:rsidRPr="00976D16">
        <w:rPr>
          <w:bCs/>
        </w:rPr>
        <w:t xml:space="preserve">nfluence of </w:t>
      </w:r>
      <m:oMath>
        <m:sSub>
          <m:sSubPr>
            <m:ctrlPr>
              <w:rPr>
                <w:rFonts w:ascii="Cambria Math" w:hAnsi="Cambria Math"/>
              </w:rPr>
            </m:ctrlPr>
          </m:sSubPr>
          <m:e>
            <m:r>
              <w:rPr>
                <w:rFonts w:ascii="Cambria Math" w:hAnsi="Cambria Math"/>
              </w:rPr>
              <m:t>ε</m:t>
            </m:r>
          </m:e>
          <m:sub>
            <m:r>
              <w:rPr>
                <w:rFonts w:ascii="Cambria Math" w:hAnsi="Cambria Math"/>
              </w:rPr>
              <m:t>Max</m:t>
            </m:r>
          </m:sub>
        </m:sSub>
      </m:oMath>
      <w:r w:rsidRPr="00976D16">
        <w:rPr>
          <w:bCs/>
        </w:rPr>
        <w:t xml:space="preserve"> and </w:t>
      </w:r>
      <m:oMath>
        <m:sSub>
          <m:sSubPr>
            <m:ctrlPr>
              <w:rPr>
                <w:rFonts w:ascii="Cambria Math" w:hAnsi="Cambria Math"/>
              </w:rPr>
            </m:ctrlPr>
          </m:sSubPr>
          <m:e>
            <m:r>
              <w:rPr>
                <w:rFonts w:ascii="Cambria Math" w:hAnsi="Cambria Math"/>
              </w:rPr>
              <m:t>ε</m:t>
            </m:r>
          </m:e>
          <m:sub>
            <m:r>
              <w:rPr>
                <w:rFonts w:ascii="Cambria Math" w:hAnsi="Cambria Math"/>
              </w:rPr>
              <m:t>Thres</m:t>
            </m:r>
          </m:sub>
        </m:sSub>
      </m:oMath>
      <w:r>
        <w:t xml:space="preserve"> </w:t>
      </w:r>
      <w:r w:rsidRPr="00976D16">
        <w:rPr>
          <w:bCs/>
        </w:rPr>
        <w:t>o</w:t>
      </w:r>
      <w:r>
        <w:rPr>
          <w:bCs/>
        </w:rPr>
        <w:t>n Fold Change in Cell Number</w:t>
      </w:r>
    </w:p>
    <w:tbl>
      <w:tblPr>
        <w:tblStyle w:val="PlainTable4"/>
        <w:tblW w:w="7300" w:type="dxa"/>
        <w:jc w:val="center"/>
        <w:tblLook w:val="0420" w:firstRow="1" w:lastRow="0" w:firstColumn="0" w:lastColumn="0" w:noHBand="0" w:noVBand="1"/>
      </w:tblPr>
      <w:tblGrid>
        <w:gridCol w:w="3798"/>
        <w:gridCol w:w="1600"/>
        <w:gridCol w:w="1902"/>
      </w:tblGrid>
      <w:tr w:rsidR="00004D83" w:rsidRPr="009F43C8" w14:paraId="78384874" w14:textId="77777777" w:rsidTr="00574990">
        <w:trPr>
          <w:cnfStyle w:val="100000000000" w:firstRow="1" w:lastRow="0" w:firstColumn="0" w:lastColumn="0" w:oddVBand="0" w:evenVBand="0" w:oddHBand="0" w:evenHBand="0" w:firstRowFirstColumn="0" w:firstRowLastColumn="0" w:lastRowFirstColumn="0" w:lastRowLastColumn="0"/>
          <w:trHeight w:val="296"/>
          <w:jc w:val="center"/>
        </w:trPr>
        <w:tc>
          <w:tcPr>
            <w:tcW w:w="0" w:type="dxa"/>
            <w:vAlign w:val="center"/>
            <w:hideMark/>
          </w:tcPr>
          <w:p w14:paraId="12FDBA96" w14:textId="77777777" w:rsidR="00004D83" w:rsidRPr="009F43C8" w:rsidRDefault="00004D83" w:rsidP="00574990">
            <w:pPr>
              <w:jc w:val="center"/>
            </w:pPr>
            <w:r w:rsidRPr="009F43C8">
              <w:t>0-10%</w:t>
            </w:r>
          </w:p>
        </w:tc>
        <w:tc>
          <w:tcPr>
            <w:tcW w:w="0" w:type="dxa"/>
            <w:vAlign w:val="center"/>
            <w:hideMark/>
          </w:tcPr>
          <w:p w14:paraId="2AEBC849" w14:textId="77777777" w:rsidR="00004D83" w:rsidRPr="009F43C8" w:rsidRDefault="00004D83" w:rsidP="00574990">
            <w:pPr>
              <w:jc w:val="center"/>
            </w:pPr>
            <w:r w:rsidRPr="009F43C8">
              <w:t>24 Hr</w:t>
            </w:r>
          </w:p>
        </w:tc>
        <w:tc>
          <w:tcPr>
            <w:tcW w:w="0" w:type="dxa"/>
            <w:vAlign w:val="center"/>
            <w:hideMark/>
          </w:tcPr>
          <w:p w14:paraId="326F7069" w14:textId="77777777" w:rsidR="00004D83" w:rsidRPr="009F43C8" w:rsidRDefault="00004D83" w:rsidP="00574990">
            <w:pPr>
              <w:jc w:val="center"/>
            </w:pPr>
            <w:r w:rsidRPr="009F43C8">
              <w:t>72 Hr</w:t>
            </w:r>
          </w:p>
        </w:tc>
      </w:tr>
      <w:tr w:rsidR="00004D83" w:rsidRPr="009F43C8" w14:paraId="10F00281" w14:textId="77777777" w:rsidTr="00574990">
        <w:trPr>
          <w:cnfStyle w:val="000000100000" w:firstRow="0" w:lastRow="0" w:firstColumn="0" w:lastColumn="0" w:oddVBand="0" w:evenVBand="0" w:oddHBand="1" w:evenHBand="0" w:firstRowFirstColumn="0" w:firstRowLastColumn="0" w:lastRowFirstColumn="0" w:lastRowLastColumn="0"/>
          <w:trHeight w:val="296"/>
          <w:jc w:val="center"/>
        </w:trPr>
        <w:tc>
          <w:tcPr>
            <w:tcW w:w="0" w:type="dxa"/>
            <w:vAlign w:val="center"/>
            <w:hideMark/>
          </w:tcPr>
          <w:p w14:paraId="224081F4" w14:textId="77777777" w:rsidR="00004D83" w:rsidRPr="009F43C8" w:rsidRDefault="00004D83" w:rsidP="00574990">
            <w:pPr>
              <w:jc w:val="left"/>
            </w:pPr>
            <w:r w:rsidRPr="009F43C8">
              <w:t>Experimental</w:t>
            </w:r>
          </w:p>
        </w:tc>
        <w:tc>
          <w:tcPr>
            <w:tcW w:w="0" w:type="dxa"/>
            <w:vAlign w:val="center"/>
            <w:hideMark/>
          </w:tcPr>
          <w:p w14:paraId="1FC63234" w14:textId="77777777" w:rsidR="00004D83" w:rsidRPr="009F43C8" w:rsidRDefault="00004D83" w:rsidP="00574990">
            <w:pPr>
              <w:jc w:val="center"/>
            </w:pPr>
            <w:r w:rsidRPr="009F43C8">
              <w:t>0.80 ± 0.14</w:t>
            </w:r>
          </w:p>
        </w:tc>
        <w:tc>
          <w:tcPr>
            <w:tcW w:w="0" w:type="dxa"/>
            <w:vAlign w:val="center"/>
            <w:hideMark/>
          </w:tcPr>
          <w:p w14:paraId="1180B016" w14:textId="77777777" w:rsidR="00004D83" w:rsidRPr="009F43C8" w:rsidRDefault="00004D83" w:rsidP="00574990">
            <w:pPr>
              <w:jc w:val="center"/>
            </w:pPr>
            <w:r w:rsidRPr="009F43C8">
              <w:t>0.939 ± 0.12</w:t>
            </w:r>
          </w:p>
        </w:tc>
      </w:tr>
      <w:tr w:rsidR="00004D83" w:rsidRPr="009F43C8" w14:paraId="7C25C763" w14:textId="77777777" w:rsidTr="00574990">
        <w:trPr>
          <w:trHeight w:val="296"/>
          <w:jc w:val="center"/>
        </w:trPr>
        <w:tc>
          <w:tcPr>
            <w:tcW w:w="0" w:type="dxa"/>
            <w:vAlign w:val="center"/>
            <w:hideMark/>
          </w:tcPr>
          <w:p w14:paraId="629CBF6A" w14:textId="77777777" w:rsidR="00004D83" w:rsidRPr="009F43C8" w:rsidRDefault="00004D83" w:rsidP="00574990">
            <w:pPr>
              <w:jc w:val="left"/>
            </w:pPr>
            <w:r w:rsidRPr="009F43C8">
              <w:t>Original Parameters</w:t>
            </w:r>
          </w:p>
        </w:tc>
        <w:tc>
          <w:tcPr>
            <w:tcW w:w="0" w:type="dxa"/>
            <w:vAlign w:val="center"/>
            <w:hideMark/>
          </w:tcPr>
          <w:p w14:paraId="32683A52" w14:textId="77777777" w:rsidR="00004D83" w:rsidRPr="009F43C8" w:rsidRDefault="00004D83" w:rsidP="00574990">
            <w:pPr>
              <w:jc w:val="center"/>
            </w:pPr>
            <w:r w:rsidRPr="009F43C8">
              <w:t>0.87</w:t>
            </w:r>
          </w:p>
        </w:tc>
        <w:tc>
          <w:tcPr>
            <w:tcW w:w="0" w:type="dxa"/>
            <w:vAlign w:val="center"/>
            <w:hideMark/>
          </w:tcPr>
          <w:p w14:paraId="63923C72" w14:textId="77777777" w:rsidR="00004D83" w:rsidRPr="009F43C8" w:rsidRDefault="00004D83" w:rsidP="00574990">
            <w:pPr>
              <w:jc w:val="center"/>
            </w:pPr>
            <w:r w:rsidRPr="009F43C8">
              <w:t>0.83</w:t>
            </w:r>
          </w:p>
        </w:tc>
      </w:tr>
      <w:tr w:rsidR="00004D83" w:rsidRPr="009F43C8" w14:paraId="7BE19FB0" w14:textId="77777777" w:rsidTr="00574990">
        <w:trPr>
          <w:cnfStyle w:val="000000100000" w:firstRow="0" w:lastRow="0" w:firstColumn="0" w:lastColumn="0" w:oddVBand="0" w:evenVBand="0" w:oddHBand="1" w:evenHBand="0" w:firstRowFirstColumn="0" w:firstRowLastColumn="0" w:lastRowFirstColumn="0" w:lastRowLastColumn="0"/>
          <w:trHeight w:val="296"/>
          <w:jc w:val="center"/>
        </w:trPr>
        <w:tc>
          <w:tcPr>
            <w:tcW w:w="0" w:type="dxa"/>
            <w:vAlign w:val="center"/>
            <w:hideMark/>
          </w:tcPr>
          <w:p w14:paraId="505F2955" w14:textId="77777777" w:rsidR="00004D83" w:rsidRPr="009F43C8" w:rsidRDefault="00574990" w:rsidP="00574990">
            <w:pPr>
              <w:jc w:val="left"/>
            </w:pPr>
            <m:oMath>
              <m:sSub>
                <m:sSubPr>
                  <m:ctrlPr>
                    <w:rPr>
                      <w:rFonts w:ascii="Cambria Math" w:hAnsi="Cambria Math"/>
                      <w:iCs/>
                    </w:rPr>
                  </m:ctrlPr>
                </m:sSubPr>
                <m:e>
                  <m:r>
                    <w:rPr>
                      <w:rFonts w:ascii="Cambria Math" w:hAnsi="Cambria Math"/>
                    </w:rPr>
                    <m:t>ε</m:t>
                  </m:r>
                </m:e>
                <m:sub>
                  <m:r>
                    <w:rPr>
                      <w:rFonts w:ascii="Cambria Math" w:hAnsi="Cambria Math"/>
                    </w:rPr>
                    <m:t>Max</m:t>
                  </m:r>
                </m:sub>
              </m:sSub>
            </m:oMath>
            <w:r w:rsidR="00004D83" w:rsidRPr="009F43C8">
              <w:t xml:space="preserve"> x10</w:t>
            </w:r>
          </w:p>
        </w:tc>
        <w:tc>
          <w:tcPr>
            <w:tcW w:w="0" w:type="dxa"/>
            <w:vAlign w:val="center"/>
            <w:hideMark/>
          </w:tcPr>
          <w:p w14:paraId="6DC19232" w14:textId="77777777" w:rsidR="00004D83" w:rsidRPr="009F43C8" w:rsidRDefault="00004D83" w:rsidP="00574990">
            <w:pPr>
              <w:jc w:val="center"/>
            </w:pPr>
            <w:r w:rsidRPr="009F43C8">
              <w:t>0.88</w:t>
            </w:r>
          </w:p>
        </w:tc>
        <w:tc>
          <w:tcPr>
            <w:tcW w:w="0" w:type="dxa"/>
            <w:vAlign w:val="center"/>
            <w:hideMark/>
          </w:tcPr>
          <w:p w14:paraId="36126CB8" w14:textId="77777777" w:rsidR="00004D83" w:rsidRPr="009F43C8" w:rsidRDefault="00004D83" w:rsidP="00574990">
            <w:pPr>
              <w:jc w:val="center"/>
            </w:pPr>
            <w:r w:rsidRPr="009F43C8">
              <w:t>0.81</w:t>
            </w:r>
          </w:p>
        </w:tc>
      </w:tr>
      <w:tr w:rsidR="00004D83" w:rsidRPr="009F43C8" w14:paraId="24F54E13" w14:textId="77777777" w:rsidTr="00574990">
        <w:trPr>
          <w:trHeight w:val="296"/>
          <w:jc w:val="center"/>
        </w:trPr>
        <w:tc>
          <w:tcPr>
            <w:tcW w:w="0" w:type="dxa"/>
            <w:vAlign w:val="center"/>
            <w:hideMark/>
          </w:tcPr>
          <w:p w14:paraId="19B822C5" w14:textId="77777777" w:rsidR="00004D83" w:rsidRPr="009F43C8" w:rsidRDefault="00574990" w:rsidP="00574990">
            <w:pPr>
              <w:jc w:val="left"/>
            </w:pPr>
            <m:oMath>
              <m:sSub>
                <m:sSubPr>
                  <m:ctrlPr>
                    <w:rPr>
                      <w:rFonts w:ascii="Cambria Math" w:hAnsi="Cambria Math"/>
                      <w:iCs/>
                    </w:rPr>
                  </m:ctrlPr>
                </m:sSubPr>
                <m:e>
                  <m:r>
                    <w:rPr>
                      <w:rFonts w:ascii="Cambria Math" w:hAnsi="Cambria Math"/>
                    </w:rPr>
                    <m:t>ε</m:t>
                  </m:r>
                </m:e>
                <m:sub>
                  <m:r>
                    <w:rPr>
                      <w:rFonts w:ascii="Cambria Math" w:hAnsi="Cambria Math"/>
                    </w:rPr>
                    <m:t>Max</m:t>
                  </m:r>
                </m:sub>
              </m:sSub>
            </m:oMath>
            <w:r w:rsidR="00004D83" w:rsidRPr="009F43C8">
              <w:t xml:space="preserve"> x0.1</w:t>
            </w:r>
          </w:p>
        </w:tc>
        <w:tc>
          <w:tcPr>
            <w:tcW w:w="0" w:type="dxa"/>
            <w:vAlign w:val="center"/>
            <w:hideMark/>
          </w:tcPr>
          <w:p w14:paraId="481A8E8C" w14:textId="77777777" w:rsidR="00004D83" w:rsidRPr="009F43C8" w:rsidRDefault="00004D83" w:rsidP="00574990">
            <w:pPr>
              <w:jc w:val="center"/>
            </w:pPr>
            <w:r w:rsidRPr="009F43C8">
              <w:t>0.89</w:t>
            </w:r>
          </w:p>
        </w:tc>
        <w:tc>
          <w:tcPr>
            <w:tcW w:w="0" w:type="dxa"/>
            <w:vAlign w:val="center"/>
            <w:hideMark/>
          </w:tcPr>
          <w:p w14:paraId="3DDB666E" w14:textId="77777777" w:rsidR="00004D83" w:rsidRPr="009F43C8" w:rsidRDefault="00004D83" w:rsidP="00574990">
            <w:pPr>
              <w:jc w:val="center"/>
            </w:pPr>
            <w:r w:rsidRPr="009F43C8">
              <w:t>0.86</w:t>
            </w:r>
          </w:p>
        </w:tc>
      </w:tr>
      <w:tr w:rsidR="00004D83" w:rsidRPr="009F43C8" w14:paraId="1DC12AED" w14:textId="77777777" w:rsidTr="00574990">
        <w:trPr>
          <w:cnfStyle w:val="000000100000" w:firstRow="0" w:lastRow="0" w:firstColumn="0" w:lastColumn="0" w:oddVBand="0" w:evenVBand="0" w:oddHBand="1" w:evenHBand="0" w:firstRowFirstColumn="0" w:firstRowLastColumn="0" w:lastRowFirstColumn="0" w:lastRowLastColumn="0"/>
          <w:trHeight w:val="296"/>
          <w:jc w:val="center"/>
        </w:trPr>
        <w:tc>
          <w:tcPr>
            <w:tcW w:w="0" w:type="dxa"/>
            <w:vAlign w:val="center"/>
            <w:hideMark/>
          </w:tcPr>
          <w:p w14:paraId="71C0E6A5" w14:textId="77777777" w:rsidR="00004D83" w:rsidRPr="009F43C8" w:rsidRDefault="00574990" w:rsidP="00574990">
            <w:pPr>
              <w:jc w:val="left"/>
            </w:pPr>
            <m:oMath>
              <m:sSub>
                <m:sSubPr>
                  <m:ctrlPr>
                    <w:rPr>
                      <w:rFonts w:ascii="Cambria Math" w:hAnsi="Cambria Math"/>
                      <w:iCs/>
                    </w:rPr>
                  </m:ctrlPr>
                </m:sSubPr>
                <m:e>
                  <m:r>
                    <w:rPr>
                      <w:rFonts w:ascii="Cambria Math" w:hAnsi="Cambria Math"/>
                    </w:rPr>
                    <m:t>ε</m:t>
                  </m:r>
                </m:e>
                <m:sub>
                  <m:r>
                    <w:rPr>
                      <w:rFonts w:ascii="Cambria Math" w:hAnsi="Cambria Math"/>
                    </w:rPr>
                    <m:t>T</m:t>
                  </m:r>
                  <m:r>
                    <m:rPr>
                      <m:sty m:val="p"/>
                    </m:rPr>
                    <w:rPr>
                      <w:rFonts w:ascii="Cambria Math" w:hAnsi="Cambria Math"/>
                    </w:rPr>
                    <m:t>h</m:t>
                  </m:r>
                  <m:r>
                    <w:rPr>
                      <w:rFonts w:ascii="Cambria Math" w:hAnsi="Cambria Math"/>
                    </w:rPr>
                    <m:t>res</m:t>
                  </m:r>
                </m:sub>
              </m:sSub>
            </m:oMath>
            <w:r w:rsidR="00004D83" w:rsidRPr="009F43C8">
              <w:t xml:space="preserve"> (+0.05)</w:t>
            </w:r>
          </w:p>
        </w:tc>
        <w:tc>
          <w:tcPr>
            <w:tcW w:w="0" w:type="dxa"/>
            <w:vAlign w:val="center"/>
            <w:hideMark/>
          </w:tcPr>
          <w:p w14:paraId="105D4D8B" w14:textId="77777777" w:rsidR="00004D83" w:rsidRPr="009F43C8" w:rsidRDefault="00004D83" w:rsidP="00574990">
            <w:pPr>
              <w:jc w:val="center"/>
            </w:pPr>
            <w:r w:rsidRPr="009F43C8">
              <w:t>0.87</w:t>
            </w:r>
          </w:p>
        </w:tc>
        <w:tc>
          <w:tcPr>
            <w:tcW w:w="0" w:type="dxa"/>
            <w:vAlign w:val="center"/>
            <w:hideMark/>
          </w:tcPr>
          <w:p w14:paraId="66747BE0" w14:textId="77777777" w:rsidR="00004D83" w:rsidRPr="009F43C8" w:rsidRDefault="00004D83" w:rsidP="00574990">
            <w:pPr>
              <w:jc w:val="center"/>
            </w:pPr>
            <w:r w:rsidRPr="009F43C8">
              <w:t>0.82</w:t>
            </w:r>
          </w:p>
        </w:tc>
      </w:tr>
      <w:tr w:rsidR="00004D83" w:rsidRPr="009F43C8" w14:paraId="6D0271F5" w14:textId="77777777" w:rsidTr="00574990">
        <w:trPr>
          <w:trHeight w:val="296"/>
          <w:jc w:val="center"/>
        </w:trPr>
        <w:tc>
          <w:tcPr>
            <w:tcW w:w="0" w:type="dxa"/>
            <w:vAlign w:val="center"/>
            <w:hideMark/>
          </w:tcPr>
          <w:p w14:paraId="169884D1" w14:textId="77777777" w:rsidR="00004D83" w:rsidRPr="009F43C8" w:rsidRDefault="00574990" w:rsidP="00574990">
            <w:pPr>
              <w:jc w:val="left"/>
            </w:pPr>
            <m:oMath>
              <m:sSub>
                <m:sSubPr>
                  <m:ctrlPr>
                    <w:rPr>
                      <w:rFonts w:ascii="Cambria Math" w:hAnsi="Cambria Math"/>
                      <w:iCs/>
                    </w:rPr>
                  </m:ctrlPr>
                </m:sSubPr>
                <m:e>
                  <m:r>
                    <w:rPr>
                      <w:rFonts w:ascii="Cambria Math" w:hAnsi="Cambria Math"/>
                    </w:rPr>
                    <m:t>ε</m:t>
                  </m:r>
                </m:e>
                <m:sub>
                  <m:r>
                    <w:rPr>
                      <w:rFonts w:ascii="Cambria Math" w:hAnsi="Cambria Math"/>
                    </w:rPr>
                    <m:t>T</m:t>
                  </m:r>
                  <m:r>
                    <m:rPr>
                      <m:sty m:val="p"/>
                    </m:rPr>
                    <w:rPr>
                      <w:rFonts w:ascii="Cambria Math" w:hAnsi="Cambria Math"/>
                    </w:rPr>
                    <m:t>h</m:t>
                  </m:r>
                  <m:r>
                    <w:rPr>
                      <w:rFonts w:ascii="Cambria Math" w:hAnsi="Cambria Math"/>
                    </w:rPr>
                    <m:t>res</m:t>
                  </m:r>
                </m:sub>
              </m:sSub>
            </m:oMath>
            <w:r w:rsidR="00004D83" w:rsidRPr="009F43C8">
              <w:t xml:space="preserve"> (+0.5)</w:t>
            </w:r>
          </w:p>
        </w:tc>
        <w:tc>
          <w:tcPr>
            <w:tcW w:w="0" w:type="dxa"/>
            <w:vAlign w:val="center"/>
            <w:hideMark/>
          </w:tcPr>
          <w:p w14:paraId="742BFAAC" w14:textId="77777777" w:rsidR="00004D83" w:rsidRPr="009F43C8" w:rsidRDefault="00004D83" w:rsidP="00574990">
            <w:pPr>
              <w:jc w:val="center"/>
            </w:pPr>
            <w:r w:rsidRPr="009F43C8">
              <w:t>0.93</w:t>
            </w:r>
          </w:p>
        </w:tc>
        <w:tc>
          <w:tcPr>
            <w:tcW w:w="0" w:type="dxa"/>
            <w:vAlign w:val="center"/>
            <w:hideMark/>
          </w:tcPr>
          <w:p w14:paraId="563C93E4" w14:textId="77777777" w:rsidR="00004D83" w:rsidRPr="009F43C8" w:rsidRDefault="00004D83" w:rsidP="00574990">
            <w:pPr>
              <w:jc w:val="center"/>
            </w:pPr>
            <w:r w:rsidRPr="009F43C8">
              <w:t>0.94</w:t>
            </w:r>
          </w:p>
        </w:tc>
      </w:tr>
    </w:tbl>
    <w:p w14:paraId="5B09436C" w14:textId="77777777" w:rsidR="00004D83" w:rsidRDefault="00004D83" w:rsidP="00004D83"/>
    <w:p w14:paraId="663A7BAE" w14:textId="77777777" w:rsidR="00004D83" w:rsidRPr="0093335A" w:rsidRDefault="00004D83" w:rsidP="00A96F3F"/>
    <w:sectPr w:rsidR="00004D83" w:rsidRPr="009333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ECD62" w14:textId="77777777" w:rsidR="009D5C30" w:rsidRDefault="009D5C30" w:rsidP="009626C9">
      <w:pPr>
        <w:spacing w:after="0" w:line="240" w:lineRule="auto"/>
      </w:pPr>
      <w:r>
        <w:separator/>
      </w:r>
    </w:p>
  </w:endnote>
  <w:endnote w:type="continuationSeparator" w:id="0">
    <w:p w14:paraId="229CDC26" w14:textId="77777777" w:rsidR="009D5C30" w:rsidRDefault="009D5C30" w:rsidP="009626C9">
      <w:pPr>
        <w:spacing w:after="0" w:line="240" w:lineRule="auto"/>
      </w:pPr>
      <w:r>
        <w:continuationSeparator/>
      </w:r>
    </w:p>
  </w:endnote>
  <w:endnote w:type="continuationNotice" w:id="1">
    <w:p w14:paraId="206FFB03" w14:textId="77777777" w:rsidR="00D05820" w:rsidRDefault="00D058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2CE27" w14:textId="77777777" w:rsidR="009D5C30" w:rsidRDefault="009D5C30" w:rsidP="009626C9">
      <w:pPr>
        <w:spacing w:after="0" w:line="240" w:lineRule="auto"/>
      </w:pPr>
      <w:r>
        <w:separator/>
      </w:r>
    </w:p>
  </w:footnote>
  <w:footnote w:type="continuationSeparator" w:id="0">
    <w:p w14:paraId="4783E7F4" w14:textId="77777777" w:rsidR="009D5C30" w:rsidRDefault="009D5C30" w:rsidP="009626C9">
      <w:pPr>
        <w:spacing w:after="0" w:line="240" w:lineRule="auto"/>
      </w:pPr>
      <w:r>
        <w:continuationSeparator/>
      </w:r>
    </w:p>
  </w:footnote>
  <w:footnote w:type="continuationNotice" w:id="1">
    <w:p w14:paraId="4B8DDB68" w14:textId="77777777" w:rsidR="00D05820" w:rsidRDefault="00D0582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5782"/>
    <w:multiLevelType w:val="multilevel"/>
    <w:tmpl w:val="723E163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79A48F9"/>
    <w:multiLevelType w:val="hybridMultilevel"/>
    <w:tmpl w:val="71EC0F62"/>
    <w:lvl w:ilvl="0" w:tplc="66F40182">
      <w:start w:val="1"/>
      <w:numFmt w:val="decimal"/>
      <w:pStyle w:val="Heading2"/>
      <w:lvlText w:val="2.%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xMTYwNDQ0sDCwNDZQ0lEKTi0uzszPAykwrQUArZxRriwAAAA="/>
  </w:docVars>
  <w:rsids>
    <w:rsidRoot w:val="00A96F3F"/>
    <w:rsid w:val="00004D83"/>
    <w:rsid w:val="00036F84"/>
    <w:rsid w:val="00051656"/>
    <w:rsid w:val="000D23F7"/>
    <w:rsid w:val="000E604B"/>
    <w:rsid w:val="00114F7E"/>
    <w:rsid w:val="001159E7"/>
    <w:rsid w:val="001675D6"/>
    <w:rsid w:val="00183E86"/>
    <w:rsid w:val="001868BF"/>
    <w:rsid w:val="00186901"/>
    <w:rsid w:val="001D1A6F"/>
    <w:rsid w:val="002377C7"/>
    <w:rsid w:val="002937D8"/>
    <w:rsid w:val="00295F2D"/>
    <w:rsid w:val="0030156D"/>
    <w:rsid w:val="0034476E"/>
    <w:rsid w:val="0038374F"/>
    <w:rsid w:val="0040087E"/>
    <w:rsid w:val="004158A9"/>
    <w:rsid w:val="00481200"/>
    <w:rsid w:val="00506752"/>
    <w:rsid w:val="00574990"/>
    <w:rsid w:val="00580C01"/>
    <w:rsid w:val="005E47EF"/>
    <w:rsid w:val="005E7DD1"/>
    <w:rsid w:val="00607C68"/>
    <w:rsid w:val="00607C9B"/>
    <w:rsid w:val="006175A3"/>
    <w:rsid w:val="0062436C"/>
    <w:rsid w:val="006273DA"/>
    <w:rsid w:val="0064098E"/>
    <w:rsid w:val="006A5CE1"/>
    <w:rsid w:val="006B3A35"/>
    <w:rsid w:val="007216D0"/>
    <w:rsid w:val="007938D9"/>
    <w:rsid w:val="008551F5"/>
    <w:rsid w:val="00864542"/>
    <w:rsid w:val="008956C5"/>
    <w:rsid w:val="009279DE"/>
    <w:rsid w:val="009626C9"/>
    <w:rsid w:val="009926D9"/>
    <w:rsid w:val="009D5C30"/>
    <w:rsid w:val="00A54C22"/>
    <w:rsid w:val="00A96F3F"/>
    <w:rsid w:val="00B04D7B"/>
    <w:rsid w:val="00C43405"/>
    <w:rsid w:val="00C67349"/>
    <w:rsid w:val="00D05820"/>
    <w:rsid w:val="00D06F9D"/>
    <w:rsid w:val="00D43543"/>
    <w:rsid w:val="00D51D08"/>
    <w:rsid w:val="00D71774"/>
    <w:rsid w:val="00DD0096"/>
    <w:rsid w:val="00DD2869"/>
    <w:rsid w:val="00DE7133"/>
    <w:rsid w:val="00E31523"/>
    <w:rsid w:val="00E4176C"/>
    <w:rsid w:val="00E51C61"/>
    <w:rsid w:val="00EA05C8"/>
    <w:rsid w:val="00EB1868"/>
    <w:rsid w:val="00EC1B97"/>
    <w:rsid w:val="00F814D4"/>
    <w:rsid w:val="00FB5BA0"/>
    <w:rsid w:val="00FE75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689C72"/>
  <w15:chartTrackingRefBased/>
  <w15:docId w15:val="{0D21EA8E-42FE-4EEF-B2E1-DD956D22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F3F"/>
    <w:pPr>
      <w:spacing w:line="360" w:lineRule="auto"/>
      <w:jc w:val="both"/>
    </w:pPr>
    <w:rPr>
      <w:rFonts w:ascii="Times New Roman" w:eastAsia="Calibri" w:hAnsi="Times New Roman" w:cs="Times New Roman"/>
      <w:sz w:val="24"/>
      <w:szCs w:val="24"/>
      <w:lang w:val="en-US"/>
    </w:rPr>
  </w:style>
  <w:style w:type="paragraph" w:styleId="Heading1">
    <w:name w:val="heading 1"/>
    <w:basedOn w:val="Normal"/>
    <w:next w:val="Normal"/>
    <w:link w:val="Heading1Char"/>
    <w:uiPriority w:val="2"/>
    <w:qFormat/>
    <w:rsid w:val="00A96F3F"/>
    <w:pPr>
      <w:spacing w:before="240" w:after="240" w:line="240" w:lineRule="auto"/>
      <w:jc w:val="left"/>
      <w:outlineLvl w:val="0"/>
    </w:pPr>
    <w:rPr>
      <w:rFonts w:eastAsia="Cambria"/>
      <w:b/>
    </w:rPr>
  </w:style>
  <w:style w:type="paragraph" w:styleId="Heading2">
    <w:name w:val="heading 2"/>
    <w:basedOn w:val="Normal"/>
    <w:next w:val="Normal"/>
    <w:link w:val="Heading2Char"/>
    <w:uiPriority w:val="2"/>
    <w:unhideWhenUsed/>
    <w:qFormat/>
    <w:rsid w:val="00A96F3F"/>
    <w:pPr>
      <w:numPr>
        <w:numId w:val="2"/>
      </w:numPr>
      <w:spacing w:before="240" w:after="200" w:line="240" w:lineRule="auto"/>
      <w:jc w:val="left"/>
      <w:outlineLvl w:val="1"/>
    </w:pPr>
    <w:rPr>
      <w:rFonts w:eastAsia="Cambr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96F3F"/>
    <w:rPr>
      <w:rFonts w:ascii="Times New Roman" w:eastAsia="Cambria" w:hAnsi="Times New Roman" w:cs="Times New Roman"/>
      <w:b/>
      <w:sz w:val="24"/>
      <w:szCs w:val="24"/>
      <w:lang w:val="en-US"/>
    </w:rPr>
  </w:style>
  <w:style w:type="character" w:customStyle="1" w:styleId="Heading2Char">
    <w:name w:val="Heading 2 Char"/>
    <w:basedOn w:val="DefaultParagraphFont"/>
    <w:link w:val="Heading2"/>
    <w:uiPriority w:val="2"/>
    <w:rsid w:val="00A96F3F"/>
    <w:rPr>
      <w:rFonts w:ascii="Times New Roman" w:eastAsia="Cambria" w:hAnsi="Times New Roman" w:cs="Times New Roman"/>
      <w:b/>
      <w:sz w:val="24"/>
      <w:szCs w:val="24"/>
      <w:lang w:val="en-US"/>
    </w:rPr>
  </w:style>
  <w:style w:type="character" w:styleId="CommentReference">
    <w:name w:val="annotation reference"/>
    <w:basedOn w:val="DefaultParagraphFont"/>
    <w:uiPriority w:val="99"/>
    <w:semiHidden/>
    <w:unhideWhenUsed/>
    <w:rsid w:val="00A96F3F"/>
    <w:rPr>
      <w:sz w:val="16"/>
      <w:szCs w:val="16"/>
    </w:rPr>
  </w:style>
  <w:style w:type="paragraph" w:styleId="CommentText">
    <w:name w:val="annotation text"/>
    <w:basedOn w:val="Normal"/>
    <w:link w:val="CommentTextChar"/>
    <w:uiPriority w:val="99"/>
    <w:unhideWhenUsed/>
    <w:rsid w:val="00A96F3F"/>
    <w:pPr>
      <w:spacing w:line="240" w:lineRule="auto"/>
    </w:pPr>
    <w:rPr>
      <w:sz w:val="20"/>
      <w:szCs w:val="20"/>
    </w:rPr>
  </w:style>
  <w:style w:type="character" w:customStyle="1" w:styleId="CommentTextChar">
    <w:name w:val="Comment Text Char"/>
    <w:basedOn w:val="DefaultParagraphFont"/>
    <w:link w:val="CommentText"/>
    <w:uiPriority w:val="99"/>
    <w:rsid w:val="00A96F3F"/>
    <w:rPr>
      <w:rFonts w:ascii="Times New Roman" w:eastAsia="Calibri" w:hAnsi="Times New Roman" w:cs="Times New Roman"/>
      <w:sz w:val="20"/>
      <w:szCs w:val="20"/>
      <w:lang w:val="en-US"/>
    </w:rPr>
  </w:style>
  <w:style w:type="table" w:styleId="PlainTable4">
    <w:name w:val="Plain Table 4"/>
    <w:basedOn w:val="TableNormal"/>
    <w:uiPriority w:val="44"/>
    <w:rsid w:val="00A96F3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6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F3F"/>
    <w:rPr>
      <w:rFonts w:ascii="Segoe UI" w:eastAsia="Calibri" w:hAnsi="Segoe UI" w:cs="Segoe UI"/>
      <w:sz w:val="18"/>
      <w:szCs w:val="18"/>
      <w:lang w:val="en-US"/>
    </w:rPr>
  </w:style>
  <w:style w:type="paragraph" w:customStyle="1" w:styleId="SupplementaryMaterial">
    <w:name w:val="Supplementary Material"/>
    <w:basedOn w:val="Title"/>
    <w:next w:val="Title"/>
    <w:qFormat/>
    <w:rsid w:val="00114F7E"/>
    <w:pPr>
      <w:suppressLineNumbers/>
      <w:spacing w:before="240" w:after="120"/>
      <w:contextualSpacing w:val="0"/>
      <w:jc w:val="center"/>
    </w:pPr>
    <w:rPr>
      <w:rFonts w:ascii="Times New Roman" w:eastAsiaTheme="minorHAnsi" w:hAnsi="Times New Roman" w:cs="Times New Roman"/>
      <w:b/>
      <w:i/>
      <w:spacing w:val="0"/>
      <w:kern w:val="0"/>
      <w:sz w:val="32"/>
      <w:szCs w:val="32"/>
    </w:rPr>
  </w:style>
  <w:style w:type="paragraph" w:styleId="Title">
    <w:name w:val="Title"/>
    <w:basedOn w:val="Normal"/>
    <w:next w:val="Normal"/>
    <w:link w:val="TitleChar"/>
    <w:uiPriority w:val="10"/>
    <w:qFormat/>
    <w:rsid w:val="00114F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4F7E"/>
    <w:rPr>
      <w:rFonts w:asciiTheme="majorHAnsi" w:eastAsiaTheme="majorEastAsia" w:hAnsiTheme="majorHAnsi" w:cstheme="majorBidi"/>
      <w:spacing w:val="-10"/>
      <w:kern w:val="28"/>
      <w:sz w:val="56"/>
      <w:szCs w:val="56"/>
      <w:lang w:val="en-US"/>
    </w:rPr>
  </w:style>
  <w:style w:type="table" w:styleId="PlainTable1">
    <w:name w:val="Plain Table 1"/>
    <w:basedOn w:val="TableNormal"/>
    <w:uiPriority w:val="41"/>
    <w:rsid w:val="0005165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2377C7"/>
    <w:pPr>
      <w:keepNext/>
      <w:spacing w:after="200" w:line="240" w:lineRule="auto"/>
    </w:pPr>
    <w:rPr>
      <w:rFonts w:eastAsiaTheme="minorHAnsi"/>
      <w:bCs/>
    </w:rPr>
  </w:style>
  <w:style w:type="paragraph" w:styleId="FootnoteText">
    <w:name w:val="footnote text"/>
    <w:basedOn w:val="Normal"/>
    <w:link w:val="FootnoteTextChar"/>
    <w:uiPriority w:val="99"/>
    <w:semiHidden/>
    <w:unhideWhenUsed/>
    <w:rsid w:val="009626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26C9"/>
    <w:rPr>
      <w:rFonts w:ascii="Times New Roman" w:eastAsia="Calibri" w:hAnsi="Times New Roman" w:cs="Times New Roman"/>
      <w:sz w:val="20"/>
      <w:szCs w:val="20"/>
      <w:lang w:val="en-US"/>
    </w:rPr>
  </w:style>
  <w:style w:type="character" w:styleId="FootnoteReference">
    <w:name w:val="footnote reference"/>
    <w:basedOn w:val="DefaultParagraphFont"/>
    <w:uiPriority w:val="99"/>
    <w:semiHidden/>
    <w:unhideWhenUsed/>
    <w:rsid w:val="009626C9"/>
    <w:rPr>
      <w:vertAlign w:val="superscript"/>
    </w:rPr>
  </w:style>
  <w:style w:type="table" w:styleId="PlainTable3">
    <w:name w:val="Plain Table 3"/>
    <w:basedOn w:val="TableNormal"/>
    <w:uiPriority w:val="43"/>
    <w:rsid w:val="00E315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E31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E71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B04D7B"/>
    <w:rPr>
      <w:b/>
      <w:bCs/>
    </w:rPr>
  </w:style>
  <w:style w:type="character" w:customStyle="1" w:styleId="CommentSubjectChar">
    <w:name w:val="Comment Subject Char"/>
    <w:basedOn w:val="CommentTextChar"/>
    <w:link w:val="CommentSubject"/>
    <w:uiPriority w:val="99"/>
    <w:semiHidden/>
    <w:rsid w:val="00B04D7B"/>
    <w:rPr>
      <w:rFonts w:ascii="Times New Roman" w:eastAsia="Calibri" w:hAnsi="Times New Roman" w:cs="Times New Roman"/>
      <w:b/>
      <w:bCs/>
      <w:sz w:val="20"/>
      <w:szCs w:val="20"/>
      <w:lang w:val="en-US"/>
    </w:rPr>
  </w:style>
  <w:style w:type="paragraph" w:styleId="Header">
    <w:name w:val="header"/>
    <w:basedOn w:val="Normal"/>
    <w:link w:val="HeaderChar"/>
    <w:uiPriority w:val="99"/>
    <w:semiHidden/>
    <w:unhideWhenUsed/>
    <w:rsid w:val="00D058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5820"/>
    <w:rPr>
      <w:rFonts w:ascii="Times New Roman" w:eastAsia="Calibri" w:hAnsi="Times New Roman" w:cs="Times New Roman"/>
      <w:sz w:val="24"/>
      <w:szCs w:val="24"/>
      <w:lang w:val="en-US"/>
    </w:rPr>
  </w:style>
  <w:style w:type="paragraph" w:styleId="Footer">
    <w:name w:val="footer"/>
    <w:basedOn w:val="Normal"/>
    <w:link w:val="FooterChar"/>
    <w:uiPriority w:val="99"/>
    <w:semiHidden/>
    <w:unhideWhenUsed/>
    <w:rsid w:val="00D058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5820"/>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05DB1794D5F6654BB0648EA79E5A4C85" ma:contentTypeVersion="15" ma:contentTypeDescription="Create a new document." ma:contentTypeScope="" ma:versionID="c26bbe8bccfe5fbdc55024a38ac2e3e9">
  <xsd:schema xmlns:xsd="http://www.w3.org/2001/XMLSchema" xmlns:xs="http://www.w3.org/2001/XMLSchema" xmlns:p="http://schemas.microsoft.com/office/2006/metadata/properties" xmlns:ns1="http://schemas.microsoft.com/sharepoint/v3" xmlns:ns3="4269fa60-3ace-4359-a37f-8d724c1fb74d" xmlns:ns4="5263be2b-f8ee-490c-9088-d4db30c6de1e" targetNamespace="http://schemas.microsoft.com/office/2006/metadata/properties" ma:root="true" ma:fieldsID="648057ddd70cb5a95160790155b0559e" ns1:_="" ns3:_="" ns4:_="">
    <xsd:import namespace="http://schemas.microsoft.com/sharepoint/v3"/>
    <xsd:import namespace="4269fa60-3ace-4359-a37f-8d724c1fb74d"/>
    <xsd:import namespace="5263be2b-f8ee-490c-9088-d4db30c6de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9fa60-3ace-4359-a37f-8d724c1fb7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3be2b-f8ee-490c-9088-d4db30c6de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3193DAE-5B00-4A1C-8A8C-FCBA36BEF7C8}">
  <ds:schemaRefs>
    <ds:schemaRef ds:uri="http://schemas.microsoft.com/sharepoint/v3/contenttype/forms"/>
  </ds:schemaRefs>
</ds:datastoreItem>
</file>

<file path=customXml/itemProps2.xml><?xml version="1.0" encoding="utf-8"?>
<ds:datastoreItem xmlns:ds="http://schemas.openxmlformats.org/officeDocument/2006/customXml" ds:itemID="{700A85DF-7F5A-4CDD-A965-4F13B4B9A00E}">
  <ds:schemaRefs>
    <ds:schemaRef ds:uri="http://schemas.openxmlformats.org/officeDocument/2006/bibliography"/>
  </ds:schemaRefs>
</ds:datastoreItem>
</file>

<file path=customXml/itemProps3.xml><?xml version="1.0" encoding="utf-8"?>
<ds:datastoreItem xmlns:ds="http://schemas.openxmlformats.org/officeDocument/2006/customXml" ds:itemID="{685B41F8-F5BB-43C8-8AB0-B0C37C3AC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69fa60-3ace-4359-a37f-8d724c1fb74d"/>
    <ds:schemaRef ds:uri="5263be2b-f8ee-490c-9088-d4db30c6d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6ABAFC-BC53-4CF7-8D1A-655BAF07FC8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1</Pages>
  <Words>1754</Words>
  <Characters>10002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Mc Gee</dc:creator>
  <cp:keywords/>
  <dc:description/>
  <cp:lastModifiedBy>Tríona Lally</cp:lastModifiedBy>
  <cp:revision>28</cp:revision>
  <dcterms:created xsi:type="dcterms:W3CDTF">2021-03-03T08:42:00Z</dcterms:created>
  <dcterms:modified xsi:type="dcterms:W3CDTF">2021-03-05T07:41:00Z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http://www.zotero.org/styles/acta-materialia</vt:lpwstr>
  </property>
  <property fmtid="{D5CDD505-2E9C-101B-9397-08002B2CF9AE}" pid="3" name="Mendeley Recent Style Name 0_1">
    <vt:lpwstr>Acta Materialia</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17th edition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http://csl.mendeley.com/styles/527959371/the-embo-application2</vt:lpwstr>
  </property>
  <property fmtid="{D5CDD505-2E9C-101B-9397-08002B2CF9AE}" pid="21" name="Mendeley Recent Style Name 9_1">
    <vt:lpwstr>The EMBO Journal - Orla McGee</vt:lpwstr>
  </property>
  <property fmtid="{D5CDD505-2E9C-101B-9397-08002B2CF9AE}" pid="22" name="Mendeley Document_1">
    <vt:lpwstr>True</vt:lpwstr>
  </property>
  <property fmtid="{D5CDD505-2E9C-101B-9397-08002B2CF9AE}" pid="23" name="Mendeley Unique User Id_1">
    <vt:lpwstr>f5019523-3d55-39bc-8f7e-5717e452b514</vt:lpwstr>
  </property>
  <property fmtid="{D5CDD505-2E9C-101B-9397-08002B2CF9AE}" pid="24" name="Mendeley Citation Style_1">
    <vt:lpwstr>http://www.zotero.org/styles/chicago-author-date</vt:lpwstr>
  </property>
  <property fmtid="{D5CDD505-2E9C-101B-9397-08002B2CF9AE}" pid="25" name="ContentTypeId">
    <vt:lpwstr>0x01010005DB1794D5F6654BB0648EA79E5A4C85</vt:lpwstr>
  </property>
</Properties>
</file>