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92B33C" w14:textId="4AA2788C" w:rsidR="00523C55" w:rsidRDefault="00523C55"/>
    <w:p w14:paraId="75B8BDA2" w14:textId="528893FA" w:rsidR="000B290E" w:rsidRDefault="000B290E">
      <w:r>
        <w:rPr>
          <w:rFonts w:hint="eastAsia"/>
          <w:noProof/>
        </w:rPr>
        <w:drawing>
          <wp:inline distT="0" distB="0" distL="0" distR="0" wp14:anchorId="5CA1B52F" wp14:editId="18247B7F">
            <wp:extent cx="5274310" cy="13976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290C2" w14:textId="77777777" w:rsidR="009D7782" w:rsidRDefault="00437A75">
      <w:pPr>
        <w:rPr>
          <w:rFonts w:ascii="Times New Roman" w:hAnsi="Times New Roman" w:cs="Times New Roman"/>
          <w:b/>
          <w:bCs/>
        </w:rPr>
      </w:pPr>
      <w:r w:rsidRPr="00595DFA">
        <w:rPr>
          <w:rFonts w:ascii="Times New Roman" w:hAnsi="Times New Roman" w:cs="Times New Roman"/>
          <w:b/>
          <w:bCs/>
        </w:rPr>
        <w:t>Supplementary</w:t>
      </w:r>
      <w:r w:rsidR="00B51EC2" w:rsidRPr="00595DFA">
        <w:rPr>
          <w:rFonts w:ascii="Times New Roman" w:hAnsi="Times New Roman" w:cs="Times New Roman"/>
          <w:b/>
          <w:bCs/>
        </w:rPr>
        <w:t xml:space="preserve"> Figure1 </w:t>
      </w:r>
      <w:r w:rsidR="00FA68AB">
        <w:rPr>
          <w:rFonts w:ascii="Times New Roman" w:hAnsi="Times New Roman" w:cs="Times New Roman"/>
          <w:b/>
          <w:bCs/>
        </w:rPr>
        <w:t>|</w:t>
      </w:r>
      <w:r w:rsidR="001664A4">
        <w:rPr>
          <w:rFonts w:ascii="Times New Roman" w:hAnsi="Times New Roman" w:cs="Times New Roman"/>
          <w:b/>
          <w:bCs/>
        </w:rPr>
        <w:t xml:space="preserve"> </w:t>
      </w:r>
    </w:p>
    <w:p w14:paraId="701774C3" w14:textId="06B71AFA" w:rsidR="000373A5" w:rsidRDefault="001664A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WGCNA analysis</w:t>
      </w:r>
    </w:p>
    <w:p w14:paraId="7D93C88D" w14:textId="167165DC" w:rsidR="00DA2360" w:rsidRDefault="000373A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)</w:t>
      </w:r>
      <w:r w:rsidR="00FA68AB" w:rsidRPr="000373A5">
        <w:rPr>
          <w:rFonts w:ascii="Times New Roman" w:hAnsi="Times New Roman" w:cs="Times New Roman"/>
        </w:rPr>
        <w:t xml:space="preserve"> </w:t>
      </w:r>
      <w:r w:rsidRPr="000373A5">
        <w:rPr>
          <w:rFonts w:ascii="Times New Roman" w:hAnsi="Times New Roman" w:cs="Times New Roman"/>
        </w:rPr>
        <w:t>clustering of samples to detect outliers</w:t>
      </w:r>
      <w:r w:rsidR="00C86DB0">
        <w:rPr>
          <w:rFonts w:ascii="Times New Roman" w:hAnsi="Times New Roman" w:cs="Times New Roman"/>
        </w:rPr>
        <w:t>. The red line</w:t>
      </w:r>
      <w:r w:rsidR="00426FFC">
        <w:rPr>
          <w:rFonts w:ascii="Times New Roman" w:hAnsi="Times New Roman" w:cs="Times New Roman"/>
        </w:rPr>
        <w:t xml:space="preserve"> </w:t>
      </w:r>
      <w:r w:rsidR="00B213FF">
        <w:rPr>
          <w:rFonts w:ascii="Times New Roman" w:hAnsi="Times New Roman" w:cs="Times New Roman"/>
        </w:rPr>
        <w:t>represe</w:t>
      </w:r>
      <w:r w:rsidR="00426FFC">
        <w:rPr>
          <w:rFonts w:ascii="Times New Roman" w:hAnsi="Times New Roman" w:cs="Times New Roman"/>
        </w:rPr>
        <w:t>n</w:t>
      </w:r>
      <w:r w:rsidR="00B213FF">
        <w:rPr>
          <w:rFonts w:ascii="Times New Roman" w:hAnsi="Times New Roman" w:cs="Times New Roman"/>
        </w:rPr>
        <w:t>t</w:t>
      </w:r>
      <w:r w:rsidR="00426FFC">
        <w:rPr>
          <w:rFonts w:ascii="Times New Roman" w:hAnsi="Times New Roman" w:cs="Times New Roman"/>
        </w:rPr>
        <w:t>s</w:t>
      </w:r>
      <w:r w:rsidR="00B213FF">
        <w:rPr>
          <w:rFonts w:ascii="Times New Roman" w:hAnsi="Times New Roman" w:cs="Times New Roman"/>
        </w:rPr>
        <w:t xml:space="preserve"> </w:t>
      </w:r>
      <w:r w:rsidR="00426F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height of sample clustering, which set as 108. </w:t>
      </w:r>
      <w:r w:rsidR="00B213FF">
        <w:rPr>
          <w:rFonts w:ascii="Times New Roman" w:hAnsi="Times New Roman" w:cs="Times New Roman"/>
        </w:rPr>
        <w:t xml:space="preserve"> </w:t>
      </w:r>
    </w:p>
    <w:p w14:paraId="20289140" w14:textId="7EE7A0E4" w:rsidR="00453170" w:rsidRDefault="00453170" w:rsidP="000373A5">
      <w:pPr>
        <w:pStyle w:val="a3"/>
        <w:numPr>
          <w:ilvl w:val="0"/>
          <w:numId w:val="2"/>
        </w:numPr>
        <w:ind w:firstLineChars="0"/>
        <w:rPr>
          <w:rFonts w:ascii="Times New Roman" w:hAnsi="Times New Roman" w:cs="Times New Roman"/>
        </w:rPr>
      </w:pPr>
      <w:r w:rsidRPr="000373A5">
        <w:rPr>
          <w:rFonts w:ascii="Times New Roman" w:hAnsi="Times New Roman" w:cs="Times New Roman"/>
        </w:rPr>
        <w:t>The cluster dendrogram of module eigengenes</w:t>
      </w:r>
      <w:r w:rsidR="000373A5">
        <w:rPr>
          <w:rFonts w:ascii="Times New Roman" w:hAnsi="Times New Roman" w:cs="Times New Roman" w:hint="eastAsia"/>
        </w:rPr>
        <w:t>.</w:t>
      </w:r>
      <w:r w:rsidR="000373A5">
        <w:rPr>
          <w:rFonts w:ascii="Times New Roman" w:hAnsi="Times New Roman" w:cs="Times New Roman"/>
        </w:rPr>
        <w:t xml:space="preserve"> T</w:t>
      </w:r>
      <w:r w:rsidR="000373A5">
        <w:rPr>
          <w:rFonts w:ascii="Times New Roman" w:hAnsi="Times New Roman" w:cs="Times New Roman" w:hint="eastAsia"/>
        </w:rPr>
        <w:t>he</w:t>
      </w:r>
      <w:r w:rsidR="000373A5">
        <w:rPr>
          <w:rFonts w:ascii="Times New Roman" w:hAnsi="Times New Roman" w:cs="Times New Roman"/>
        </w:rPr>
        <w:t xml:space="preserve"> red line indicates cut height </w:t>
      </w:r>
      <w:r w:rsidR="0003430E">
        <w:rPr>
          <w:rFonts w:ascii="Times New Roman" w:hAnsi="Times New Roman" w:cs="Times New Roman"/>
        </w:rPr>
        <w:t>(0.25)</w:t>
      </w:r>
    </w:p>
    <w:p w14:paraId="23F922AD" w14:textId="6E81A6C4" w:rsidR="00453170" w:rsidRPr="000B290E" w:rsidRDefault="006D2026" w:rsidP="000B290E">
      <w:pPr>
        <w:pStyle w:val="a3"/>
        <w:numPr>
          <w:ilvl w:val="0"/>
          <w:numId w:val="2"/>
        </w:numPr>
        <w:ind w:firstLineChars="0"/>
        <w:rPr>
          <w:rFonts w:ascii="Times New Roman" w:hAnsi="Times New Roman" w:cs="Times New Roman"/>
        </w:rPr>
      </w:pPr>
      <w:r w:rsidRPr="000B290E">
        <w:rPr>
          <w:rFonts w:ascii="Times New Roman" w:hAnsi="Times New Roman" w:cs="Times New Roman"/>
        </w:rPr>
        <w:t>The left panel is h</w:t>
      </w:r>
      <w:r w:rsidR="0003430E" w:rsidRPr="000B290E">
        <w:rPr>
          <w:rFonts w:ascii="Times New Roman" w:hAnsi="Times New Roman" w:cs="Times New Roman"/>
        </w:rPr>
        <w:t xml:space="preserve">istogram of connectivity distribution when β= </w:t>
      </w:r>
      <w:r w:rsidRPr="000B290E">
        <w:rPr>
          <w:rFonts w:ascii="Times New Roman" w:hAnsi="Times New Roman" w:cs="Times New Roman"/>
        </w:rPr>
        <w:t>8, the right picture is analysis</w:t>
      </w:r>
      <w:r w:rsidR="000B290E" w:rsidRPr="000B290E">
        <w:rPr>
          <w:rFonts w:ascii="Times New Roman" w:hAnsi="Times New Roman" w:cs="Times New Roman"/>
        </w:rPr>
        <w:t xml:space="preserve"> </w:t>
      </w:r>
      <w:r w:rsidRPr="000B290E">
        <w:rPr>
          <w:rFonts w:ascii="Times New Roman" w:hAnsi="Times New Roman" w:cs="Times New Roman"/>
        </w:rPr>
        <w:t>of the mean connectivity for various soft-thresholding powers.</w:t>
      </w:r>
    </w:p>
    <w:p w14:paraId="3C1D4872" w14:textId="4A71044C" w:rsidR="00D10991" w:rsidRPr="000B290E" w:rsidRDefault="00D10991" w:rsidP="00D10991">
      <w:pPr>
        <w:rPr>
          <w:rFonts w:ascii="Times New Roman" w:hAnsi="Times New Roman" w:cs="Times New Roman"/>
          <w:b/>
          <w:bCs/>
        </w:rPr>
      </w:pPr>
    </w:p>
    <w:p w14:paraId="6CBEAB01" w14:textId="4BD990A2" w:rsidR="00D10991" w:rsidRDefault="00D10991" w:rsidP="00D1099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  <w:noProof/>
        </w:rPr>
        <w:lastRenderedPageBreak/>
        <w:drawing>
          <wp:inline distT="0" distB="0" distL="0" distR="0" wp14:anchorId="42B65FFD" wp14:editId="0084F779">
            <wp:extent cx="5274310" cy="70319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A5279" w14:textId="77777777" w:rsidR="00D10991" w:rsidRDefault="00D10991" w:rsidP="00D1099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upplementary Figure2 |</w:t>
      </w:r>
    </w:p>
    <w:p w14:paraId="3CEEA6A0" w14:textId="772779D8" w:rsidR="00D10991" w:rsidRPr="00D10991" w:rsidRDefault="00D10991" w:rsidP="00D10991">
      <w:pPr>
        <w:rPr>
          <w:rFonts w:ascii="Times New Roman" w:hAnsi="Times New Roman" w:cs="Times New Roman"/>
          <w:b/>
          <w:bCs/>
        </w:rPr>
      </w:pPr>
      <w:r w:rsidRPr="00DD071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Immunohistochemistry of the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Pr="00DD071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key genes based on the Human Protein Atlas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</w:t>
      </w:r>
      <w:r w:rsidRPr="002A35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HPA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Pr="002A35A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database. </w:t>
      </w:r>
    </w:p>
    <w:p w14:paraId="3CF0ECF1" w14:textId="2A7B17FE" w:rsidR="00D10991" w:rsidRDefault="00D10991" w:rsidP="00D10991">
      <w:pPr>
        <w:rPr>
          <w:rFonts w:ascii="Times New Roman" w:hAnsi="Times New Roman" w:cs="Times New Roman"/>
          <w:b/>
          <w:bCs/>
        </w:rPr>
      </w:pPr>
      <w:r w:rsidRPr="00DD071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</w:t>
      </w:r>
      <w:r w:rsidRPr="00DD0712">
        <w:rPr>
          <w:rFonts w:ascii="Times New Roman" w:hAnsi="Times New Roman" w:cs="Times New Roman"/>
          <w:color w:val="000000" w:themeColor="text1"/>
          <w:sz w:val="24"/>
          <w:szCs w:val="24"/>
        </w:rPr>
        <w:t>A)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Protein levels of CCNA2 in normal prostate tissue (Staining: Not detected; Intensity: Negative; Quantity: None). (B) Protein levels of CCNA2 in low-grade prostate tissue (Staining: Low; Intensity: Moderate; Quantity: &lt;25%). (C) Protein levels of CCNA2 in high-grade prostate tissue (Staining: Medium; Intensity: Strong; Quantity: &lt;25%). (D) Protein levels of CKAP2L in normal prostate tissue (Staining: Not detected; Intensity: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Weak; Quantity: &lt;25%). (E) Protein levels of CKAP2L in low-grade prostate tissue (Staining: Low; Intensity: Weak; Quantity: 75%~25%). (F) Protein levels of CKAP2L in high-grade prostate tissue (Staining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edium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 Intensity: Moderate; Quantity: &gt;75%). (G) Protein levels of NCAPG in normal prostate tissue (Staining: Medium; Intensity: Moderate; Quantity: 75%~25%). (H) Protein levels of NCAPG in low-grade prostate tissue (Staining: Medium; Intensity: Moderate; Quantity: &gt;75%). (I) Protein levels of NCAPG in high-grade prostate tissue (Staining: Medium; Intensity: Moderate; Quantity: &gt;75%). (J) Protein levels of NUSAP1 in normal prostate tissue (Staining: Medium; Intensity: Moderate; Quantity: 75%~25%). (K) Protein levels of NUSAP1 in low-grade prostate tissue (Staining: Low; Intensity: Weak; Quantity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75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%~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%).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Protein levels of NUSAP1 in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high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-grade prostate tissue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taining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 Medium; Intensity: Strong; Quantity: &lt;25%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2C719FB" w14:textId="505176F9" w:rsidR="00D10991" w:rsidRDefault="00D10991" w:rsidP="00D1099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  <w:noProof/>
        </w:rPr>
        <w:drawing>
          <wp:inline distT="0" distB="0" distL="0" distR="0" wp14:anchorId="0D14FC69" wp14:editId="36F40E69">
            <wp:extent cx="5274310" cy="25933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359C8" w14:textId="295FC470" w:rsidR="000B06A2" w:rsidRDefault="009817A5" w:rsidP="00D1099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Supplementary Figure3</w:t>
      </w:r>
      <w:r w:rsidR="000B06A2">
        <w:rPr>
          <w:rFonts w:ascii="Times New Roman" w:hAnsi="Times New Roman" w:cs="Times New Roman" w:hint="eastAsia"/>
          <w:b/>
          <w:bCs/>
        </w:rPr>
        <w:t xml:space="preserve"> </w:t>
      </w:r>
      <w:r w:rsidR="000B06A2">
        <w:rPr>
          <w:rFonts w:ascii="Times New Roman" w:hAnsi="Times New Roman" w:cs="Times New Roman"/>
          <w:b/>
          <w:bCs/>
        </w:rPr>
        <w:t>|</w:t>
      </w:r>
    </w:p>
    <w:p w14:paraId="43EA6C57" w14:textId="55B4CF79" w:rsidR="000B06A2" w:rsidRPr="003367EB" w:rsidRDefault="000B06A2" w:rsidP="000B06A2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367E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Genetic alteration of hub genes</w:t>
      </w:r>
    </w:p>
    <w:p w14:paraId="134B1C4D" w14:textId="77777777" w:rsidR="000B06A2" w:rsidRDefault="000B06A2" w:rsidP="000B06A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02F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(A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) </w:t>
      </w:r>
      <w:r w:rsidRPr="00B702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Summary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frequency of </w:t>
      </w:r>
      <w:r w:rsidRPr="00B702FB">
        <w:rPr>
          <w:rFonts w:ascii="Times New Roman" w:hAnsi="Times New Roman" w:cs="Times New Roman"/>
          <w:color w:val="000000" w:themeColor="text1"/>
          <w:sz w:val="24"/>
          <w:szCs w:val="24"/>
        </w:rPr>
        <w:t>genetic alteration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B702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CCNA2, CKAP2L, NCAPG,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Pr="00B702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NUSAP1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r w:rsidRPr="00B702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499 samples. Meanwhile, the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information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such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heatmap of hub genes, mutation count, Gleason pattern and disease-free survival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DFS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each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sample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also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show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ed.</w:t>
      </w:r>
    </w:p>
    <w:p w14:paraId="43896F85" w14:textId="77777777" w:rsidR="000B06A2" w:rsidRDefault="000B06A2" w:rsidP="000B06A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(B) The total alteration frequency of 4 hub genes. </w:t>
      </w:r>
    </w:p>
    <w:p w14:paraId="0A8807FA" w14:textId="77777777" w:rsidR="000B06A2" w:rsidRDefault="000B06A2" w:rsidP="000B06A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FFC30B" w14:textId="7053A8B7" w:rsidR="000B06A2" w:rsidRDefault="000B06A2" w:rsidP="00D10991">
      <w:pPr>
        <w:rPr>
          <w:rFonts w:ascii="Times New Roman" w:hAnsi="Times New Roman" w:cs="Times New Roman"/>
          <w:b/>
          <w:bCs/>
        </w:rPr>
      </w:pPr>
    </w:p>
    <w:p w14:paraId="14DA2668" w14:textId="43DAB88B" w:rsidR="00D03BE1" w:rsidRPr="002E1941" w:rsidRDefault="00D03BE1" w:rsidP="00D10991">
      <w:pPr>
        <w:rPr>
          <w:rFonts w:ascii="Times New Roman" w:hAnsi="Times New Roman" w:cs="Times New Roman"/>
          <w:b/>
          <w:bCs/>
        </w:rPr>
      </w:pPr>
    </w:p>
    <w:sectPr w:rsidR="00D03BE1" w:rsidRPr="002E19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6350A3" w14:textId="77777777" w:rsidR="008A7C77" w:rsidRDefault="008A7C77" w:rsidP="00D10991">
      <w:r>
        <w:separator/>
      </w:r>
    </w:p>
  </w:endnote>
  <w:endnote w:type="continuationSeparator" w:id="0">
    <w:p w14:paraId="584DA6DD" w14:textId="77777777" w:rsidR="008A7C77" w:rsidRDefault="008A7C77" w:rsidP="00D10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A8592E" w14:textId="77777777" w:rsidR="008A7C77" w:rsidRDefault="008A7C77" w:rsidP="00D10991">
      <w:r>
        <w:separator/>
      </w:r>
    </w:p>
  </w:footnote>
  <w:footnote w:type="continuationSeparator" w:id="0">
    <w:p w14:paraId="2C797B85" w14:textId="77777777" w:rsidR="008A7C77" w:rsidRDefault="008A7C77" w:rsidP="00D109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B02516"/>
    <w:multiLevelType w:val="hybridMultilevel"/>
    <w:tmpl w:val="14F8C11A"/>
    <w:lvl w:ilvl="0" w:tplc="718EDCB8">
      <w:start w:val="2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7AB3C8D"/>
    <w:multiLevelType w:val="hybridMultilevel"/>
    <w:tmpl w:val="0E38F760"/>
    <w:lvl w:ilvl="0" w:tplc="4F70EAE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360"/>
    <w:rsid w:val="0003430E"/>
    <w:rsid w:val="000373A5"/>
    <w:rsid w:val="000B06A2"/>
    <w:rsid w:val="000B290E"/>
    <w:rsid w:val="001664A4"/>
    <w:rsid w:val="002E1941"/>
    <w:rsid w:val="00426FFC"/>
    <w:rsid w:val="00437A75"/>
    <w:rsid w:val="00453170"/>
    <w:rsid w:val="00523C55"/>
    <w:rsid w:val="00595DFA"/>
    <w:rsid w:val="005E6D9D"/>
    <w:rsid w:val="006D2026"/>
    <w:rsid w:val="008A7C77"/>
    <w:rsid w:val="009817A5"/>
    <w:rsid w:val="009D7782"/>
    <w:rsid w:val="00A045C3"/>
    <w:rsid w:val="00B213FF"/>
    <w:rsid w:val="00B51EC2"/>
    <w:rsid w:val="00C86DB0"/>
    <w:rsid w:val="00D03BE1"/>
    <w:rsid w:val="00D10991"/>
    <w:rsid w:val="00DA2360"/>
    <w:rsid w:val="00DC2F0A"/>
    <w:rsid w:val="00FA6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61ED39"/>
  <w15:chartTrackingRefBased/>
  <w15:docId w15:val="{2B712AB3-C6F6-4634-A4B2-C69B9F0EF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3170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D109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10991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109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10991"/>
    <w:rPr>
      <w:sz w:val="18"/>
      <w:szCs w:val="18"/>
    </w:rPr>
  </w:style>
  <w:style w:type="table" w:styleId="a8">
    <w:name w:val="Table Grid"/>
    <w:basedOn w:val="a1"/>
    <w:uiPriority w:val="39"/>
    <w:rsid w:val="00DC2F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3</Pages>
  <Words>338</Words>
  <Characters>1927</Characters>
  <Application>Microsoft Office Word</Application>
  <DocSecurity>0</DocSecurity>
  <Lines>16</Lines>
  <Paragraphs>4</Paragraphs>
  <ScaleCrop>false</ScaleCrop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CET</dc:creator>
  <cp:keywords/>
  <dc:description/>
  <cp:lastModifiedBy>CET</cp:lastModifiedBy>
  <cp:revision>14</cp:revision>
  <dcterms:created xsi:type="dcterms:W3CDTF">2020-07-04T08:13:00Z</dcterms:created>
  <dcterms:modified xsi:type="dcterms:W3CDTF">2021-01-21T12:07:00Z</dcterms:modified>
</cp:coreProperties>
</file>