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4D378" w14:textId="02C31C56" w:rsidR="00994A3D" w:rsidRPr="00D82455" w:rsidRDefault="00654E8F" w:rsidP="008E53C6">
      <w:pPr>
        <w:pStyle w:val="SupplementaryMaterial"/>
      </w:pPr>
      <w:bookmarkStart w:id="0" w:name="_Hlk56101061"/>
      <w:r w:rsidRPr="00D82455">
        <w:t>Supplementary Material</w:t>
      </w:r>
    </w:p>
    <w:p w14:paraId="43558CF6" w14:textId="77777777" w:rsidR="008E53C6" w:rsidRPr="00D82455" w:rsidRDefault="008E53C6" w:rsidP="008E53C6">
      <w:pPr>
        <w:rPr>
          <w:rFonts w:cs="Times New Roman"/>
          <w:szCs w:val="24"/>
        </w:rPr>
      </w:pPr>
      <w:r w:rsidRPr="00D82455">
        <w:rPr>
          <w:rFonts w:cs="Times New Roman"/>
          <w:b/>
          <w:bCs/>
          <w:szCs w:val="24"/>
        </w:rPr>
        <w:t>Supplementary Table 1.</w:t>
      </w:r>
      <w:r w:rsidRPr="00D82455">
        <w:rPr>
          <w:rFonts w:cs="Times New Roman"/>
          <w:szCs w:val="24"/>
        </w:rPr>
        <w:t xml:space="preserve"> Pro-inflammatory, anti-inflammatory, and housekeeping genes.</w:t>
      </w:r>
    </w:p>
    <w:tbl>
      <w:tblPr>
        <w:tblStyle w:val="Tablaconcuadrcul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4062"/>
        <w:gridCol w:w="1623"/>
        <w:gridCol w:w="1243"/>
      </w:tblGrid>
      <w:tr w:rsidR="00D82455" w:rsidRPr="00D82455" w14:paraId="6DDED7B0" w14:textId="77777777" w:rsidTr="002A5FAF"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</w:tcPr>
          <w:p w14:paraId="440D911C" w14:textId="77777777" w:rsidR="008E53C6" w:rsidRPr="00D82455" w:rsidRDefault="008E53C6" w:rsidP="00EE7F97">
            <w:pPr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Gene</w:t>
            </w:r>
          </w:p>
        </w:tc>
        <w:tc>
          <w:tcPr>
            <w:tcW w:w="4827" w:type="dxa"/>
            <w:tcBorders>
              <w:top w:val="single" w:sz="4" w:space="0" w:color="auto"/>
              <w:bottom w:val="single" w:sz="4" w:space="0" w:color="auto"/>
            </w:tcBorders>
          </w:tcPr>
          <w:p w14:paraId="5784AD8C" w14:textId="77777777" w:rsidR="008E53C6" w:rsidRPr="00D82455" w:rsidRDefault="008E53C6" w:rsidP="00EE7F97">
            <w:pPr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Description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</w:tcPr>
          <w:p w14:paraId="1802AD8D" w14:textId="77777777" w:rsidR="008E53C6" w:rsidRPr="00D82455" w:rsidRDefault="008E53C6" w:rsidP="00EE7F97">
            <w:pPr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NCBI Reference Sequence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39C8BDF5" w14:textId="77777777" w:rsidR="008E53C6" w:rsidRPr="00D82455" w:rsidRDefault="008E53C6" w:rsidP="00EE7F97">
            <w:pPr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Efficiency</w:t>
            </w:r>
          </w:p>
          <w:p w14:paraId="652C41A2" w14:textId="77777777" w:rsidR="008E53C6" w:rsidRPr="00D82455" w:rsidRDefault="008E53C6" w:rsidP="00EE7F97">
            <w:pPr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(%)*</w:t>
            </w:r>
          </w:p>
        </w:tc>
      </w:tr>
      <w:tr w:rsidR="00D82455" w:rsidRPr="00D82455" w14:paraId="1D0FCE4A" w14:textId="77777777" w:rsidTr="002A5FAF">
        <w:tc>
          <w:tcPr>
            <w:tcW w:w="80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057419" w14:textId="77777777" w:rsidR="008E53C6" w:rsidRPr="00D82455" w:rsidRDefault="008E53C6" w:rsidP="00EE7F97">
            <w:pPr>
              <w:tabs>
                <w:tab w:val="left" w:pos="2295"/>
              </w:tabs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Pro-inflammatory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0143B1FC" w14:textId="77777777" w:rsidR="008E53C6" w:rsidRPr="00D82455" w:rsidRDefault="008E53C6" w:rsidP="00EE7F97">
            <w:pPr>
              <w:tabs>
                <w:tab w:val="left" w:pos="2295"/>
              </w:tabs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D82455" w:rsidRPr="00D82455" w14:paraId="176B3434" w14:textId="77777777" w:rsidTr="002A5FAF">
        <w:tc>
          <w:tcPr>
            <w:tcW w:w="1576" w:type="dxa"/>
            <w:tcBorders>
              <w:top w:val="single" w:sz="4" w:space="0" w:color="auto"/>
            </w:tcBorders>
          </w:tcPr>
          <w:p w14:paraId="0269BA24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COX2</w:t>
            </w:r>
          </w:p>
        </w:tc>
        <w:tc>
          <w:tcPr>
            <w:tcW w:w="4827" w:type="dxa"/>
            <w:tcBorders>
              <w:top w:val="single" w:sz="4" w:space="0" w:color="auto"/>
            </w:tcBorders>
          </w:tcPr>
          <w:p w14:paraId="2D169A1C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mRNA for prostaglandin synthase cyclooxygenase, 3'UTR</w:t>
            </w:r>
          </w:p>
        </w:tc>
        <w:tc>
          <w:tcPr>
            <w:tcW w:w="1623" w:type="dxa"/>
            <w:tcBorders>
              <w:top w:val="single" w:sz="4" w:space="0" w:color="auto"/>
            </w:tcBorders>
          </w:tcPr>
          <w:p w14:paraId="5722E7A5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NM_011198.3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14:paraId="711D985E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90.54</w:t>
            </w:r>
          </w:p>
        </w:tc>
      </w:tr>
      <w:tr w:rsidR="00D82455" w:rsidRPr="00D82455" w14:paraId="573B5EF1" w14:textId="77777777" w:rsidTr="002A5FAF">
        <w:tc>
          <w:tcPr>
            <w:tcW w:w="1576" w:type="dxa"/>
          </w:tcPr>
          <w:p w14:paraId="06BE71A8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IFN-γ</w:t>
            </w:r>
          </w:p>
        </w:tc>
        <w:tc>
          <w:tcPr>
            <w:tcW w:w="4827" w:type="dxa"/>
          </w:tcPr>
          <w:p w14:paraId="531AE770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interferon gamma (</w:t>
            </w:r>
            <w:proofErr w:type="spellStart"/>
            <w:r w:rsidRPr="00D82455">
              <w:rPr>
                <w:rFonts w:cs="Times New Roman"/>
                <w:szCs w:val="24"/>
              </w:rPr>
              <w:t>Ifng</w:t>
            </w:r>
            <w:proofErr w:type="spellEnd"/>
            <w:r w:rsidRPr="00D82455">
              <w:rPr>
                <w:rFonts w:cs="Times New Roman"/>
                <w:szCs w:val="24"/>
              </w:rPr>
              <w:t>), mRNA</w:t>
            </w:r>
          </w:p>
        </w:tc>
        <w:tc>
          <w:tcPr>
            <w:tcW w:w="1623" w:type="dxa"/>
          </w:tcPr>
          <w:p w14:paraId="4A2D9060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NM_008337.3</w:t>
            </w:r>
          </w:p>
        </w:tc>
        <w:tc>
          <w:tcPr>
            <w:tcW w:w="1243" w:type="dxa"/>
          </w:tcPr>
          <w:p w14:paraId="510880CD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96.12</w:t>
            </w:r>
          </w:p>
          <w:p w14:paraId="4E420EB7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</w:p>
        </w:tc>
      </w:tr>
      <w:tr w:rsidR="00D82455" w:rsidRPr="00D82455" w14:paraId="2ED3CAA5" w14:textId="77777777" w:rsidTr="002A5FAF">
        <w:tc>
          <w:tcPr>
            <w:tcW w:w="1576" w:type="dxa"/>
          </w:tcPr>
          <w:p w14:paraId="1BB622F0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IL-12b</w:t>
            </w:r>
          </w:p>
        </w:tc>
        <w:tc>
          <w:tcPr>
            <w:tcW w:w="4827" w:type="dxa"/>
          </w:tcPr>
          <w:p w14:paraId="35670D6E" w14:textId="77777777" w:rsidR="008E53C6" w:rsidRPr="00D82455" w:rsidRDefault="008E53C6" w:rsidP="00EE7F97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interleukin12b (IL12b),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protein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code</w:t>
            </w:r>
          </w:p>
        </w:tc>
        <w:tc>
          <w:tcPr>
            <w:tcW w:w="1623" w:type="dxa"/>
          </w:tcPr>
          <w:p w14:paraId="4D7B104C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NC_000077.6</w:t>
            </w:r>
          </w:p>
        </w:tc>
        <w:tc>
          <w:tcPr>
            <w:tcW w:w="1243" w:type="dxa"/>
          </w:tcPr>
          <w:p w14:paraId="052D1D90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100.00</w:t>
            </w:r>
          </w:p>
        </w:tc>
      </w:tr>
      <w:tr w:rsidR="00D82455" w:rsidRPr="00D82455" w14:paraId="475329AF" w14:textId="77777777" w:rsidTr="002A5FAF">
        <w:tc>
          <w:tcPr>
            <w:tcW w:w="1576" w:type="dxa"/>
          </w:tcPr>
          <w:p w14:paraId="0E11F1AA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Il-17F</w:t>
            </w:r>
          </w:p>
        </w:tc>
        <w:tc>
          <w:tcPr>
            <w:tcW w:w="4827" w:type="dxa"/>
          </w:tcPr>
          <w:p w14:paraId="6170B270" w14:textId="77777777" w:rsidR="008E53C6" w:rsidRPr="00D82455" w:rsidRDefault="008E53C6" w:rsidP="00EE7F97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interleukin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17F (Il17f),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mRNA</w:t>
            </w:r>
            <w:proofErr w:type="spellEnd"/>
          </w:p>
        </w:tc>
        <w:tc>
          <w:tcPr>
            <w:tcW w:w="1623" w:type="dxa"/>
          </w:tcPr>
          <w:p w14:paraId="3B7A6EEB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NM_145856.2</w:t>
            </w:r>
          </w:p>
        </w:tc>
        <w:tc>
          <w:tcPr>
            <w:tcW w:w="1243" w:type="dxa"/>
          </w:tcPr>
          <w:p w14:paraId="62FE0D5A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100.00</w:t>
            </w:r>
          </w:p>
        </w:tc>
      </w:tr>
      <w:tr w:rsidR="00D82455" w:rsidRPr="00D82455" w14:paraId="7031292F" w14:textId="77777777" w:rsidTr="002A5FAF">
        <w:tc>
          <w:tcPr>
            <w:tcW w:w="1576" w:type="dxa"/>
          </w:tcPr>
          <w:p w14:paraId="5C72FF4E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IL-1b</w:t>
            </w:r>
          </w:p>
        </w:tc>
        <w:tc>
          <w:tcPr>
            <w:tcW w:w="4827" w:type="dxa"/>
          </w:tcPr>
          <w:p w14:paraId="42B94048" w14:textId="77777777" w:rsidR="008E53C6" w:rsidRPr="00D82455" w:rsidRDefault="008E53C6" w:rsidP="00EE7F97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interleukin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1 beta (Il1b),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mRNA</w:t>
            </w:r>
            <w:proofErr w:type="spellEnd"/>
          </w:p>
        </w:tc>
        <w:tc>
          <w:tcPr>
            <w:tcW w:w="1623" w:type="dxa"/>
          </w:tcPr>
          <w:p w14:paraId="57E3E80A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NM_008361.3</w:t>
            </w:r>
          </w:p>
        </w:tc>
        <w:tc>
          <w:tcPr>
            <w:tcW w:w="1243" w:type="dxa"/>
          </w:tcPr>
          <w:p w14:paraId="5D49B853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100.00</w:t>
            </w:r>
          </w:p>
        </w:tc>
      </w:tr>
      <w:tr w:rsidR="00D82455" w:rsidRPr="00D82455" w14:paraId="1564AC94" w14:textId="77777777" w:rsidTr="002A5FAF">
        <w:tc>
          <w:tcPr>
            <w:tcW w:w="1576" w:type="dxa"/>
          </w:tcPr>
          <w:p w14:paraId="2905D288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IL-2</w:t>
            </w:r>
          </w:p>
        </w:tc>
        <w:tc>
          <w:tcPr>
            <w:tcW w:w="4827" w:type="dxa"/>
          </w:tcPr>
          <w:p w14:paraId="5F6A78F5" w14:textId="77777777" w:rsidR="008E53C6" w:rsidRPr="00D82455" w:rsidRDefault="008E53C6" w:rsidP="00EE7F97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interleukin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2 (Il2),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mRNA</w:t>
            </w:r>
            <w:proofErr w:type="spellEnd"/>
          </w:p>
        </w:tc>
        <w:tc>
          <w:tcPr>
            <w:tcW w:w="1623" w:type="dxa"/>
          </w:tcPr>
          <w:p w14:paraId="12AF28C5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NM_008366.3</w:t>
            </w:r>
          </w:p>
        </w:tc>
        <w:tc>
          <w:tcPr>
            <w:tcW w:w="1243" w:type="dxa"/>
          </w:tcPr>
          <w:p w14:paraId="64BBD845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100.00</w:t>
            </w:r>
          </w:p>
        </w:tc>
      </w:tr>
      <w:tr w:rsidR="00D82455" w:rsidRPr="00D82455" w14:paraId="51D4D34B" w14:textId="77777777" w:rsidTr="002A5FAF">
        <w:tc>
          <w:tcPr>
            <w:tcW w:w="1576" w:type="dxa"/>
          </w:tcPr>
          <w:p w14:paraId="3B64CE79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IL-6</w:t>
            </w:r>
          </w:p>
        </w:tc>
        <w:tc>
          <w:tcPr>
            <w:tcW w:w="4827" w:type="dxa"/>
          </w:tcPr>
          <w:p w14:paraId="2551B9AC" w14:textId="77777777" w:rsidR="008E53C6" w:rsidRPr="00D82455" w:rsidRDefault="008E53C6" w:rsidP="00EE7F97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interleukin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6 (Il6),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mRNA</w:t>
            </w:r>
            <w:proofErr w:type="spellEnd"/>
          </w:p>
        </w:tc>
        <w:tc>
          <w:tcPr>
            <w:tcW w:w="1623" w:type="dxa"/>
          </w:tcPr>
          <w:p w14:paraId="4B4CBA6C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NM_031168.1</w:t>
            </w:r>
          </w:p>
        </w:tc>
        <w:tc>
          <w:tcPr>
            <w:tcW w:w="1243" w:type="dxa"/>
          </w:tcPr>
          <w:p w14:paraId="5998B140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111.35</w:t>
            </w:r>
          </w:p>
        </w:tc>
      </w:tr>
      <w:tr w:rsidR="00D82455" w:rsidRPr="00D82455" w14:paraId="6E96CAD1" w14:textId="77777777" w:rsidTr="002A5FAF">
        <w:tc>
          <w:tcPr>
            <w:tcW w:w="1576" w:type="dxa"/>
          </w:tcPr>
          <w:p w14:paraId="6CBAC56D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PGER2</w:t>
            </w:r>
          </w:p>
        </w:tc>
        <w:tc>
          <w:tcPr>
            <w:tcW w:w="4827" w:type="dxa"/>
          </w:tcPr>
          <w:p w14:paraId="5434D6FD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prostaglandin E receptor 2 (subtype EP2) (Ptger2), mRNA</w:t>
            </w:r>
          </w:p>
        </w:tc>
        <w:tc>
          <w:tcPr>
            <w:tcW w:w="1623" w:type="dxa"/>
          </w:tcPr>
          <w:p w14:paraId="0A289370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NM_008964.4</w:t>
            </w:r>
          </w:p>
        </w:tc>
        <w:tc>
          <w:tcPr>
            <w:tcW w:w="1243" w:type="dxa"/>
          </w:tcPr>
          <w:p w14:paraId="51ACD5E6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112.33</w:t>
            </w:r>
          </w:p>
        </w:tc>
      </w:tr>
      <w:tr w:rsidR="00D82455" w:rsidRPr="00D82455" w14:paraId="01C63BC1" w14:textId="77777777" w:rsidTr="002A5FAF">
        <w:tc>
          <w:tcPr>
            <w:tcW w:w="1576" w:type="dxa"/>
          </w:tcPr>
          <w:p w14:paraId="29EFB434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PGER4</w:t>
            </w:r>
          </w:p>
        </w:tc>
        <w:tc>
          <w:tcPr>
            <w:tcW w:w="4827" w:type="dxa"/>
          </w:tcPr>
          <w:p w14:paraId="6BE10787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prostaglandin E receptor 4 (subtype EP4) (Ptger4), transcript variant 2, mRNA</w:t>
            </w:r>
          </w:p>
        </w:tc>
        <w:tc>
          <w:tcPr>
            <w:tcW w:w="1623" w:type="dxa"/>
          </w:tcPr>
          <w:p w14:paraId="32EAC1AD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NM_008965.1</w:t>
            </w:r>
          </w:p>
        </w:tc>
        <w:tc>
          <w:tcPr>
            <w:tcW w:w="1243" w:type="dxa"/>
          </w:tcPr>
          <w:p w14:paraId="7314D898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107.19</w:t>
            </w:r>
          </w:p>
        </w:tc>
      </w:tr>
      <w:tr w:rsidR="00D82455" w:rsidRPr="00D82455" w14:paraId="0FFFD8C0" w14:textId="77777777" w:rsidTr="002A5FAF">
        <w:tc>
          <w:tcPr>
            <w:tcW w:w="1576" w:type="dxa"/>
          </w:tcPr>
          <w:p w14:paraId="2CEF0A65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PGES2</w:t>
            </w:r>
          </w:p>
        </w:tc>
        <w:tc>
          <w:tcPr>
            <w:tcW w:w="4827" w:type="dxa"/>
          </w:tcPr>
          <w:p w14:paraId="696E8FC5" w14:textId="77777777" w:rsidR="008E53C6" w:rsidRPr="00D82455" w:rsidRDefault="008E53C6" w:rsidP="00EE7F97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prostaglandin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E synthase 2 (Ptges2),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mRNA</w:t>
            </w:r>
            <w:proofErr w:type="spellEnd"/>
          </w:p>
        </w:tc>
        <w:tc>
          <w:tcPr>
            <w:tcW w:w="1623" w:type="dxa"/>
          </w:tcPr>
          <w:p w14:paraId="518E698F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NM_133783.2</w:t>
            </w:r>
          </w:p>
        </w:tc>
        <w:tc>
          <w:tcPr>
            <w:tcW w:w="1243" w:type="dxa"/>
          </w:tcPr>
          <w:p w14:paraId="5F74697D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94.14</w:t>
            </w:r>
          </w:p>
        </w:tc>
      </w:tr>
      <w:tr w:rsidR="00D82455" w:rsidRPr="00D82455" w14:paraId="6BF6C12C" w14:textId="77777777" w:rsidTr="002A5FAF">
        <w:tc>
          <w:tcPr>
            <w:tcW w:w="1576" w:type="dxa"/>
            <w:tcBorders>
              <w:bottom w:val="single" w:sz="4" w:space="0" w:color="auto"/>
            </w:tcBorders>
          </w:tcPr>
          <w:p w14:paraId="652AE649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lastRenderedPageBreak/>
              <w:t>TNF</w:t>
            </w:r>
          </w:p>
        </w:tc>
        <w:tc>
          <w:tcPr>
            <w:tcW w:w="4827" w:type="dxa"/>
            <w:tcBorders>
              <w:bottom w:val="single" w:sz="4" w:space="0" w:color="auto"/>
            </w:tcBorders>
          </w:tcPr>
          <w:p w14:paraId="39D162A0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tumor necrosis factor (</w:t>
            </w:r>
            <w:proofErr w:type="spellStart"/>
            <w:r w:rsidRPr="00D82455">
              <w:rPr>
                <w:rFonts w:cs="Times New Roman"/>
                <w:szCs w:val="24"/>
              </w:rPr>
              <w:t>Tnf</w:t>
            </w:r>
            <w:proofErr w:type="spellEnd"/>
            <w:r w:rsidRPr="00D82455">
              <w:rPr>
                <w:rFonts w:cs="Times New Roman"/>
                <w:szCs w:val="24"/>
              </w:rPr>
              <w:t>), mRNA</w:t>
            </w: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14:paraId="30C16161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NM_013693.2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05C18422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101.35</w:t>
            </w:r>
          </w:p>
        </w:tc>
      </w:tr>
      <w:tr w:rsidR="00D82455" w:rsidRPr="00D82455" w14:paraId="7EF63E76" w14:textId="77777777" w:rsidTr="002A5FAF">
        <w:tc>
          <w:tcPr>
            <w:tcW w:w="80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5DB75B" w14:textId="77777777" w:rsidR="008E53C6" w:rsidRPr="00D82455" w:rsidRDefault="008E53C6" w:rsidP="00EE7F97">
            <w:pPr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Anti-inflammatory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4A50205C" w14:textId="77777777" w:rsidR="008E53C6" w:rsidRPr="00D82455" w:rsidRDefault="008E53C6" w:rsidP="00EE7F97">
            <w:pPr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D82455" w:rsidRPr="00D82455" w14:paraId="684F5480" w14:textId="77777777" w:rsidTr="002A5FAF">
        <w:tc>
          <w:tcPr>
            <w:tcW w:w="1576" w:type="dxa"/>
            <w:tcBorders>
              <w:top w:val="single" w:sz="4" w:space="0" w:color="auto"/>
            </w:tcBorders>
          </w:tcPr>
          <w:p w14:paraId="47C73B4A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CD39</w:t>
            </w:r>
          </w:p>
        </w:tc>
        <w:tc>
          <w:tcPr>
            <w:tcW w:w="4827" w:type="dxa"/>
            <w:tcBorders>
              <w:top w:val="single" w:sz="4" w:space="0" w:color="auto"/>
            </w:tcBorders>
          </w:tcPr>
          <w:p w14:paraId="413A5AA1" w14:textId="77777777" w:rsidR="008E53C6" w:rsidRPr="00D82455" w:rsidRDefault="008E53C6" w:rsidP="00EE7F97">
            <w:pPr>
              <w:rPr>
                <w:rFonts w:cs="Times New Roman"/>
                <w:szCs w:val="24"/>
                <w:lang w:val="es-MX"/>
              </w:rPr>
            </w:pPr>
            <w:r w:rsidRPr="00D82455">
              <w:rPr>
                <w:rFonts w:cs="Times New Roman"/>
                <w:i/>
                <w:szCs w:val="24"/>
                <w:lang w:val="es-MX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es-MX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es-MX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es-MX"/>
              </w:rPr>
              <w:t>ecto-apyrase</w:t>
            </w:r>
            <w:proofErr w:type="spellEnd"/>
            <w:r w:rsidRPr="00D82455">
              <w:rPr>
                <w:rFonts w:cs="Times New Roman"/>
                <w:szCs w:val="24"/>
                <w:lang w:val="es-MX"/>
              </w:rPr>
              <w:t xml:space="preserve"> CD39 mRNA, complete </w:t>
            </w:r>
            <w:proofErr w:type="spellStart"/>
            <w:r w:rsidRPr="00D82455">
              <w:rPr>
                <w:rFonts w:cs="Times New Roman"/>
                <w:szCs w:val="24"/>
                <w:lang w:val="es-MX"/>
              </w:rPr>
              <w:t>cds</w:t>
            </w:r>
            <w:proofErr w:type="spellEnd"/>
          </w:p>
        </w:tc>
        <w:tc>
          <w:tcPr>
            <w:tcW w:w="1623" w:type="dxa"/>
            <w:tcBorders>
              <w:top w:val="single" w:sz="4" w:space="0" w:color="auto"/>
            </w:tcBorders>
          </w:tcPr>
          <w:p w14:paraId="76B396AC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AF037366.1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14:paraId="62A82990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102.79</w:t>
            </w:r>
          </w:p>
        </w:tc>
      </w:tr>
      <w:tr w:rsidR="00D82455" w:rsidRPr="00D82455" w14:paraId="328F4881" w14:textId="77777777" w:rsidTr="002A5FAF">
        <w:tc>
          <w:tcPr>
            <w:tcW w:w="1576" w:type="dxa"/>
          </w:tcPr>
          <w:p w14:paraId="46698E83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CD73</w:t>
            </w:r>
          </w:p>
        </w:tc>
        <w:tc>
          <w:tcPr>
            <w:tcW w:w="4827" w:type="dxa"/>
          </w:tcPr>
          <w:p w14:paraId="5A8D1387" w14:textId="77777777" w:rsidR="008E53C6" w:rsidRPr="00D82455" w:rsidRDefault="008E53C6" w:rsidP="00EE7F97">
            <w:pPr>
              <w:rPr>
                <w:rFonts w:cs="Times New Roman"/>
                <w:szCs w:val="24"/>
                <w:lang w:val="es-MX"/>
              </w:rPr>
            </w:pPr>
            <w:r w:rsidRPr="00D82455">
              <w:rPr>
                <w:rFonts w:cs="Times New Roman"/>
                <w:i/>
                <w:szCs w:val="24"/>
                <w:lang w:val="es-MX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es-MX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es-MX"/>
              </w:rPr>
              <w:t xml:space="preserve"> 5' </w:t>
            </w:r>
            <w:proofErr w:type="spellStart"/>
            <w:r w:rsidRPr="00D82455">
              <w:rPr>
                <w:rFonts w:cs="Times New Roman"/>
                <w:szCs w:val="24"/>
                <w:lang w:val="es-MX"/>
              </w:rPr>
              <w:t>nucleotidase</w:t>
            </w:r>
            <w:proofErr w:type="spellEnd"/>
            <w:r w:rsidRPr="00D82455">
              <w:rPr>
                <w:rFonts w:cs="Times New Roman"/>
                <w:szCs w:val="24"/>
                <w:lang w:val="es-MX"/>
              </w:rPr>
              <w:t xml:space="preserve">, </w:t>
            </w:r>
            <w:proofErr w:type="spellStart"/>
            <w:r w:rsidRPr="00D82455">
              <w:rPr>
                <w:rFonts w:cs="Times New Roman"/>
                <w:szCs w:val="24"/>
                <w:lang w:val="es-MX"/>
              </w:rPr>
              <w:t>ecto</w:t>
            </w:r>
            <w:proofErr w:type="spellEnd"/>
            <w:r w:rsidRPr="00D82455">
              <w:rPr>
                <w:rFonts w:cs="Times New Roman"/>
                <w:szCs w:val="24"/>
                <w:lang w:val="es-MX"/>
              </w:rPr>
              <w:t xml:space="preserve"> (Nt5e), mRNA</w:t>
            </w:r>
          </w:p>
        </w:tc>
        <w:tc>
          <w:tcPr>
            <w:tcW w:w="1623" w:type="dxa"/>
          </w:tcPr>
          <w:p w14:paraId="7132F702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NM_011851.4</w:t>
            </w:r>
          </w:p>
        </w:tc>
        <w:tc>
          <w:tcPr>
            <w:tcW w:w="1243" w:type="dxa"/>
          </w:tcPr>
          <w:p w14:paraId="4B3B072E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109.17</w:t>
            </w:r>
          </w:p>
        </w:tc>
      </w:tr>
      <w:tr w:rsidR="00D82455" w:rsidRPr="00D82455" w14:paraId="3B4AAF97" w14:textId="77777777" w:rsidTr="002A5FAF">
        <w:tc>
          <w:tcPr>
            <w:tcW w:w="1576" w:type="dxa"/>
          </w:tcPr>
          <w:p w14:paraId="3DDD39B5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CTLA-4</w:t>
            </w:r>
          </w:p>
        </w:tc>
        <w:tc>
          <w:tcPr>
            <w:tcW w:w="4827" w:type="dxa"/>
          </w:tcPr>
          <w:p w14:paraId="6AFB9B1C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cytotoxic T-lymphocyte-associated protein 4 (Ctla4), mRNA</w:t>
            </w:r>
          </w:p>
        </w:tc>
        <w:tc>
          <w:tcPr>
            <w:tcW w:w="1623" w:type="dxa"/>
          </w:tcPr>
          <w:p w14:paraId="517A7084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NM_009843.3</w:t>
            </w:r>
          </w:p>
        </w:tc>
        <w:tc>
          <w:tcPr>
            <w:tcW w:w="1243" w:type="dxa"/>
          </w:tcPr>
          <w:p w14:paraId="613B4ECB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111.48</w:t>
            </w:r>
          </w:p>
        </w:tc>
      </w:tr>
      <w:tr w:rsidR="00D82455" w:rsidRPr="00D82455" w14:paraId="644ECED6" w14:textId="77777777" w:rsidTr="002A5FAF">
        <w:tc>
          <w:tcPr>
            <w:tcW w:w="1576" w:type="dxa"/>
          </w:tcPr>
          <w:p w14:paraId="3B3F18A2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DAXX/FAS</w:t>
            </w:r>
          </w:p>
        </w:tc>
        <w:tc>
          <w:tcPr>
            <w:tcW w:w="4827" w:type="dxa"/>
          </w:tcPr>
          <w:p w14:paraId="7EA0E473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proofErr w:type="spellStart"/>
            <w:r w:rsidRPr="00D82455">
              <w:rPr>
                <w:rFonts w:cs="Times New Roman"/>
                <w:szCs w:val="24"/>
              </w:rPr>
              <w:t>Daxx</w:t>
            </w:r>
            <w:proofErr w:type="spellEnd"/>
            <w:r w:rsidRPr="00D824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</w:rPr>
              <w:t>Fas</w:t>
            </w:r>
            <w:proofErr w:type="spellEnd"/>
            <w:r w:rsidRPr="00D82455">
              <w:rPr>
                <w:rFonts w:cs="Times New Roman"/>
                <w:szCs w:val="24"/>
              </w:rPr>
              <w:t xml:space="preserve"> death domain-associated protein, protein code</w:t>
            </w:r>
          </w:p>
        </w:tc>
        <w:tc>
          <w:tcPr>
            <w:tcW w:w="1623" w:type="dxa"/>
          </w:tcPr>
          <w:p w14:paraId="7D691BAA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NC_000083.6</w:t>
            </w:r>
          </w:p>
        </w:tc>
        <w:tc>
          <w:tcPr>
            <w:tcW w:w="1243" w:type="dxa"/>
          </w:tcPr>
          <w:p w14:paraId="44574DC1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112.31</w:t>
            </w:r>
          </w:p>
        </w:tc>
      </w:tr>
      <w:tr w:rsidR="00D82455" w:rsidRPr="00D82455" w14:paraId="41055510" w14:textId="77777777" w:rsidTr="002A5FAF">
        <w:tc>
          <w:tcPr>
            <w:tcW w:w="1576" w:type="dxa"/>
          </w:tcPr>
          <w:p w14:paraId="3E61CCE5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FASL</w:t>
            </w:r>
          </w:p>
        </w:tc>
        <w:tc>
          <w:tcPr>
            <w:tcW w:w="4827" w:type="dxa"/>
          </w:tcPr>
          <w:p w14:paraId="48FE4F46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</w:rPr>
              <w:t>Fas</w:t>
            </w:r>
            <w:proofErr w:type="spellEnd"/>
            <w:r w:rsidRPr="00D82455">
              <w:rPr>
                <w:rFonts w:cs="Times New Roman"/>
                <w:szCs w:val="24"/>
              </w:rPr>
              <w:t xml:space="preserve"> ligand (TNF superfamily, member 6) (</w:t>
            </w:r>
            <w:proofErr w:type="spellStart"/>
            <w:r w:rsidRPr="00D82455">
              <w:rPr>
                <w:rFonts w:cs="Times New Roman"/>
                <w:szCs w:val="24"/>
              </w:rPr>
              <w:t>Fasl</w:t>
            </w:r>
            <w:proofErr w:type="spellEnd"/>
            <w:r w:rsidRPr="00D82455">
              <w:rPr>
                <w:rFonts w:cs="Times New Roman"/>
                <w:szCs w:val="24"/>
              </w:rPr>
              <w:t>), transcript variant 1, mRNA</w:t>
            </w:r>
          </w:p>
        </w:tc>
        <w:tc>
          <w:tcPr>
            <w:tcW w:w="1623" w:type="dxa"/>
          </w:tcPr>
          <w:p w14:paraId="5F34015A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NM_010177.4</w:t>
            </w:r>
          </w:p>
        </w:tc>
        <w:tc>
          <w:tcPr>
            <w:tcW w:w="1243" w:type="dxa"/>
          </w:tcPr>
          <w:p w14:paraId="6924BA20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100.00</w:t>
            </w:r>
          </w:p>
        </w:tc>
      </w:tr>
      <w:tr w:rsidR="00D82455" w:rsidRPr="00D82455" w14:paraId="0396EE39" w14:textId="77777777" w:rsidTr="002A5FAF">
        <w:tc>
          <w:tcPr>
            <w:tcW w:w="1576" w:type="dxa"/>
          </w:tcPr>
          <w:p w14:paraId="049D0ED3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EBI3</w:t>
            </w:r>
          </w:p>
        </w:tc>
        <w:tc>
          <w:tcPr>
            <w:tcW w:w="4827" w:type="dxa"/>
          </w:tcPr>
          <w:p w14:paraId="184E571F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Epstein-Barr virus induced gene 3 (Ebi3), mRNA</w:t>
            </w:r>
          </w:p>
        </w:tc>
        <w:tc>
          <w:tcPr>
            <w:tcW w:w="1623" w:type="dxa"/>
          </w:tcPr>
          <w:p w14:paraId="10710905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NM_015766.2</w:t>
            </w:r>
          </w:p>
        </w:tc>
        <w:tc>
          <w:tcPr>
            <w:tcW w:w="1243" w:type="dxa"/>
          </w:tcPr>
          <w:p w14:paraId="5B73C69A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87.41</w:t>
            </w:r>
          </w:p>
        </w:tc>
      </w:tr>
      <w:tr w:rsidR="00D82455" w:rsidRPr="00D82455" w14:paraId="774F5512" w14:textId="77777777" w:rsidTr="002A5FAF">
        <w:tc>
          <w:tcPr>
            <w:tcW w:w="1576" w:type="dxa"/>
          </w:tcPr>
          <w:p w14:paraId="503D9FE0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IL-12a</w:t>
            </w:r>
          </w:p>
        </w:tc>
        <w:tc>
          <w:tcPr>
            <w:tcW w:w="4827" w:type="dxa"/>
          </w:tcPr>
          <w:p w14:paraId="672B43CB" w14:textId="77777777" w:rsidR="008E53C6" w:rsidRPr="00D82455" w:rsidRDefault="008E53C6" w:rsidP="00EE7F97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interleukin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12a (Il12a),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transcript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variant 2,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mRNA</w:t>
            </w:r>
            <w:proofErr w:type="spellEnd"/>
          </w:p>
        </w:tc>
        <w:tc>
          <w:tcPr>
            <w:tcW w:w="1623" w:type="dxa"/>
          </w:tcPr>
          <w:p w14:paraId="01D4A069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NM_008351.2</w:t>
            </w:r>
          </w:p>
        </w:tc>
        <w:tc>
          <w:tcPr>
            <w:tcW w:w="1243" w:type="dxa"/>
          </w:tcPr>
          <w:p w14:paraId="551A9191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119.25</w:t>
            </w:r>
          </w:p>
        </w:tc>
      </w:tr>
      <w:tr w:rsidR="00D82455" w:rsidRPr="00D82455" w14:paraId="5B536937" w14:textId="77777777" w:rsidTr="002A5FAF">
        <w:tc>
          <w:tcPr>
            <w:tcW w:w="1576" w:type="dxa"/>
          </w:tcPr>
          <w:p w14:paraId="397F8BE0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GITR V1</w:t>
            </w:r>
          </w:p>
        </w:tc>
        <w:tc>
          <w:tcPr>
            <w:tcW w:w="4827" w:type="dxa"/>
          </w:tcPr>
          <w:p w14:paraId="6D25DF6C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tumor necrosis factor receptor superfamily, member 18 (Tnfrsf18), transcript variant 1, mRNA</w:t>
            </w:r>
          </w:p>
        </w:tc>
        <w:tc>
          <w:tcPr>
            <w:tcW w:w="1623" w:type="dxa"/>
          </w:tcPr>
          <w:p w14:paraId="60F92446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NM_009400.2</w:t>
            </w:r>
          </w:p>
        </w:tc>
        <w:tc>
          <w:tcPr>
            <w:tcW w:w="1243" w:type="dxa"/>
          </w:tcPr>
          <w:p w14:paraId="50F17CF3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83.06</w:t>
            </w:r>
          </w:p>
        </w:tc>
      </w:tr>
      <w:tr w:rsidR="00D82455" w:rsidRPr="00D82455" w14:paraId="6888B695" w14:textId="77777777" w:rsidTr="002A5FAF">
        <w:tc>
          <w:tcPr>
            <w:tcW w:w="1576" w:type="dxa"/>
          </w:tcPr>
          <w:p w14:paraId="29F8553F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GRANZYME a</w:t>
            </w:r>
          </w:p>
        </w:tc>
        <w:tc>
          <w:tcPr>
            <w:tcW w:w="4827" w:type="dxa"/>
          </w:tcPr>
          <w:p w14:paraId="36EB2BCD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granzyme A (</w:t>
            </w:r>
            <w:proofErr w:type="spellStart"/>
            <w:r w:rsidRPr="00D82455">
              <w:rPr>
                <w:rFonts w:cs="Times New Roman"/>
                <w:szCs w:val="24"/>
              </w:rPr>
              <w:t>Gzma</w:t>
            </w:r>
            <w:proofErr w:type="spellEnd"/>
            <w:r w:rsidRPr="00D82455">
              <w:rPr>
                <w:rFonts w:cs="Times New Roman"/>
                <w:szCs w:val="24"/>
              </w:rPr>
              <w:t>), mRNA</w:t>
            </w:r>
          </w:p>
        </w:tc>
        <w:tc>
          <w:tcPr>
            <w:tcW w:w="1623" w:type="dxa"/>
          </w:tcPr>
          <w:p w14:paraId="76FC301C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NM_010370.2</w:t>
            </w:r>
          </w:p>
        </w:tc>
        <w:tc>
          <w:tcPr>
            <w:tcW w:w="1243" w:type="dxa"/>
          </w:tcPr>
          <w:p w14:paraId="43CE9DCE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114.56</w:t>
            </w:r>
          </w:p>
        </w:tc>
      </w:tr>
      <w:tr w:rsidR="00D82455" w:rsidRPr="00D82455" w14:paraId="47A9AB83" w14:textId="77777777" w:rsidTr="002A5FAF">
        <w:tc>
          <w:tcPr>
            <w:tcW w:w="1576" w:type="dxa"/>
            <w:tcBorders>
              <w:bottom w:val="nil"/>
            </w:tcBorders>
          </w:tcPr>
          <w:p w14:paraId="5FD16EA8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GRANZYME b</w:t>
            </w:r>
          </w:p>
        </w:tc>
        <w:tc>
          <w:tcPr>
            <w:tcW w:w="4827" w:type="dxa"/>
            <w:tcBorders>
              <w:bottom w:val="nil"/>
            </w:tcBorders>
          </w:tcPr>
          <w:p w14:paraId="008F1EE4" w14:textId="77777777" w:rsidR="008E53C6" w:rsidRPr="00D82455" w:rsidRDefault="008E53C6" w:rsidP="00EE7F97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granzyme B (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Gzmb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mRNA</w:t>
            </w:r>
            <w:proofErr w:type="spellEnd"/>
          </w:p>
        </w:tc>
        <w:tc>
          <w:tcPr>
            <w:tcW w:w="1623" w:type="dxa"/>
            <w:tcBorders>
              <w:bottom w:val="nil"/>
            </w:tcBorders>
          </w:tcPr>
          <w:p w14:paraId="0DA0CDF9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NM_013542.2</w:t>
            </w:r>
          </w:p>
        </w:tc>
        <w:tc>
          <w:tcPr>
            <w:tcW w:w="1243" w:type="dxa"/>
            <w:tcBorders>
              <w:bottom w:val="nil"/>
            </w:tcBorders>
          </w:tcPr>
          <w:p w14:paraId="6D0A8553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108.88</w:t>
            </w:r>
          </w:p>
        </w:tc>
      </w:tr>
      <w:tr w:rsidR="00D82455" w:rsidRPr="00D82455" w14:paraId="0EDA2E91" w14:textId="77777777" w:rsidTr="002A5FAF">
        <w:tc>
          <w:tcPr>
            <w:tcW w:w="1576" w:type="dxa"/>
            <w:tcBorders>
              <w:top w:val="nil"/>
            </w:tcBorders>
          </w:tcPr>
          <w:p w14:paraId="5325A777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IDO1</w:t>
            </w:r>
          </w:p>
        </w:tc>
        <w:tc>
          <w:tcPr>
            <w:tcW w:w="4827" w:type="dxa"/>
            <w:tcBorders>
              <w:top w:val="nil"/>
            </w:tcBorders>
          </w:tcPr>
          <w:p w14:paraId="66966921" w14:textId="77777777" w:rsidR="008E53C6" w:rsidRPr="00D82455" w:rsidRDefault="008E53C6" w:rsidP="00EE7F97">
            <w:pPr>
              <w:rPr>
                <w:rFonts w:cs="Times New Roman"/>
                <w:szCs w:val="24"/>
                <w:lang w:val="es-MX"/>
              </w:rPr>
            </w:pPr>
            <w:r w:rsidRPr="00D82455">
              <w:rPr>
                <w:rFonts w:cs="Times New Roman"/>
                <w:i/>
                <w:szCs w:val="24"/>
                <w:lang w:val="es-MX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es-MX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es-MX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es-MX"/>
              </w:rPr>
              <w:t>indoleamine</w:t>
            </w:r>
            <w:proofErr w:type="spellEnd"/>
            <w:r w:rsidRPr="00D82455">
              <w:rPr>
                <w:rFonts w:cs="Times New Roman"/>
                <w:szCs w:val="24"/>
                <w:lang w:val="es-MX"/>
              </w:rPr>
              <w:t xml:space="preserve"> 2,3-dioxygenase 1 (Ido1), mRNA</w:t>
            </w:r>
          </w:p>
        </w:tc>
        <w:tc>
          <w:tcPr>
            <w:tcW w:w="1623" w:type="dxa"/>
            <w:tcBorders>
              <w:top w:val="nil"/>
            </w:tcBorders>
          </w:tcPr>
          <w:p w14:paraId="334BFC38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NM_008324.1</w:t>
            </w:r>
          </w:p>
          <w:p w14:paraId="0517B309" w14:textId="77777777" w:rsidR="008E53C6" w:rsidRPr="00D82455" w:rsidRDefault="008E53C6" w:rsidP="00EE7F97">
            <w:pPr>
              <w:rPr>
                <w:rFonts w:cs="Times New Roman"/>
                <w:szCs w:val="24"/>
              </w:rPr>
            </w:pPr>
          </w:p>
        </w:tc>
        <w:tc>
          <w:tcPr>
            <w:tcW w:w="1243" w:type="dxa"/>
            <w:tcBorders>
              <w:top w:val="nil"/>
            </w:tcBorders>
          </w:tcPr>
          <w:p w14:paraId="793C06B4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100.00</w:t>
            </w:r>
          </w:p>
        </w:tc>
      </w:tr>
      <w:tr w:rsidR="00D82455" w:rsidRPr="00D82455" w14:paraId="7FACBA03" w14:textId="77777777" w:rsidTr="002A5FAF">
        <w:tc>
          <w:tcPr>
            <w:tcW w:w="1576" w:type="dxa"/>
            <w:tcBorders>
              <w:top w:val="nil"/>
            </w:tcBorders>
          </w:tcPr>
          <w:p w14:paraId="2403C769" w14:textId="2E6CA7A6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IL-4</w:t>
            </w:r>
          </w:p>
        </w:tc>
        <w:tc>
          <w:tcPr>
            <w:tcW w:w="4827" w:type="dxa"/>
            <w:tcBorders>
              <w:top w:val="nil"/>
            </w:tcBorders>
          </w:tcPr>
          <w:p w14:paraId="4005D8AB" w14:textId="19685629" w:rsidR="00C31D82" w:rsidRPr="00D82455" w:rsidRDefault="00C31D82" w:rsidP="00C31D82">
            <w:pPr>
              <w:rPr>
                <w:rFonts w:cs="Times New Roman"/>
                <w:i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interleukin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4 (Il4),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transcript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variant 1,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mRNA</w:t>
            </w:r>
            <w:proofErr w:type="spellEnd"/>
          </w:p>
        </w:tc>
        <w:tc>
          <w:tcPr>
            <w:tcW w:w="1623" w:type="dxa"/>
            <w:tcBorders>
              <w:top w:val="nil"/>
            </w:tcBorders>
          </w:tcPr>
          <w:p w14:paraId="3B55E393" w14:textId="52BE27FA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NM_021283.2</w:t>
            </w:r>
          </w:p>
        </w:tc>
        <w:tc>
          <w:tcPr>
            <w:tcW w:w="1243" w:type="dxa"/>
            <w:tcBorders>
              <w:top w:val="nil"/>
            </w:tcBorders>
          </w:tcPr>
          <w:p w14:paraId="690854DE" w14:textId="64108DCA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100.00</w:t>
            </w:r>
          </w:p>
        </w:tc>
      </w:tr>
      <w:tr w:rsidR="00D82455" w:rsidRPr="00D82455" w14:paraId="20DC8B06" w14:textId="77777777" w:rsidTr="002A5FAF">
        <w:tc>
          <w:tcPr>
            <w:tcW w:w="1576" w:type="dxa"/>
          </w:tcPr>
          <w:p w14:paraId="633917DD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lastRenderedPageBreak/>
              <w:t>IL-10</w:t>
            </w:r>
          </w:p>
        </w:tc>
        <w:tc>
          <w:tcPr>
            <w:tcW w:w="4827" w:type="dxa"/>
          </w:tcPr>
          <w:p w14:paraId="2055530D" w14:textId="77777777" w:rsidR="00C31D82" w:rsidRPr="00D82455" w:rsidRDefault="00C31D82" w:rsidP="00C31D82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interleukin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10 (Il10),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mRNA</w:t>
            </w:r>
            <w:proofErr w:type="spellEnd"/>
          </w:p>
        </w:tc>
        <w:tc>
          <w:tcPr>
            <w:tcW w:w="1623" w:type="dxa"/>
          </w:tcPr>
          <w:p w14:paraId="045FE46E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NM_010548.2</w:t>
            </w:r>
          </w:p>
        </w:tc>
        <w:tc>
          <w:tcPr>
            <w:tcW w:w="1243" w:type="dxa"/>
          </w:tcPr>
          <w:p w14:paraId="6DCB071B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100.00</w:t>
            </w:r>
          </w:p>
        </w:tc>
      </w:tr>
      <w:tr w:rsidR="00D82455" w:rsidRPr="00D82455" w14:paraId="763AFD1E" w14:textId="77777777" w:rsidTr="002A5FAF">
        <w:tc>
          <w:tcPr>
            <w:tcW w:w="1576" w:type="dxa"/>
          </w:tcPr>
          <w:p w14:paraId="47CE3487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LAG-3</w:t>
            </w:r>
          </w:p>
        </w:tc>
        <w:tc>
          <w:tcPr>
            <w:tcW w:w="4827" w:type="dxa"/>
          </w:tcPr>
          <w:p w14:paraId="4CC20698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lymphocyte-activation gene 3 (Lag3), mRNA</w:t>
            </w:r>
          </w:p>
        </w:tc>
        <w:tc>
          <w:tcPr>
            <w:tcW w:w="1623" w:type="dxa"/>
          </w:tcPr>
          <w:p w14:paraId="4A83D01B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NM_008479.2</w:t>
            </w:r>
          </w:p>
        </w:tc>
        <w:tc>
          <w:tcPr>
            <w:tcW w:w="1243" w:type="dxa"/>
          </w:tcPr>
          <w:p w14:paraId="3DD38250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85.88</w:t>
            </w:r>
          </w:p>
        </w:tc>
      </w:tr>
      <w:tr w:rsidR="00D82455" w:rsidRPr="00D82455" w14:paraId="3399DFF7" w14:textId="77777777" w:rsidTr="002A5FAF">
        <w:tc>
          <w:tcPr>
            <w:tcW w:w="1576" w:type="dxa"/>
          </w:tcPr>
          <w:p w14:paraId="500D61BB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PD1</w:t>
            </w:r>
          </w:p>
        </w:tc>
        <w:tc>
          <w:tcPr>
            <w:tcW w:w="4827" w:type="dxa"/>
          </w:tcPr>
          <w:p w14:paraId="2C6B2A43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programmed cell death 1 (Pdcd1), mRNA</w:t>
            </w:r>
          </w:p>
        </w:tc>
        <w:tc>
          <w:tcPr>
            <w:tcW w:w="1623" w:type="dxa"/>
          </w:tcPr>
          <w:p w14:paraId="26411253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NM_008798.2</w:t>
            </w:r>
          </w:p>
        </w:tc>
        <w:tc>
          <w:tcPr>
            <w:tcW w:w="1243" w:type="dxa"/>
          </w:tcPr>
          <w:p w14:paraId="2968C6A8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87.90</w:t>
            </w:r>
          </w:p>
        </w:tc>
      </w:tr>
      <w:tr w:rsidR="00D82455" w:rsidRPr="00D82455" w14:paraId="59D6808E" w14:textId="77777777" w:rsidTr="002A5FAF">
        <w:tc>
          <w:tcPr>
            <w:tcW w:w="1576" w:type="dxa"/>
          </w:tcPr>
          <w:p w14:paraId="3131E4C4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PDL1</w:t>
            </w:r>
          </w:p>
        </w:tc>
        <w:tc>
          <w:tcPr>
            <w:tcW w:w="4827" w:type="dxa"/>
          </w:tcPr>
          <w:p w14:paraId="62220B78" w14:textId="77777777" w:rsidR="00C31D82" w:rsidRPr="00D82455" w:rsidRDefault="00C31D82" w:rsidP="00C31D82">
            <w:pPr>
              <w:rPr>
                <w:rFonts w:cs="Times New Roman"/>
                <w:szCs w:val="24"/>
                <w:lang w:val="es-MX"/>
              </w:rPr>
            </w:pPr>
            <w:r w:rsidRPr="00D82455">
              <w:rPr>
                <w:rFonts w:cs="Times New Roman"/>
                <w:i/>
                <w:szCs w:val="24"/>
                <w:lang w:val="es-MX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es-MX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es-MX"/>
              </w:rPr>
              <w:t xml:space="preserve"> CD274 </w:t>
            </w:r>
            <w:proofErr w:type="spellStart"/>
            <w:r w:rsidRPr="00D82455">
              <w:rPr>
                <w:rFonts w:cs="Times New Roman"/>
                <w:szCs w:val="24"/>
                <w:lang w:val="es-MX"/>
              </w:rPr>
              <w:t>antigen</w:t>
            </w:r>
            <w:proofErr w:type="spellEnd"/>
            <w:r w:rsidRPr="00D82455">
              <w:rPr>
                <w:rFonts w:cs="Times New Roman"/>
                <w:szCs w:val="24"/>
                <w:lang w:val="es-MX"/>
              </w:rPr>
              <w:t xml:space="preserve"> (Cd274), mRNA</w:t>
            </w:r>
          </w:p>
        </w:tc>
        <w:tc>
          <w:tcPr>
            <w:tcW w:w="1623" w:type="dxa"/>
          </w:tcPr>
          <w:p w14:paraId="4F1ED362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NM_021893.3</w:t>
            </w:r>
          </w:p>
        </w:tc>
        <w:tc>
          <w:tcPr>
            <w:tcW w:w="1243" w:type="dxa"/>
          </w:tcPr>
          <w:p w14:paraId="6CA039CE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102.03</w:t>
            </w:r>
          </w:p>
        </w:tc>
      </w:tr>
      <w:tr w:rsidR="00D82455" w:rsidRPr="00D82455" w14:paraId="454E1DD4" w14:textId="77777777" w:rsidTr="002A5FAF">
        <w:tc>
          <w:tcPr>
            <w:tcW w:w="1576" w:type="dxa"/>
          </w:tcPr>
          <w:p w14:paraId="150EB702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PDL2</w:t>
            </w:r>
          </w:p>
        </w:tc>
        <w:tc>
          <w:tcPr>
            <w:tcW w:w="4827" w:type="dxa"/>
          </w:tcPr>
          <w:p w14:paraId="708F7F05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programmed cell death 1 ligand 2 (Pdcd1lg2), mRNA</w:t>
            </w:r>
          </w:p>
        </w:tc>
        <w:tc>
          <w:tcPr>
            <w:tcW w:w="1623" w:type="dxa"/>
          </w:tcPr>
          <w:p w14:paraId="4C08E4F7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NM_021396.2</w:t>
            </w:r>
          </w:p>
        </w:tc>
        <w:tc>
          <w:tcPr>
            <w:tcW w:w="1243" w:type="dxa"/>
          </w:tcPr>
          <w:p w14:paraId="0C44C534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94.96</w:t>
            </w:r>
          </w:p>
        </w:tc>
      </w:tr>
      <w:tr w:rsidR="00D82455" w:rsidRPr="00D82455" w14:paraId="3EE5A7F9" w14:textId="77777777" w:rsidTr="002A5FAF">
        <w:tc>
          <w:tcPr>
            <w:tcW w:w="1576" w:type="dxa"/>
          </w:tcPr>
          <w:p w14:paraId="60DB21DC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PRF1</w:t>
            </w:r>
          </w:p>
        </w:tc>
        <w:tc>
          <w:tcPr>
            <w:tcW w:w="4827" w:type="dxa"/>
          </w:tcPr>
          <w:p w14:paraId="51AED893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perforin 1 (pore forming protein), protein coding</w:t>
            </w:r>
          </w:p>
        </w:tc>
        <w:tc>
          <w:tcPr>
            <w:tcW w:w="1623" w:type="dxa"/>
          </w:tcPr>
          <w:p w14:paraId="3BB76F92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NC_000076.6</w:t>
            </w:r>
          </w:p>
        </w:tc>
        <w:tc>
          <w:tcPr>
            <w:tcW w:w="1243" w:type="dxa"/>
          </w:tcPr>
          <w:p w14:paraId="07400AA9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100.00</w:t>
            </w:r>
          </w:p>
        </w:tc>
      </w:tr>
      <w:tr w:rsidR="00D82455" w:rsidRPr="00D82455" w14:paraId="41C3ECA7" w14:textId="77777777" w:rsidTr="002A5FAF">
        <w:tc>
          <w:tcPr>
            <w:tcW w:w="1576" w:type="dxa"/>
          </w:tcPr>
          <w:p w14:paraId="0B69C63D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TGF-β1</w:t>
            </w:r>
          </w:p>
        </w:tc>
        <w:tc>
          <w:tcPr>
            <w:tcW w:w="4827" w:type="dxa"/>
          </w:tcPr>
          <w:p w14:paraId="73E6D046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transforming growth factor, beta 1 (Tgfb1), mRNA</w:t>
            </w:r>
          </w:p>
        </w:tc>
        <w:tc>
          <w:tcPr>
            <w:tcW w:w="1623" w:type="dxa"/>
          </w:tcPr>
          <w:p w14:paraId="78D0FD85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NM_011577.1</w:t>
            </w:r>
          </w:p>
        </w:tc>
        <w:tc>
          <w:tcPr>
            <w:tcW w:w="1243" w:type="dxa"/>
          </w:tcPr>
          <w:p w14:paraId="049ACD55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87.78</w:t>
            </w:r>
          </w:p>
        </w:tc>
      </w:tr>
      <w:tr w:rsidR="00D82455" w:rsidRPr="00D82455" w14:paraId="2D66C8EE" w14:textId="77777777" w:rsidTr="002A5FAF">
        <w:tc>
          <w:tcPr>
            <w:tcW w:w="1576" w:type="dxa"/>
          </w:tcPr>
          <w:p w14:paraId="145A940B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TGF-β2</w:t>
            </w:r>
          </w:p>
        </w:tc>
        <w:tc>
          <w:tcPr>
            <w:tcW w:w="4827" w:type="dxa"/>
          </w:tcPr>
          <w:p w14:paraId="71EE2782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i/>
                <w:szCs w:val="24"/>
              </w:rPr>
              <w:t>Mus musculus</w:t>
            </w:r>
            <w:r w:rsidRPr="00D82455">
              <w:rPr>
                <w:rFonts w:cs="Times New Roman"/>
                <w:szCs w:val="24"/>
              </w:rPr>
              <w:t xml:space="preserve"> transforming growth factor, beta 2 (Tgfb2), mRNA</w:t>
            </w:r>
          </w:p>
        </w:tc>
        <w:tc>
          <w:tcPr>
            <w:tcW w:w="1623" w:type="dxa"/>
          </w:tcPr>
          <w:p w14:paraId="586EAB4C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NM_009367.3</w:t>
            </w:r>
          </w:p>
          <w:p w14:paraId="28AE733A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</w:p>
        </w:tc>
        <w:tc>
          <w:tcPr>
            <w:tcW w:w="1243" w:type="dxa"/>
          </w:tcPr>
          <w:p w14:paraId="47875222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102.50</w:t>
            </w:r>
          </w:p>
        </w:tc>
      </w:tr>
      <w:tr w:rsidR="00D82455" w:rsidRPr="00D82455" w14:paraId="45E85834" w14:textId="77777777" w:rsidTr="002A5FAF">
        <w:tc>
          <w:tcPr>
            <w:tcW w:w="1576" w:type="dxa"/>
          </w:tcPr>
          <w:p w14:paraId="5B371F7C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TRAIL</w:t>
            </w:r>
          </w:p>
        </w:tc>
        <w:tc>
          <w:tcPr>
            <w:tcW w:w="4827" w:type="dxa"/>
          </w:tcPr>
          <w:p w14:paraId="6CBFCDC2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TNF-related apoptosis-inducing ligand, protein code</w:t>
            </w:r>
          </w:p>
        </w:tc>
        <w:tc>
          <w:tcPr>
            <w:tcW w:w="1623" w:type="dxa"/>
          </w:tcPr>
          <w:p w14:paraId="15457308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NC_000069.6</w:t>
            </w:r>
          </w:p>
        </w:tc>
        <w:tc>
          <w:tcPr>
            <w:tcW w:w="1243" w:type="dxa"/>
          </w:tcPr>
          <w:p w14:paraId="245AAE95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97.08</w:t>
            </w:r>
          </w:p>
        </w:tc>
      </w:tr>
      <w:tr w:rsidR="00D82455" w:rsidRPr="00D82455" w14:paraId="64DC7336" w14:textId="77777777" w:rsidTr="002A5FAF">
        <w:tc>
          <w:tcPr>
            <w:tcW w:w="1576" w:type="dxa"/>
            <w:tcBorders>
              <w:bottom w:val="single" w:sz="4" w:space="0" w:color="auto"/>
            </w:tcBorders>
          </w:tcPr>
          <w:p w14:paraId="7D8CA711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VIP</w:t>
            </w:r>
          </w:p>
        </w:tc>
        <w:tc>
          <w:tcPr>
            <w:tcW w:w="4827" w:type="dxa"/>
            <w:tcBorders>
              <w:bottom w:val="single" w:sz="4" w:space="0" w:color="auto"/>
            </w:tcBorders>
          </w:tcPr>
          <w:p w14:paraId="17F231C3" w14:textId="77777777" w:rsidR="00C31D82" w:rsidRPr="00D82455" w:rsidRDefault="00C31D82" w:rsidP="00C31D82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vasoactive intestinal polypeptide (Vip),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mRNA</w:t>
            </w:r>
            <w:proofErr w:type="spellEnd"/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14:paraId="416BBF9C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NM_011702.2</w:t>
            </w:r>
          </w:p>
          <w:p w14:paraId="5DA29F3C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42C3994A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100.00</w:t>
            </w:r>
          </w:p>
        </w:tc>
      </w:tr>
      <w:tr w:rsidR="00D82455" w:rsidRPr="00D82455" w14:paraId="4BCDFE48" w14:textId="77777777" w:rsidTr="002A5FAF">
        <w:tc>
          <w:tcPr>
            <w:tcW w:w="80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83CDBD2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Housekeeping gene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51C9F522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31D82" w:rsidRPr="00D82455" w14:paraId="610AC385" w14:textId="77777777" w:rsidTr="002A5FAF">
        <w:tc>
          <w:tcPr>
            <w:tcW w:w="1576" w:type="dxa"/>
            <w:tcBorders>
              <w:top w:val="single" w:sz="4" w:space="0" w:color="auto"/>
            </w:tcBorders>
          </w:tcPr>
          <w:p w14:paraId="38A0DD55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GAPDH</w:t>
            </w:r>
          </w:p>
        </w:tc>
        <w:tc>
          <w:tcPr>
            <w:tcW w:w="4827" w:type="dxa"/>
            <w:tcBorders>
              <w:top w:val="single" w:sz="4" w:space="0" w:color="auto"/>
            </w:tcBorders>
          </w:tcPr>
          <w:p w14:paraId="0E57E32B" w14:textId="77777777" w:rsidR="00C31D82" w:rsidRPr="00D82455" w:rsidRDefault="00C31D82" w:rsidP="00C31D82">
            <w:pPr>
              <w:rPr>
                <w:rFonts w:cs="Times New Roman"/>
                <w:szCs w:val="24"/>
                <w:lang w:val="fr-FR"/>
              </w:rPr>
            </w:pPr>
            <w:r w:rsidRPr="00D82455">
              <w:rPr>
                <w:rFonts w:cs="Times New Roman"/>
                <w:i/>
                <w:szCs w:val="24"/>
                <w:lang w:val="fr-FR"/>
              </w:rPr>
              <w:t xml:space="preserve">Mus </w:t>
            </w:r>
            <w:proofErr w:type="spellStart"/>
            <w:r w:rsidRPr="00D82455">
              <w:rPr>
                <w:rFonts w:cs="Times New Roman"/>
                <w:i/>
                <w:szCs w:val="24"/>
                <w:lang w:val="fr-FR"/>
              </w:rPr>
              <w:t>musculus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glyceraldehyde-3-phosphate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dehydrogenase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,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protein</w:t>
            </w:r>
            <w:proofErr w:type="spellEnd"/>
            <w:r w:rsidRPr="00D82455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D82455">
              <w:rPr>
                <w:rFonts w:cs="Times New Roman"/>
                <w:szCs w:val="24"/>
                <w:lang w:val="fr-FR"/>
              </w:rPr>
              <w:t>coding</w:t>
            </w:r>
            <w:proofErr w:type="spellEnd"/>
          </w:p>
        </w:tc>
        <w:tc>
          <w:tcPr>
            <w:tcW w:w="1623" w:type="dxa"/>
            <w:tcBorders>
              <w:top w:val="single" w:sz="4" w:space="0" w:color="auto"/>
            </w:tcBorders>
          </w:tcPr>
          <w:p w14:paraId="5CB2A191" w14:textId="77777777" w:rsidR="00C31D82" w:rsidRPr="00D82455" w:rsidRDefault="00C31D82" w:rsidP="00C31D82">
            <w:pPr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NC_000072.6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14:paraId="4BED1350" w14:textId="77777777" w:rsidR="00C31D82" w:rsidRPr="00D82455" w:rsidRDefault="00C31D82" w:rsidP="00C31D82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102.31</w:t>
            </w:r>
          </w:p>
        </w:tc>
      </w:tr>
    </w:tbl>
    <w:p w14:paraId="74FBAEE3" w14:textId="77777777" w:rsidR="008E53C6" w:rsidRPr="00D82455" w:rsidRDefault="008E53C6" w:rsidP="008E53C6">
      <w:pPr>
        <w:rPr>
          <w:rFonts w:ascii="Arial" w:hAnsi="Arial" w:cs="Arial"/>
          <w:szCs w:val="24"/>
        </w:rPr>
      </w:pPr>
    </w:p>
    <w:p w14:paraId="1222C8B7" w14:textId="3F45C6EF" w:rsidR="008E53C6" w:rsidRPr="00D82455" w:rsidRDefault="008E53C6" w:rsidP="008E53C6">
      <w:pPr>
        <w:pStyle w:val="Ttulo"/>
      </w:pPr>
    </w:p>
    <w:p w14:paraId="72EDA001" w14:textId="17AD680E" w:rsidR="00304812" w:rsidRPr="00D82455" w:rsidRDefault="00304812">
      <w:pPr>
        <w:spacing w:before="0" w:after="200" w:line="276" w:lineRule="auto"/>
      </w:pPr>
      <w:r w:rsidRPr="00D82455">
        <w:br w:type="page"/>
      </w:r>
    </w:p>
    <w:p w14:paraId="727DA771" w14:textId="5EBF8DD2" w:rsidR="00304812" w:rsidRPr="00D82455" w:rsidRDefault="00304812">
      <w:pPr>
        <w:spacing w:before="0" w:after="200" w:line="276" w:lineRule="auto"/>
      </w:pPr>
      <w:r w:rsidRPr="00D82455">
        <w:rPr>
          <w:noProof/>
          <w:lang w:val="es-MX" w:eastAsia="es-MX"/>
        </w:rPr>
        <w:lastRenderedPageBreak/>
        <w:drawing>
          <wp:inline distT="0" distB="0" distL="0" distR="0" wp14:anchorId="75176218" wp14:editId="6E7E2882">
            <wp:extent cx="5921232" cy="66579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60" cy="66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1E92" w14:textId="7B128009" w:rsidR="00304812" w:rsidRPr="00D82455" w:rsidRDefault="00304812" w:rsidP="00304812">
      <w:pPr>
        <w:rPr>
          <w:rFonts w:cs="Times New Roman"/>
          <w:szCs w:val="24"/>
        </w:rPr>
      </w:pPr>
      <w:r w:rsidRPr="00D82455">
        <w:rPr>
          <w:rFonts w:cs="Times New Roman"/>
          <w:b/>
          <w:szCs w:val="24"/>
        </w:rPr>
        <w:t xml:space="preserve">Supplementary Figure 1. Phenotypic characterization of cell populations. </w:t>
      </w:r>
      <w:r w:rsidRPr="00D82455">
        <w:rPr>
          <w:rFonts w:cs="Times New Roman"/>
          <w:szCs w:val="24"/>
        </w:rPr>
        <w:t>A) Representative example of Treg (CD4+CD25+FOXP3+) and activated CD127+ T cells (CD4+CD25+FOXP3−CD127+). B) Representative example of proliferation of Tregs (CD4+CD25+FOXP3+). C) Representative example of naïve T cells (CD3+CD4+ CD62L</w:t>
      </w:r>
      <w:r w:rsidRPr="00D82455">
        <w:rPr>
          <w:rFonts w:cs="Times New Roman"/>
          <w:szCs w:val="24"/>
          <w:vertAlign w:val="superscript"/>
        </w:rPr>
        <w:t>hi</w:t>
      </w:r>
      <w:r w:rsidRPr="00D82455">
        <w:rPr>
          <w:rFonts w:cs="Times New Roman"/>
          <w:szCs w:val="24"/>
        </w:rPr>
        <w:t>CD44</w:t>
      </w:r>
      <w:r w:rsidRPr="00D82455">
        <w:rPr>
          <w:rFonts w:cs="Times New Roman"/>
          <w:szCs w:val="24"/>
          <w:vertAlign w:val="superscript"/>
        </w:rPr>
        <w:t>low</w:t>
      </w:r>
      <w:r w:rsidRPr="00D82455">
        <w:rPr>
          <w:rFonts w:cs="Times New Roman"/>
          <w:szCs w:val="24"/>
        </w:rPr>
        <w:t>), effector T cells (CD3+CD4+CD62L</w:t>
      </w:r>
      <w:r w:rsidRPr="00D82455">
        <w:rPr>
          <w:rFonts w:cs="Times New Roman"/>
          <w:szCs w:val="24"/>
          <w:vertAlign w:val="superscript"/>
        </w:rPr>
        <w:t>low</w:t>
      </w:r>
      <w:r w:rsidRPr="00D82455">
        <w:rPr>
          <w:rFonts w:cs="Times New Roman"/>
          <w:szCs w:val="24"/>
        </w:rPr>
        <w:t>CD44</w:t>
      </w:r>
      <w:r w:rsidRPr="00D82455">
        <w:rPr>
          <w:rFonts w:cs="Times New Roman"/>
          <w:szCs w:val="24"/>
          <w:vertAlign w:val="superscript"/>
        </w:rPr>
        <w:t>hi</w:t>
      </w:r>
      <w:r w:rsidRPr="00D82455">
        <w:rPr>
          <w:rFonts w:cs="Times New Roman"/>
          <w:szCs w:val="24"/>
        </w:rPr>
        <w:t>), memory T cells (CD3+CD4+CD62L</w:t>
      </w:r>
      <w:r w:rsidRPr="00D82455">
        <w:rPr>
          <w:rFonts w:cs="Times New Roman"/>
          <w:szCs w:val="24"/>
          <w:vertAlign w:val="superscript"/>
        </w:rPr>
        <w:t>hi</w:t>
      </w:r>
      <w:r w:rsidRPr="00D82455">
        <w:rPr>
          <w:rFonts w:cs="Times New Roman"/>
          <w:szCs w:val="24"/>
        </w:rPr>
        <w:t>CD44</w:t>
      </w:r>
      <w:r w:rsidRPr="00D82455">
        <w:rPr>
          <w:rFonts w:cs="Times New Roman"/>
          <w:szCs w:val="24"/>
          <w:vertAlign w:val="superscript"/>
        </w:rPr>
        <w:t>hi</w:t>
      </w:r>
      <w:r w:rsidRPr="00D82455">
        <w:rPr>
          <w:rFonts w:cs="Times New Roman"/>
          <w:szCs w:val="24"/>
        </w:rPr>
        <w:t>), early activated CD4 (CD3+CD4+CD69+) or CD8 (CD3+CD8+CD69+) T cells, late activated CD4 (CD3+CD4+CD38+) or CD8 (CD3+CD8+CD38+) T cells, B cells (CD19+), plasma cells (CD19</w:t>
      </w:r>
      <w:r w:rsidRPr="00D82455">
        <w:rPr>
          <w:rFonts w:cs="Times New Roman"/>
          <w:szCs w:val="24"/>
          <w:vertAlign w:val="superscript"/>
        </w:rPr>
        <w:t>low</w:t>
      </w:r>
      <w:r w:rsidRPr="00D82455">
        <w:rPr>
          <w:rFonts w:cs="Times New Roman"/>
          <w:szCs w:val="24"/>
        </w:rPr>
        <w:t>CD138</w:t>
      </w:r>
      <w:r w:rsidRPr="00D82455">
        <w:rPr>
          <w:rFonts w:cs="Times New Roman"/>
          <w:szCs w:val="24"/>
          <w:vertAlign w:val="superscript"/>
        </w:rPr>
        <w:t>hi</w:t>
      </w:r>
      <w:r w:rsidRPr="00D82455">
        <w:rPr>
          <w:rFonts w:cs="Times New Roman"/>
          <w:szCs w:val="24"/>
        </w:rPr>
        <w:t>), NK T cells (CD49b+CD3+), and monocytes (CD11b+F4/80+).</w:t>
      </w:r>
    </w:p>
    <w:p w14:paraId="4B508BA7" w14:textId="7CB73D89" w:rsidR="00304812" w:rsidRPr="00D82455" w:rsidRDefault="00BF2521">
      <w:pPr>
        <w:spacing w:before="0" w:after="200" w:line="276" w:lineRule="auto"/>
      </w:pPr>
      <w:r w:rsidRPr="00D82455">
        <w:rPr>
          <w:noProof/>
          <w:lang w:val="es-MX" w:eastAsia="es-MX"/>
        </w:rPr>
        <w:lastRenderedPageBreak/>
        <w:drawing>
          <wp:inline distT="0" distB="0" distL="0" distR="0" wp14:anchorId="1132176D" wp14:editId="1F8D7DF2">
            <wp:extent cx="5724180" cy="2635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70" cy="263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408C" w14:textId="6D821E4D" w:rsidR="00304812" w:rsidRPr="00D82455" w:rsidRDefault="00304812" w:rsidP="00304812">
      <w:pPr>
        <w:rPr>
          <w:rFonts w:cs="Times New Roman"/>
          <w:szCs w:val="24"/>
        </w:rPr>
      </w:pPr>
      <w:r w:rsidRPr="00D82455">
        <w:rPr>
          <w:rFonts w:cs="Times New Roman"/>
          <w:b/>
          <w:szCs w:val="24"/>
        </w:rPr>
        <w:t xml:space="preserve">Supplementary Figure 2. </w:t>
      </w:r>
      <w:r w:rsidRPr="00D82455">
        <w:rPr>
          <w:rFonts w:cs="Times New Roman"/>
          <w:szCs w:val="24"/>
        </w:rPr>
        <w:t>Correlation between the levels of Treg cells and those of activated CD127+ cells from peritoneum. A) BALB/</w:t>
      </w:r>
      <w:proofErr w:type="spellStart"/>
      <w:r w:rsidRPr="00D82455">
        <w:rPr>
          <w:rFonts w:cs="Times New Roman"/>
          <w:szCs w:val="24"/>
        </w:rPr>
        <w:t>cAnN</w:t>
      </w:r>
      <w:proofErr w:type="spellEnd"/>
      <w:r w:rsidRPr="00D82455">
        <w:rPr>
          <w:rFonts w:cs="Times New Roman"/>
          <w:szCs w:val="24"/>
        </w:rPr>
        <w:t xml:space="preserve"> and B) C57BL/6 mice. </w:t>
      </w:r>
      <w:r w:rsidR="006855A3" w:rsidRPr="00D82455">
        <w:rPr>
          <w:rFonts w:cs="Times New Roman"/>
          <w:szCs w:val="24"/>
        </w:rPr>
        <w:t xml:space="preserve">In total, 24 </w:t>
      </w:r>
      <w:r w:rsidR="00E13EC0" w:rsidRPr="00D82455">
        <w:rPr>
          <w:rFonts w:cs="Times New Roman"/>
          <w:szCs w:val="24"/>
        </w:rPr>
        <w:t xml:space="preserve">infected </w:t>
      </w:r>
      <w:r w:rsidR="006855A3" w:rsidRPr="00D82455">
        <w:rPr>
          <w:rFonts w:cs="Times New Roman"/>
          <w:szCs w:val="24"/>
        </w:rPr>
        <w:t>mice of each strain (six for each time point) were analyzed.</w:t>
      </w:r>
      <w:r w:rsidR="005778FD" w:rsidRPr="00D82455">
        <w:rPr>
          <w:rFonts w:cs="Times New Roman"/>
          <w:szCs w:val="24"/>
        </w:rPr>
        <w:t xml:space="preserve"> </w:t>
      </w:r>
      <w:r w:rsidRPr="00D82455">
        <w:rPr>
          <w:rFonts w:cs="Times New Roman"/>
          <w:szCs w:val="24"/>
        </w:rPr>
        <w:t xml:space="preserve">The Spearman’s correlation coefficient and 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>-value are shown on the plot.</w:t>
      </w:r>
    </w:p>
    <w:p w14:paraId="4E2A6C7B" w14:textId="3C1A0870" w:rsidR="00304812" w:rsidRPr="00D82455" w:rsidRDefault="00304812">
      <w:pPr>
        <w:spacing w:before="0" w:after="200" w:line="276" w:lineRule="auto"/>
      </w:pPr>
      <w:r w:rsidRPr="00D82455">
        <w:rPr>
          <w:noProof/>
          <w:lang w:val="es-MX" w:eastAsia="es-MX"/>
        </w:rPr>
        <w:drawing>
          <wp:inline distT="0" distB="0" distL="0" distR="0" wp14:anchorId="17780CAD" wp14:editId="30E7D628">
            <wp:extent cx="5924550" cy="371647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74" cy="37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1514" w14:textId="6324E408" w:rsidR="00CF7C0D" w:rsidRPr="00D82455" w:rsidRDefault="00304812" w:rsidP="00304812">
      <w:pPr>
        <w:rPr>
          <w:rFonts w:cs="Times New Roman"/>
          <w:szCs w:val="24"/>
        </w:rPr>
      </w:pPr>
      <w:r w:rsidRPr="00D82455">
        <w:rPr>
          <w:rFonts w:cs="Times New Roman"/>
          <w:b/>
          <w:szCs w:val="24"/>
        </w:rPr>
        <w:t xml:space="preserve">Supplementary Figure 3. </w:t>
      </w:r>
      <w:r w:rsidRPr="00D82455">
        <w:rPr>
          <w:rFonts w:cs="Times New Roman"/>
          <w:szCs w:val="24"/>
        </w:rPr>
        <w:t>Parasite number in the site of infection</w:t>
      </w:r>
      <w:r w:rsidRPr="00D82455">
        <w:rPr>
          <w:rFonts w:cs="Times New Roman"/>
          <w:bCs/>
          <w:szCs w:val="24"/>
        </w:rPr>
        <w:t xml:space="preserve"> (</w:t>
      </w:r>
      <w:r w:rsidRPr="00D82455">
        <w:rPr>
          <w:rFonts w:cs="Times New Roman"/>
          <w:szCs w:val="24"/>
        </w:rPr>
        <w:t>peritoneum</w:t>
      </w:r>
      <w:r w:rsidRPr="00D82455">
        <w:rPr>
          <w:rFonts w:cs="Times New Roman"/>
          <w:bCs/>
          <w:szCs w:val="24"/>
        </w:rPr>
        <w:t xml:space="preserve">) </w:t>
      </w:r>
      <w:r w:rsidRPr="00D82455">
        <w:rPr>
          <w:rFonts w:cs="Times New Roman"/>
          <w:szCs w:val="24"/>
        </w:rPr>
        <w:t>in susceptible, BALB/</w:t>
      </w:r>
      <w:proofErr w:type="spellStart"/>
      <w:r w:rsidRPr="00D82455">
        <w:rPr>
          <w:rFonts w:cs="Times New Roman"/>
          <w:szCs w:val="24"/>
        </w:rPr>
        <w:t>cAnN</w:t>
      </w:r>
      <w:proofErr w:type="spellEnd"/>
      <w:r w:rsidRPr="00D82455">
        <w:rPr>
          <w:rFonts w:cs="Times New Roman"/>
          <w:szCs w:val="24"/>
        </w:rPr>
        <w:t xml:space="preserve"> and non-susceptible, C57BL/6 mice on day 5, 30, 90, and 130 post-infection.</w:t>
      </w:r>
      <w:r w:rsidR="006F64E1" w:rsidRPr="00D82455">
        <w:rPr>
          <w:rFonts w:cs="Times New Roman"/>
          <w:szCs w:val="24"/>
        </w:rPr>
        <w:t xml:space="preserve"> </w:t>
      </w:r>
      <w:r w:rsidR="006F64E1" w:rsidRPr="00D82455">
        <w:rPr>
          <w:rFonts w:eastAsia="Calibri" w:cs="Times New Roman"/>
          <w:szCs w:val="24"/>
        </w:rPr>
        <w:t>Six infected mice and 6 controls were included for each time point analyzed</w:t>
      </w:r>
      <w:r w:rsidR="006F64E1" w:rsidRPr="00D82455">
        <w:rPr>
          <w:rFonts w:cs="Times New Roman"/>
          <w:szCs w:val="24"/>
        </w:rPr>
        <w:t>.</w:t>
      </w:r>
      <w:r w:rsidRPr="00D82455">
        <w:rPr>
          <w:rFonts w:cs="Times New Roman"/>
          <w:szCs w:val="24"/>
        </w:rPr>
        <w:t xml:space="preserve"> Significant differences were determined by the U Mann-Whitney test. 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0.05, **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0.01, ***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0.005.</w:t>
      </w:r>
    </w:p>
    <w:p w14:paraId="0E5012F0" w14:textId="77777777" w:rsidR="008E53C6" w:rsidRPr="00D82455" w:rsidRDefault="008E53C6" w:rsidP="008E53C6">
      <w:pPr>
        <w:rPr>
          <w:rFonts w:cs="Times New Roman"/>
          <w:szCs w:val="24"/>
        </w:rPr>
      </w:pPr>
      <w:r w:rsidRPr="00D82455">
        <w:rPr>
          <w:rFonts w:cs="Times New Roman"/>
          <w:b/>
          <w:bCs/>
          <w:szCs w:val="24"/>
        </w:rPr>
        <w:lastRenderedPageBreak/>
        <w:t>Supplementary Table 2.</w:t>
      </w:r>
      <w:r w:rsidRPr="00D82455">
        <w:rPr>
          <w:rFonts w:cs="Times New Roman"/>
          <w:szCs w:val="24"/>
        </w:rPr>
        <w:t xml:space="preserve"> Percentage of immune CD4+ T cells and naïve-like cells in peritoneum, lymph nodes, and spleen of susceptible (BALB/</w:t>
      </w:r>
      <w:proofErr w:type="spellStart"/>
      <w:r w:rsidRPr="00D82455">
        <w:rPr>
          <w:rFonts w:cs="Times New Roman"/>
          <w:szCs w:val="24"/>
        </w:rPr>
        <w:t>cAnN</w:t>
      </w:r>
      <w:proofErr w:type="spellEnd"/>
      <w:r w:rsidRPr="00D82455">
        <w:rPr>
          <w:rFonts w:cs="Times New Roman"/>
          <w:szCs w:val="24"/>
        </w:rPr>
        <w:t>) and non-susceptible (C57BL/6) mice.</w:t>
      </w:r>
    </w:p>
    <w:tbl>
      <w:tblPr>
        <w:tblStyle w:val="Tablaconcuadrcula"/>
        <w:tblW w:w="1091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7"/>
        <w:gridCol w:w="1549"/>
        <w:gridCol w:w="1696"/>
        <w:gridCol w:w="1763"/>
        <w:gridCol w:w="1842"/>
        <w:gridCol w:w="1843"/>
      </w:tblGrid>
      <w:tr w:rsidR="00D82455" w:rsidRPr="00D82455" w14:paraId="7FEA1063" w14:textId="77777777" w:rsidTr="00EE7F97">
        <w:trPr>
          <w:jc w:val="center"/>
        </w:trPr>
        <w:tc>
          <w:tcPr>
            <w:tcW w:w="10910" w:type="dxa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14:paraId="30F346A6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Day post-infection</w:t>
            </w:r>
          </w:p>
        </w:tc>
      </w:tr>
      <w:tr w:rsidR="00D82455" w:rsidRPr="00D82455" w14:paraId="73782202" w14:textId="77777777" w:rsidTr="00EE7F97">
        <w:trPr>
          <w:jc w:val="center"/>
        </w:trPr>
        <w:tc>
          <w:tcPr>
            <w:tcW w:w="2217" w:type="dxa"/>
            <w:tcBorders>
              <w:top w:val="nil"/>
              <w:bottom w:val="single" w:sz="4" w:space="0" w:color="auto"/>
            </w:tcBorders>
            <w:vAlign w:val="center"/>
          </w:tcPr>
          <w:p w14:paraId="5183AE1C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Cell phenotypes</w:t>
            </w:r>
          </w:p>
        </w:tc>
        <w:tc>
          <w:tcPr>
            <w:tcW w:w="1549" w:type="dxa"/>
            <w:tcBorders>
              <w:top w:val="nil"/>
              <w:bottom w:val="single" w:sz="4" w:space="0" w:color="auto"/>
            </w:tcBorders>
            <w:vAlign w:val="center"/>
          </w:tcPr>
          <w:p w14:paraId="43BB43A9" w14:textId="77777777" w:rsidR="008E53C6" w:rsidRPr="00D82455" w:rsidRDefault="008E53C6" w:rsidP="00EE7F97">
            <w:pPr>
              <w:spacing w:line="480" w:lineRule="auto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Uninfected controls</w:t>
            </w:r>
          </w:p>
        </w:tc>
        <w:tc>
          <w:tcPr>
            <w:tcW w:w="1696" w:type="dxa"/>
            <w:tcBorders>
              <w:top w:val="nil"/>
              <w:bottom w:val="single" w:sz="4" w:space="0" w:color="auto"/>
            </w:tcBorders>
            <w:vAlign w:val="center"/>
          </w:tcPr>
          <w:p w14:paraId="021F7BEC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1763" w:type="dxa"/>
            <w:tcBorders>
              <w:top w:val="nil"/>
              <w:bottom w:val="single" w:sz="4" w:space="0" w:color="auto"/>
            </w:tcBorders>
            <w:vAlign w:val="center"/>
          </w:tcPr>
          <w:p w14:paraId="0CE1B1D4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30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vAlign w:val="center"/>
          </w:tcPr>
          <w:p w14:paraId="496FC21F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90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5F770142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130</w:t>
            </w:r>
          </w:p>
        </w:tc>
      </w:tr>
      <w:tr w:rsidR="00D82455" w:rsidRPr="00D82455" w14:paraId="0F5FDCE4" w14:textId="77777777" w:rsidTr="00EE7F97">
        <w:trPr>
          <w:jc w:val="center"/>
        </w:trPr>
        <w:tc>
          <w:tcPr>
            <w:tcW w:w="2217" w:type="dxa"/>
            <w:tcBorders>
              <w:top w:val="single" w:sz="4" w:space="0" w:color="auto"/>
            </w:tcBorders>
            <w:vAlign w:val="center"/>
          </w:tcPr>
          <w:p w14:paraId="62BD892E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T CD4 cells</w:t>
            </w:r>
          </w:p>
        </w:tc>
        <w:tc>
          <w:tcPr>
            <w:tcW w:w="8693" w:type="dxa"/>
            <w:gridSpan w:val="5"/>
            <w:tcBorders>
              <w:top w:val="single" w:sz="4" w:space="0" w:color="auto"/>
            </w:tcBorders>
            <w:vAlign w:val="center"/>
          </w:tcPr>
          <w:p w14:paraId="1C449DA1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PERITONEUM</w:t>
            </w:r>
          </w:p>
        </w:tc>
      </w:tr>
      <w:tr w:rsidR="00D82455" w:rsidRPr="00D82455" w14:paraId="74BFE9B0" w14:textId="77777777" w:rsidTr="00EE7F97">
        <w:trPr>
          <w:jc w:val="center"/>
        </w:trPr>
        <w:tc>
          <w:tcPr>
            <w:tcW w:w="2217" w:type="dxa"/>
            <w:vAlign w:val="center"/>
          </w:tcPr>
          <w:p w14:paraId="6BA9E187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BALB/</w:t>
            </w:r>
            <w:proofErr w:type="spellStart"/>
            <w:r w:rsidRPr="00D82455">
              <w:rPr>
                <w:rFonts w:cs="Times New Roman"/>
                <w:szCs w:val="24"/>
              </w:rPr>
              <w:t>cAnN</w:t>
            </w:r>
            <w:proofErr w:type="spellEnd"/>
          </w:p>
        </w:tc>
        <w:tc>
          <w:tcPr>
            <w:tcW w:w="1549" w:type="dxa"/>
            <w:vAlign w:val="center"/>
          </w:tcPr>
          <w:p w14:paraId="6F3DFBEA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8.47±5.80</w:t>
            </w:r>
          </w:p>
        </w:tc>
        <w:tc>
          <w:tcPr>
            <w:tcW w:w="1696" w:type="dxa"/>
            <w:vAlign w:val="center"/>
          </w:tcPr>
          <w:p w14:paraId="37F63439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11.76±4.97</w:t>
            </w:r>
          </w:p>
        </w:tc>
        <w:tc>
          <w:tcPr>
            <w:tcW w:w="1763" w:type="dxa"/>
            <w:vAlign w:val="center"/>
          </w:tcPr>
          <w:p w14:paraId="7B3E3E0E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10.79±4.57</w:t>
            </w:r>
          </w:p>
        </w:tc>
        <w:tc>
          <w:tcPr>
            <w:tcW w:w="1842" w:type="dxa"/>
            <w:vAlign w:val="center"/>
          </w:tcPr>
          <w:p w14:paraId="1DDF86A4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13.85±3.54**</w:t>
            </w:r>
          </w:p>
        </w:tc>
        <w:tc>
          <w:tcPr>
            <w:tcW w:w="1843" w:type="dxa"/>
            <w:vAlign w:val="center"/>
          </w:tcPr>
          <w:p w14:paraId="233CF641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6.25±3.43</w:t>
            </w:r>
          </w:p>
        </w:tc>
      </w:tr>
      <w:tr w:rsidR="00D82455" w:rsidRPr="00D82455" w14:paraId="341F9121" w14:textId="77777777" w:rsidTr="00EE7F97">
        <w:trPr>
          <w:jc w:val="center"/>
        </w:trPr>
        <w:tc>
          <w:tcPr>
            <w:tcW w:w="2217" w:type="dxa"/>
            <w:vAlign w:val="center"/>
          </w:tcPr>
          <w:p w14:paraId="0174E91F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C57BL/6J</w:t>
            </w:r>
          </w:p>
        </w:tc>
        <w:tc>
          <w:tcPr>
            <w:tcW w:w="1549" w:type="dxa"/>
            <w:vAlign w:val="center"/>
          </w:tcPr>
          <w:p w14:paraId="7D1FF830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13.24±6.90</w:t>
            </w:r>
          </w:p>
        </w:tc>
        <w:tc>
          <w:tcPr>
            <w:tcW w:w="1696" w:type="dxa"/>
            <w:vAlign w:val="center"/>
          </w:tcPr>
          <w:p w14:paraId="4E8156E7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21.71±4.80***</w:t>
            </w:r>
            <w:r w:rsidRPr="00D82455">
              <w:rPr>
                <w:rFonts w:cs="Times New Roman"/>
                <w:szCs w:val="24"/>
                <w:vertAlign w:val="superscript"/>
              </w:rPr>
              <w:t>b</w:t>
            </w:r>
          </w:p>
        </w:tc>
        <w:tc>
          <w:tcPr>
            <w:tcW w:w="1763" w:type="dxa"/>
            <w:vAlign w:val="center"/>
          </w:tcPr>
          <w:p w14:paraId="52EFBEE6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21.29±4.96**</w:t>
            </w:r>
            <w:r w:rsidRPr="00D82455">
              <w:rPr>
                <w:rFonts w:cs="Times New Roman"/>
                <w:szCs w:val="24"/>
                <w:vertAlign w:val="superscript"/>
              </w:rPr>
              <w:t>c</w:t>
            </w:r>
          </w:p>
        </w:tc>
        <w:tc>
          <w:tcPr>
            <w:tcW w:w="1842" w:type="dxa"/>
            <w:vAlign w:val="center"/>
          </w:tcPr>
          <w:p w14:paraId="527B555F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12.37±5.76</w:t>
            </w:r>
          </w:p>
        </w:tc>
        <w:tc>
          <w:tcPr>
            <w:tcW w:w="1843" w:type="dxa"/>
            <w:vAlign w:val="center"/>
          </w:tcPr>
          <w:p w14:paraId="6086F2DA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18.98±3.21**</w:t>
            </w:r>
            <w:r w:rsidRPr="00D82455">
              <w:rPr>
                <w:rFonts w:cs="Times New Roman"/>
                <w:szCs w:val="24"/>
                <w:vertAlign w:val="superscript"/>
              </w:rPr>
              <w:t>c</w:t>
            </w:r>
          </w:p>
        </w:tc>
      </w:tr>
      <w:tr w:rsidR="00D82455" w:rsidRPr="00D82455" w14:paraId="3570B85C" w14:textId="77777777" w:rsidTr="00EE7F97">
        <w:trPr>
          <w:jc w:val="center"/>
        </w:trPr>
        <w:tc>
          <w:tcPr>
            <w:tcW w:w="2217" w:type="dxa"/>
            <w:vAlign w:val="center"/>
          </w:tcPr>
          <w:p w14:paraId="3A0F6319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bookmarkStart w:id="1" w:name="OLE_LINK1"/>
            <w:r w:rsidRPr="00D82455">
              <w:rPr>
                <w:rFonts w:cs="Times New Roman"/>
                <w:b/>
                <w:szCs w:val="24"/>
              </w:rPr>
              <w:t>Naïve</w:t>
            </w:r>
            <w:bookmarkEnd w:id="1"/>
            <w:r w:rsidRPr="00D82455">
              <w:rPr>
                <w:rFonts w:cs="Times New Roman"/>
                <w:b/>
                <w:szCs w:val="24"/>
              </w:rPr>
              <w:t>-like cells</w:t>
            </w:r>
            <w:r w:rsidRPr="00D82455">
              <w:rPr>
                <w:rFonts w:cs="Times New Roman"/>
                <w:b/>
                <w:szCs w:val="24"/>
                <w:vertAlign w:val="superscript"/>
              </w:rPr>
              <w:t>Ω</w:t>
            </w:r>
          </w:p>
        </w:tc>
        <w:tc>
          <w:tcPr>
            <w:tcW w:w="1549" w:type="dxa"/>
            <w:vAlign w:val="center"/>
          </w:tcPr>
          <w:p w14:paraId="7B599430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696" w:type="dxa"/>
            <w:vAlign w:val="center"/>
          </w:tcPr>
          <w:p w14:paraId="3696FB09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63" w:type="dxa"/>
            <w:vAlign w:val="center"/>
          </w:tcPr>
          <w:p w14:paraId="59295D03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2E226A4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8F1204B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D82455" w:rsidRPr="00D82455" w14:paraId="11B9780E" w14:textId="77777777" w:rsidTr="00EE7F97">
        <w:trPr>
          <w:jc w:val="center"/>
        </w:trPr>
        <w:tc>
          <w:tcPr>
            <w:tcW w:w="2217" w:type="dxa"/>
            <w:vAlign w:val="center"/>
          </w:tcPr>
          <w:p w14:paraId="405D7677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BALB/</w:t>
            </w:r>
            <w:proofErr w:type="spellStart"/>
            <w:r w:rsidRPr="00D82455">
              <w:rPr>
                <w:rFonts w:cs="Times New Roman"/>
                <w:szCs w:val="24"/>
              </w:rPr>
              <w:t>cAnN</w:t>
            </w:r>
            <w:proofErr w:type="spellEnd"/>
          </w:p>
        </w:tc>
        <w:tc>
          <w:tcPr>
            <w:tcW w:w="1549" w:type="dxa"/>
            <w:vAlign w:val="center"/>
          </w:tcPr>
          <w:p w14:paraId="5C96934A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52.74±19.34</w:t>
            </w:r>
          </w:p>
        </w:tc>
        <w:tc>
          <w:tcPr>
            <w:tcW w:w="1696" w:type="dxa"/>
            <w:vAlign w:val="center"/>
          </w:tcPr>
          <w:p w14:paraId="179D527B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16.57±2.95***</w:t>
            </w:r>
          </w:p>
        </w:tc>
        <w:tc>
          <w:tcPr>
            <w:tcW w:w="1763" w:type="dxa"/>
            <w:vAlign w:val="center"/>
          </w:tcPr>
          <w:p w14:paraId="0971EEEF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29.14±9.16</w:t>
            </w:r>
          </w:p>
        </w:tc>
        <w:tc>
          <w:tcPr>
            <w:tcW w:w="1842" w:type="dxa"/>
            <w:vAlign w:val="center"/>
          </w:tcPr>
          <w:p w14:paraId="72E80DC7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36.15±13.69</w:t>
            </w:r>
          </w:p>
        </w:tc>
        <w:tc>
          <w:tcPr>
            <w:tcW w:w="1843" w:type="dxa"/>
            <w:vAlign w:val="center"/>
          </w:tcPr>
          <w:p w14:paraId="4B658C05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6.38±2.42***</w:t>
            </w:r>
          </w:p>
        </w:tc>
      </w:tr>
      <w:tr w:rsidR="00D82455" w:rsidRPr="00D82455" w14:paraId="276B49BA" w14:textId="77777777" w:rsidTr="00EE7F97">
        <w:trPr>
          <w:jc w:val="center"/>
        </w:trPr>
        <w:tc>
          <w:tcPr>
            <w:tcW w:w="2217" w:type="dxa"/>
            <w:vAlign w:val="center"/>
          </w:tcPr>
          <w:p w14:paraId="133F7B91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C57BL/6J</w:t>
            </w:r>
          </w:p>
        </w:tc>
        <w:tc>
          <w:tcPr>
            <w:tcW w:w="1549" w:type="dxa"/>
            <w:vAlign w:val="center"/>
          </w:tcPr>
          <w:p w14:paraId="05743249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86.59±7.34</w:t>
            </w:r>
          </w:p>
        </w:tc>
        <w:tc>
          <w:tcPr>
            <w:tcW w:w="1696" w:type="dxa"/>
            <w:vAlign w:val="center"/>
          </w:tcPr>
          <w:p w14:paraId="55B9CE5E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86.46±6.09</w:t>
            </w:r>
            <w:r w:rsidRPr="00D82455">
              <w:rPr>
                <w:rFonts w:cs="Times New Roman"/>
                <w:szCs w:val="24"/>
                <w:vertAlign w:val="superscript"/>
              </w:rPr>
              <w:t>c</w:t>
            </w:r>
          </w:p>
        </w:tc>
        <w:tc>
          <w:tcPr>
            <w:tcW w:w="1763" w:type="dxa"/>
            <w:vAlign w:val="center"/>
          </w:tcPr>
          <w:p w14:paraId="542EE0A9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95.36±1.47***</w:t>
            </w:r>
            <w:r w:rsidRPr="00D82455">
              <w:rPr>
                <w:rFonts w:cs="Times New Roman"/>
                <w:szCs w:val="24"/>
                <w:vertAlign w:val="superscript"/>
              </w:rPr>
              <w:t>c</w:t>
            </w:r>
          </w:p>
        </w:tc>
        <w:tc>
          <w:tcPr>
            <w:tcW w:w="1842" w:type="dxa"/>
            <w:vAlign w:val="center"/>
          </w:tcPr>
          <w:p w14:paraId="256D9E8B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92.79±2.51*</w:t>
            </w:r>
            <w:r w:rsidRPr="00D82455">
              <w:rPr>
                <w:rFonts w:cs="Times New Roman"/>
                <w:szCs w:val="24"/>
                <w:vertAlign w:val="superscript"/>
              </w:rPr>
              <w:t>b</w:t>
            </w:r>
          </w:p>
        </w:tc>
        <w:tc>
          <w:tcPr>
            <w:tcW w:w="1843" w:type="dxa"/>
            <w:vAlign w:val="center"/>
          </w:tcPr>
          <w:p w14:paraId="79680A97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93.57±1.84</w:t>
            </w:r>
            <w:r w:rsidRPr="00D82455">
              <w:rPr>
                <w:rFonts w:cs="Times New Roman"/>
                <w:szCs w:val="24"/>
                <w:vertAlign w:val="superscript"/>
              </w:rPr>
              <w:t>a</w:t>
            </w:r>
          </w:p>
        </w:tc>
      </w:tr>
      <w:tr w:rsidR="00D82455" w:rsidRPr="00D82455" w14:paraId="068E24F1" w14:textId="77777777" w:rsidTr="00EE7F97">
        <w:trPr>
          <w:jc w:val="center"/>
        </w:trPr>
        <w:tc>
          <w:tcPr>
            <w:tcW w:w="2217" w:type="dxa"/>
            <w:vAlign w:val="center"/>
          </w:tcPr>
          <w:p w14:paraId="59F83C9C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CD4 T cells</w:t>
            </w:r>
          </w:p>
        </w:tc>
        <w:tc>
          <w:tcPr>
            <w:tcW w:w="8693" w:type="dxa"/>
            <w:gridSpan w:val="5"/>
            <w:vAlign w:val="center"/>
          </w:tcPr>
          <w:p w14:paraId="233A16EC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LYMPH NODES</w:t>
            </w:r>
          </w:p>
        </w:tc>
      </w:tr>
      <w:tr w:rsidR="00D82455" w:rsidRPr="00D82455" w14:paraId="030AFA8A" w14:textId="77777777" w:rsidTr="00EE7F97">
        <w:trPr>
          <w:jc w:val="center"/>
        </w:trPr>
        <w:tc>
          <w:tcPr>
            <w:tcW w:w="2217" w:type="dxa"/>
            <w:vAlign w:val="center"/>
          </w:tcPr>
          <w:p w14:paraId="162BF6CA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BALB/</w:t>
            </w:r>
            <w:proofErr w:type="spellStart"/>
            <w:r w:rsidRPr="00D82455">
              <w:rPr>
                <w:rFonts w:cs="Times New Roman"/>
                <w:szCs w:val="24"/>
              </w:rPr>
              <w:t>cAnN</w:t>
            </w:r>
            <w:proofErr w:type="spellEnd"/>
          </w:p>
        </w:tc>
        <w:tc>
          <w:tcPr>
            <w:tcW w:w="1549" w:type="dxa"/>
            <w:vAlign w:val="center"/>
          </w:tcPr>
          <w:p w14:paraId="2FA75091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44.22±9.98</w:t>
            </w:r>
          </w:p>
        </w:tc>
        <w:tc>
          <w:tcPr>
            <w:tcW w:w="1696" w:type="dxa"/>
            <w:vAlign w:val="center"/>
          </w:tcPr>
          <w:p w14:paraId="40CA9275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45.35±10.03</w:t>
            </w:r>
          </w:p>
        </w:tc>
        <w:tc>
          <w:tcPr>
            <w:tcW w:w="1763" w:type="dxa"/>
            <w:vAlign w:val="center"/>
          </w:tcPr>
          <w:p w14:paraId="36616CCB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41.81±15.26</w:t>
            </w:r>
          </w:p>
        </w:tc>
        <w:tc>
          <w:tcPr>
            <w:tcW w:w="1842" w:type="dxa"/>
            <w:vAlign w:val="center"/>
          </w:tcPr>
          <w:p w14:paraId="52977CDD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43.10±5.11</w:t>
            </w:r>
          </w:p>
        </w:tc>
        <w:tc>
          <w:tcPr>
            <w:tcW w:w="1843" w:type="dxa"/>
            <w:vAlign w:val="center"/>
          </w:tcPr>
          <w:p w14:paraId="189E1150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41.75±4.70</w:t>
            </w:r>
          </w:p>
        </w:tc>
      </w:tr>
      <w:tr w:rsidR="00D82455" w:rsidRPr="00D82455" w14:paraId="33A5A9B2" w14:textId="77777777" w:rsidTr="00EE7F97">
        <w:trPr>
          <w:jc w:val="center"/>
        </w:trPr>
        <w:tc>
          <w:tcPr>
            <w:tcW w:w="2217" w:type="dxa"/>
            <w:vAlign w:val="center"/>
          </w:tcPr>
          <w:p w14:paraId="573A36C1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C57BL/6J</w:t>
            </w:r>
          </w:p>
        </w:tc>
        <w:tc>
          <w:tcPr>
            <w:tcW w:w="1549" w:type="dxa"/>
            <w:vAlign w:val="center"/>
          </w:tcPr>
          <w:p w14:paraId="6F5373E9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34.50±4.89</w:t>
            </w:r>
          </w:p>
        </w:tc>
        <w:tc>
          <w:tcPr>
            <w:tcW w:w="1696" w:type="dxa"/>
            <w:vAlign w:val="center"/>
          </w:tcPr>
          <w:p w14:paraId="6F92B4C4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36.00±3.15</w:t>
            </w:r>
          </w:p>
        </w:tc>
        <w:tc>
          <w:tcPr>
            <w:tcW w:w="1763" w:type="dxa"/>
            <w:vAlign w:val="center"/>
          </w:tcPr>
          <w:p w14:paraId="6A2DBE9C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35.17±3.52</w:t>
            </w:r>
          </w:p>
        </w:tc>
        <w:tc>
          <w:tcPr>
            <w:tcW w:w="1842" w:type="dxa"/>
            <w:vAlign w:val="center"/>
          </w:tcPr>
          <w:p w14:paraId="77F646CD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32.98±2.67</w:t>
            </w:r>
            <w:r w:rsidRPr="00D82455">
              <w:rPr>
                <w:rFonts w:cs="Times New Roman"/>
                <w:szCs w:val="24"/>
                <w:vertAlign w:val="superscript"/>
              </w:rPr>
              <w:t>c</w:t>
            </w:r>
          </w:p>
        </w:tc>
        <w:tc>
          <w:tcPr>
            <w:tcW w:w="1843" w:type="dxa"/>
            <w:vAlign w:val="center"/>
          </w:tcPr>
          <w:p w14:paraId="3E072866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30.30±4.36*</w:t>
            </w:r>
            <w:r w:rsidRPr="00D82455">
              <w:rPr>
                <w:rFonts w:cs="Times New Roman"/>
                <w:szCs w:val="24"/>
                <w:vertAlign w:val="superscript"/>
              </w:rPr>
              <w:t>b</w:t>
            </w:r>
          </w:p>
        </w:tc>
      </w:tr>
      <w:tr w:rsidR="00D82455" w:rsidRPr="00D82455" w14:paraId="2B69E5CB" w14:textId="77777777" w:rsidTr="00EE7F97">
        <w:trPr>
          <w:jc w:val="center"/>
        </w:trPr>
        <w:tc>
          <w:tcPr>
            <w:tcW w:w="2217" w:type="dxa"/>
            <w:vAlign w:val="center"/>
          </w:tcPr>
          <w:p w14:paraId="756BE6EE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Naïve-like cells</w:t>
            </w:r>
            <w:r w:rsidRPr="00D82455">
              <w:rPr>
                <w:rFonts w:cs="Times New Roman"/>
                <w:b/>
                <w:szCs w:val="24"/>
                <w:vertAlign w:val="superscript"/>
              </w:rPr>
              <w:t>Ω</w:t>
            </w:r>
          </w:p>
        </w:tc>
        <w:tc>
          <w:tcPr>
            <w:tcW w:w="1549" w:type="dxa"/>
            <w:vAlign w:val="center"/>
          </w:tcPr>
          <w:p w14:paraId="47872D6D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696" w:type="dxa"/>
            <w:vAlign w:val="center"/>
          </w:tcPr>
          <w:p w14:paraId="27E676E8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63" w:type="dxa"/>
            <w:vAlign w:val="center"/>
          </w:tcPr>
          <w:p w14:paraId="4F6C609F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BC39266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8D41657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D82455" w:rsidRPr="00D82455" w14:paraId="7AD45091" w14:textId="77777777" w:rsidTr="00EE7F97">
        <w:trPr>
          <w:jc w:val="center"/>
        </w:trPr>
        <w:tc>
          <w:tcPr>
            <w:tcW w:w="2217" w:type="dxa"/>
            <w:vAlign w:val="center"/>
          </w:tcPr>
          <w:p w14:paraId="18A15C96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lastRenderedPageBreak/>
              <w:t>BALB/</w:t>
            </w:r>
            <w:proofErr w:type="spellStart"/>
            <w:r w:rsidRPr="00D82455">
              <w:rPr>
                <w:rFonts w:cs="Times New Roman"/>
                <w:szCs w:val="24"/>
              </w:rPr>
              <w:t>cAnN</w:t>
            </w:r>
            <w:proofErr w:type="spellEnd"/>
          </w:p>
        </w:tc>
        <w:tc>
          <w:tcPr>
            <w:tcW w:w="1549" w:type="dxa"/>
            <w:vAlign w:val="center"/>
          </w:tcPr>
          <w:p w14:paraId="0169B70B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39.41±25.97</w:t>
            </w:r>
          </w:p>
        </w:tc>
        <w:tc>
          <w:tcPr>
            <w:tcW w:w="1696" w:type="dxa"/>
            <w:vAlign w:val="center"/>
          </w:tcPr>
          <w:p w14:paraId="4F9FDE96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15.82±9.80</w:t>
            </w:r>
          </w:p>
        </w:tc>
        <w:tc>
          <w:tcPr>
            <w:tcW w:w="1763" w:type="dxa"/>
            <w:vAlign w:val="center"/>
          </w:tcPr>
          <w:p w14:paraId="432B062C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37.32±25.78</w:t>
            </w:r>
          </w:p>
        </w:tc>
        <w:tc>
          <w:tcPr>
            <w:tcW w:w="1842" w:type="dxa"/>
            <w:vAlign w:val="center"/>
          </w:tcPr>
          <w:p w14:paraId="64989794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35.23±11.22</w:t>
            </w:r>
          </w:p>
        </w:tc>
        <w:tc>
          <w:tcPr>
            <w:tcW w:w="1843" w:type="dxa"/>
            <w:vAlign w:val="center"/>
          </w:tcPr>
          <w:p w14:paraId="4CFC018D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20.56±6.18</w:t>
            </w:r>
          </w:p>
        </w:tc>
      </w:tr>
      <w:tr w:rsidR="00D82455" w:rsidRPr="00D82455" w14:paraId="51CDF0A0" w14:textId="77777777" w:rsidTr="00EE7F97">
        <w:trPr>
          <w:jc w:val="center"/>
        </w:trPr>
        <w:tc>
          <w:tcPr>
            <w:tcW w:w="2217" w:type="dxa"/>
            <w:vAlign w:val="center"/>
          </w:tcPr>
          <w:p w14:paraId="3E23BC6B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C57BL/6J</w:t>
            </w:r>
          </w:p>
        </w:tc>
        <w:tc>
          <w:tcPr>
            <w:tcW w:w="1549" w:type="dxa"/>
            <w:vAlign w:val="center"/>
          </w:tcPr>
          <w:p w14:paraId="7C002484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89.72±6.90</w:t>
            </w:r>
          </w:p>
        </w:tc>
        <w:tc>
          <w:tcPr>
            <w:tcW w:w="1696" w:type="dxa"/>
            <w:vAlign w:val="center"/>
          </w:tcPr>
          <w:p w14:paraId="2C85DF61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90.18±1.94</w:t>
            </w:r>
            <w:r w:rsidRPr="00D82455">
              <w:rPr>
                <w:rFonts w:cs="Times New Roman"/>
                <w:szCs w:val="24"/>
                <w:vertAlign w:val="superscript"/>
              </w:rPr>
              <w:t>a</w:t>
            </w:r>
          </w:p>
        </w:tc>
        <w:tc>
          <w:tcPr>
            <w:tcW w:w="1763" w:type="dxa"/>
            <w:vAlign w:val="center"/>
          </w:tcPr>
          <w:p w14:paraId="26D756CB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92.94±2.13</w:t>
            </w:r>
            <w:r w:rsidRPr="00D82455">
              <w:rPr>
                <w:rFonts w:cs="Times New Roman"/>
                <w:szCs w:val="24"/>
                <w:vertAlign w:val="superscript"/>
              </w:rPr>
              <w:t>b</w:t>
            </w:r>
          </w:p>
        </w:tc>
        <w:tc>
          <w:tcPr>
            <w:tcW w:w="1842" w:type="dxa"/>
            <w:vAlign w:val="center"/>
          </w:tcPr>
          <w:p w14:paraId="2E297952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87.08±6.21</w:t>
            </w:r>
            <w:r w:rsidRPr="00D82455">
              <w:rPr>
                <w:rFonts w:cs="Times New Roman"/>
                <w:szCs w:val="24"/>
                <w:vertAlign w:val="superscript"/>
              </w:rPr>
              <w:t>b</w:t>
            </w:r>
          </w:p>
        </w:tc>
        <w:tc>
          <w:tcPr>
            <w:tcW w:w="1843" w:type="dxa"/>
            <w:vAlign w:val="center"/>
          </w:tcPr>
          <w:p w14:paraId="082014E3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89.30±4.25*</w:t>
            </w:r>
            <w:r w:rsidRPr="00D82455">
              <w:rPr>
                <w:rFonts w:cs="Times New Roman"/>
                <w:szCs w:val="24"/>
                <w:vertAlign w:val="superscript"/>
              </w:rPr>
              <w:t>a</w:t>
            </w:r>
          </w:p>
        </w:tc>
      </w:tr>
      <w:tr w:rsidR="00D82455" w:rsidRPr="00D82455" w14:paraId="5DA720B0" w14:textId="77777777" w:rsidTr="00EE7F97">
        <w:trPr>
          <w:jc w:val="center"/>
        </w:trPr>
        <w:tc>
          <w:tcPr>
            <w:tcW w:w="2217" w:type="dxa"/>
            <w:vAlign w:val="center"/>
          </w:tcPr>
          <w:p w14:paraId="649511C0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CD4 T cells</w:t>
            </w:r>
          </w:p>
        </w:tc>
        <w:tc>
          <w:tcPr>
            <w:tcW w:w="8693" w:type="dxa"/>
            <w:gridSpan w:val="5"/>
            <w:vAlign w:val="center"/>
          </w:tcPr>
          <w:p w14:paraId="45D6D49B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SPLEEN</w:t>
            </w:r>
          </w:p>
        </w:tc>
      </w:tr>
      <w:tr w:rsidR="00D82455" w:rsidRPr="00D82455" w14:paraId="35B79B00" w14:textId="77777777" w:rsidTr="00EE7F97">
        <w:trPr>
          <w:jc w:val="center"/>
        </w:trPr>
        <w:tc>
          <w:tcPr>
            <w:tcW w:w="2217" w:type="dxa"/>
            <w:vAlign w:val="center"/>
          </w:tcPr>
          <w:p w14:paraId="6F9DECBB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BALB/</w:t>
            </w:r>
            <w:proofErr w:type="spellStart"/>
            <w:r w:rsidRPr="00D82455">
              <w:rPr>
                <w:rFonts w:cs="Times New Roman"/>
                <w:szCs w:val="24"/>
              </w:rPr>
              <w:t>cAnN</w:t>
            </w:r>
            <w:proofErr w:type="spellEnd"/>
          </w:p>
        </w:tc>
        <w:tc>
          <w:tcPr>
            <w:tcW w:w="1549" w:type="dxa"/>
            <w:vAlign w:val="center"/>
          </w:tcPr>
          <w:p w14:paraId="188FB840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32.60±4.77</w:t>
            </w:r>
          </w:p>
        </w:tc>
        <w:tc>
          <w:tcPr>
            <w:tcW w:w="1696" w:type="dxa"/>
            <w:vAlign w:val="center"/>
          </w:tcPr>
          <w:p w14:paraId="5C9C1B88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28.25±2.99*</w:t>
            </w:r>
          </w:p>
        </w:tc>
        <w:tc>
          <w:tcPr>
            <w:tcW w:w="1763" w:type="dxa"/>
            <w:vAlign w:val="center"/>
          </w:tcPr>
          <w:p w14:paraId="6BD917A8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25.60±1.50***</w:t>
            </w:r>
          </w:p>
        </w:tc>
        <w:tc>
          <w:tcPr>
            <w:tcW w:w="1842" w:type="dxa"/>
            <w:vAlign w:val="center"/>
          </w:tcPr>
          <w:p w14:paraId="026D6D6A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36.41±1.64*</w:t>
            </w:r>
          </w:p>
        </w:tc>
        <w:tc>
          <w:tcPr>
            <w:tcW w:w="1843" w:type="dxa"/>
            <w:vAlign w:val="center"/>
          </w:tcPr>
          <w:p w14:paraId="3B0B25D8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30.27±3.54</w:t>
            </w:r>
          </w:p>
        </w:tc>
      </w:tr>
      <w:tr w:rsidR="00D82455" w:rsidRPr="00D82455" w14:paraId="56F0DCFE" w14:textId="77777777" w:rsidTr="00EE7F97">
        <w:trPr>
          <w:jc w:val="center"/>
        </w:trPr>
        <w:tc>
          <w:tcPr>
            <w:tcW w:w="2217" w:type="dxa"/>
            <w:vAlign w:val="center"/>
          </w:tcPr>
          <w:p w14:paraId="5FC21D13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C57BL/6J</w:t>
            </w:r>
          </w:p>
        </w:tc>
        <w:tc>
          <w:tcPr>
            <w:tcW w:w="1549" w:type="dxa"/>
            <w:vAlign w:val="center"/>
          </w:tcPr>
          <w:p w14:paraId="34E24615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24.60±5.24</w:t>
            </w:r>
          </w:p>
        </w:tc>
        <w:tc>
          <w:tcPr>
            <w:tcW w:w="1696" w:type="dxa"/>
            <w:vAlign w:val="center"/>
          </w:tcPr>
          <w:p w14:paraId="67A767D9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16.69±2.67***</w:t>
            </w:r>
            <w:r w:rsidRPr="00D82455">
              <w:rPr>
                <w:rFonts w:cs="Times New Roman"/>
                <w:szCs w:val="24"/>
                <w:vertAlign w:val="superscript"/>
              </w:rPr>
              <w:t>c</w:t>
            </w:r>
          </w:p>
        </w:tc>
        <w:tc>
          <w:tcPr>
            <w:tcW w:w="1763" w:type="dxa"/>
            <w:vAlign w:val="center"/>
          </w:tcPr>
          <w:p w14:paraId="1C47CFF8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25.32±4.82</w:t>
            </w:r>
          </w:p>
        </w:tc>
        <w:tc>
          <w:tcPr>
            <w:tcW w:w="1842" w:type="dxa"/>
            <w:vAlign w:val="center"/>
          </w:tcPr>
          <w:p w14:paraId="0A02124C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29.62±4.03**</w:t>
            </w:r>
            <w:r w:rsidRPr="00D82455">
              <w:rPr>
                <w:rFonts w:cs="Times New Roman"/>
                <w:szCs w:val="24"/>
                <w:vertAlign w:val="superscript"/>
              </w:rPr>
              <w:t>b</w:t>
            </w:r>
          </w:p>
        </w:tc>
        <w:tc>
          <w:tcPr>
            <w:tcW w:w="1843" w:type="dxa"/>
            <w:vAlign w:val="center"/>
          </w:tcPr>
          <w:p w14:paraId="0C849FBD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18.16±4.83**</w:t>
            </w:r>
            <w:r w:rsidRPr="00D82455">
              <w:rPr>
                <w:rFonts w:cs="Times New Roman"/>
                <w:szCs w:val="24"/>
                <w:vertAlign w:val="superscript"/>
              </w:rPr>
              <w:t>c</w:t>
            </w:r>
          </w:p>
        </w:tc>
      </w:tr>
      <w:tr w:rsidR="00D82455" w:rsidRPr="00D82455" w14:paraId="134AFD6C" w14:textId="77777777" w:rsidTr="00EE7F97">
        <w:trPr>
          <w:jc w:val="center"/>
        </w:trPr>
        <w:tc>
          <w:tcPr>
            <w:tcW w:w="2217" w:type="dxa"/>
            <w:vAlign w:val="center"/>
          </w:tcPr>
          <w:p w14:paraId="715AD31D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b/>
                <w:szCs w:val="24"/>
              </w:rPr>
              <w:t>Naïve-like cells</w:t>
            </w:r>
            <w:r w:rsidRPr="00D82455">
              <w:rPr>
                <w:rFonts w:cs="Times New Roman"/>
                <w:b/>
                <w:szCs w:val="24"/>
                <w:vertAlign w:val="superscript"/>
              </w:rPr>
              <w:t>Ω</w:t>
            </w:r>
          </w:p>
        </w:tc>
        <w:tc>
          <w:tcPr>
            <w:tcW w:w="1549" w:type="dxa"/>
            <w:vAlign w:val="center"/>
          </w:tcPr>
          <w:p w14:paraId="4461ED61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696" w:type="dxa"/>
            <w:vAlign w:val="center"/>
          </w:tcPr>
          <w:p w14:paraId="7BDC872A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63" w:type="dxa"/>
            <w:vAlign w:val="center"/>
          </w:tcPr>
          <w:p w14:paraId="563A49CC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52DF48C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F0B65BE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D82455" w:rsidRPr="00D82455" w14:paraId="31849A26" w14:textId="77777777" w:rsidTr="00EE7F97">
        <w:trPr>
          <w:jc w:val="center"/>
        </w:trPr>
        <w:tc>
          <w:tcPr>
            <w:tcW w:w="2217" w:type="dxa"/>
            <w:vAlign w:val="center"/>
          </w:tcPr>
          <w:p w14:paraId="3EE8D214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BALB/</w:t>
            </w:r>
            <w:proofErr w:type="spellStart"/>
            <w:r w:rsidRPr="00D82455">
              <w:rPr>
                <w:rFonts w:cs="Times New Roman"/>
                <w:szCs w:val="24"/>
              </w:rPr>
              <w:t>cAnN</w:t>
            </w:r>
            <w:proofErr w:type="spellEnd"/>
          </w:p>
        </w:tc>
        <w:tc>
          <w:tcPr>
            <w:tcW w:w="1549" w:type="dxa"/>
            <w:vAlign w:val="center"/>
          </w:tcPr>
          <w:p w14:paraId="04D02BCD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35.52±11.87</w:t>
            </w:r>
          </w:p>
        </w:tc>
        <w:tc>
          <w:tcPr>
            <w:tcW w:w="1696" w:type="dxa"/>
            <w:vAlign w:val="center"/>
          </w:tcPr>
          <w:p w14:paraId="412D057B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22.66±9.81*</w:t>
            </w:r>
          </w:p>
        </w:tc>
        <w:tc>
          <w:tcPr>
            <w:tcW w:w="1763" w:type="dxa"/>
            <w:vAlign w:val="center"/>
          </w:tcPr>
          <w:p w14:paraId="77380763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36.89±8.84</w:t>
            </w:r>
          </w:p>
        </w:tc>
        <w:tc>
          <w:tcPr>
            <w:tcW w:w="1842" w:type="dxa"/>
            <w:vAlign w:val="center"/>
          </w:tcPr>
          <w:p w14:paraId="3B805AA6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18.47±3.30***</w:t>
            </w:r>
          </w:p>
        </w:tc>
        <w:tc>
          <w:tcPr>
            <w:tcW w:w="1843" w:type="dxa"/>
            <w:vAlign w:val="center"/>
          </w:tcPr>
          <w:p w14:paraId="46226B8B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21.54±4.18***</w:t>
            </w:r>
          </w:p>
        </w:tc>
      </w:tr>
      <w:tr w:rsidR="00D82455" w:rsidRPr="00D82455" w14:paraId="65E5D14F" w14:textId="77777777" w:rsidTr="00EE7F97">
        <w:trPr>
          <w:jc w:val="center"/>
        </w:trPr>
        <w:tc>
          <w:tcPr>
            <w:tcW w:w="2217" w:type="dxa"/>
            <w:vAlign w:val="center"/>
          </w:tcPr>
          <w:p w14:paraId="471A77CD" w14:textId="77777777" w:rsidR="008E53C6" w:rsidRPr="00D82455" w:rsidRDefault="008E53C6" w:rsidP="00EE7F9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C57BL/6J</w:t>
            </w:r>
          </w:p>
        </w:tc>
        <w:tc>
          <w:tcPr>
            <w:tcW w:w="1549" w:type="dxa"/>
            <w:vAlign w:val="center"/>
          </w:tcPr>
          <w:p w14:paraId="5D72BEB3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84.66±6.71</w:t>
            </w:r>
          </w:p>
        </w:tc>
        <w:tc>
          <w:tcPr>
            <w:tcW w:w="1696" w:type="dxa"/>
            <w:vAlign w:val="center"/>
          </w:tcPr>
          <w:p w14:paraId="160AC0F5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79.90±3.99</w:t>
            </w:r>
            <w:r w:rsidRPr="00D82455">
              <w:rPr>
                <w:rFonts w:cs="Times New Roman"/>
                <w:szCs w:val="24"/>
                <w:vertAlign w:val="superscript"/>
              </w:rPr>
              <w:t>b</w:t>
            </w:r>
          </w:p>
        </w:tc>
        <w:tc>
          <w:tcPr>
            <w:tcW w:w="1763" w:type="dxa"/>
            <w:vAlign w:val="center"/>
          </w:tcPr>
          <w:p w14:paraId="35992802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92.88±1.30***</w:t>
            </w:r>
            <w:r w:rsidRPr="00D82455">
              <w:rPr>
                <w:rFonts w:cs="Times New Roman"/>
                <w:szCs w:val="24"/>
                <w:vertAlign w:val="superscript"/>
              </w:rPr>
              <w:t>b</w:t>
            </w:r>
          </w:p>
        </w:tc>
        <w:tc>
          <w:tcPr>
            <w:tcW w:w="1842" w:type="dxa"/>
            <w:vAlign w:val="center"/>
          </w:tcPr>
          <w:p w14:paraId="4FA0A69F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93.54±2.83**</w:t>
            </w:r>
            <w:r w:rsidRPr="00D82455">
              <w:rPr>
                <w:rFonts w:cs="Times New Roman"/>
                <w:szCs w:val="24"/>
                <w:vertAlign w:val="superscript"/>
              </w:rPr>
              <w:t>b</w:t>
            </w:r>
          </w:p>
        </w:tc>
        <w:tc>
          <w:tcPr>
            <w:tcW w:w="1843" w:type="dxa"/>
            <w:vAlign w:val="center"/>
          </w:tcPr>
          <w:p w14:paraId="6125100E" w14:textId="77777777" w:rsidR="008E53C6" w:rsidRPr="00D82455" w:rsidRDefault="008E53C6" w:rsidP="00EE7F97">
            <w:pPr>
              <w:jc w:val="center"/>
              <w:rPr>
                <w:rFonts w:cs="Times New Roman"/>
                <w:szCs w:val="24"/>
              </w:rPr>
            </w:pPr>
            <w:r w:rsidRPr="00D82455">
              <w:rPr>
                <w:rFonts w:cs="Times New Roman"/>
                <w:szCs w:val="24"/>
              </w:rPr>
              <w:t>79.46±9.78</w:t>
            </w:r>
            <w:r w:rsidRPr="00D82455">
              <w:rPr>
                <w:rFonts w:cs="Times New Roman"/>
                <w:szCs w:val="24"/>
                <w:vertAlign w:val="superscript"/>
              </w:rPr>
              <w:t>a</w:t>
            </w:r>
          </w:p>
        </w:tc>
      </w:tr>
    </w:tbl>
    <w:p w14:paraId="64AD7737" w14:textId="264D6BCC" w:rsidR="00304812" w:rsidRPr="00D82455" w:rsidRDefault="008E53C6" w:rsidP="00304812">
      <w:pPr>
        <w:rPr>
          <w:rFonts w:cs="Times New Roman"/>
          <w:szCs w:val="24"/>
        </w:rPr>
      </w:pPr>
      <w:r w:rsidRPr="00D82455">
        <w:rPr>
          <w:rFonts w:cs="Times New Roman"/>
          <w:szCs w:val="24"/>
          <w:vertAlign w:val="superscript"/>
        </w:rPr>
        <w:t>Ω</w:t>
      </w:r>
      <w:r w:rsidRPr="00D82455">
        <w:rPr>
          <w:rFonts w:cs="Times New Roman"/>
          <w:szCs w:val="24"/>
        </w:rPr>
        <w:t>Naïve-like lymphocytes (CD4+CD25-Foxp3-CD127+). Comparison at each time with non-infected controls.</w:t>
      </w:r>
      <w:r w:rsidR="00DD3A47" w:rsidRPr="00D82455">
        <w:rPr>
          <w:rFonts w:cs="Times New Roman"/>
          <w:szCs w:val="24"/>
        </w:rPr>
        <w:t xml:space="preserve"> </w:t>
      </w:r>
      <w:r w:rsidR="00DD3A47" w:rsidRPr="00D82455">
        <w:rPr>
          <w:rFonts w:eastAsia="Calibri" w:cs="Times New Roman"/>
          <w:szCs w:val="24"/>
        </w:rPr>
        <w:t>Six infected mice and 6 controls were included for each time point analyzed</w:t>
      </w:r>
      <w:r w:rsidR="00DD3A47" w:rsidRPr="00D82455">
        <w:rPr>
          <w:rFonts w:cs="Times New Roman"/>
          <w:szCs w:val="24"/>
        </w:rPr>
        <w:t>.</w:t>
      </w:r>
      <w:r w:rsidRPr="00D82455">
        <w:rPr>
          <w:rFonts w:cs="Times New Roman"/>
          <w:szCs w:val="24"/>
        </w:rPr>
        <w:t xml:space="preserve"> 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0.05, **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0.001, ***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0.0001. Comparison between mouse strains. </w:t>
      </w:r>
      <w:r w:rsidRPr="00D82455">
        <w:rPr>
          <w:rFonts w:cs="Times New Roman"/>
          <w:szCs w:val="24"/>
          <w:vertAlign w:val="superscript"/>
        </w:rPr>
        <w:t xml:space="preserve">a 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0.05, </w:t>
      </w:r>
      <w:r w:rsidRPr="00D82455">
        <w:rPr>
          <w:rFonts w:cs="Times New Roman"/>
          <w:szCs w:val="24"/>
          <w:vertAlign w:val="superscript"/>
        </w:rPr>
        <w:t xml:space="preserve">b 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0.001, and </w:t>
      </w:r>
      <w:r w:rsidRPr="00D82455">
        <w:rPr>
          <w:rFonts w:cs="Times New Roman"/>
          <w:szCs w:val="24"/>
          <w:vertAlign w:val="superscript"/>
        </w:rPr>
        <w:t xml:space="preserve">c 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0.0001.</w:t>
      </w:r>
    </w:p>
    <w:p w14:paraId="44036FB8" w14:textId="52E1B3EB" w:rsidR="00304812" w:rsidRPr="00D82455" w:rsidRDefault="00304812">
      <w:pPr>
        <w:spacing w:before="0" w:after="200" w:line="276" w:lineRule="auto"/>
        <w:rPr>
          <w:rFonts w:cs="Times New Roman"/>
          <w:szCs w:val="24"/>
        </w:rPr>
      </w:pPr>
      <w:r w:rsidRPr="00D82455">
        <w:rPr>
          <w:rFonts w:cs="Times New Roman"/>
          <w:szCs w:val="24"/>
        </w:rPr>
        <w:br w:type="page"/>
      </w:r>
    </w:p>
    <w:p w14:paraId="37C0228D" w14:textId="0A55EA00" w:rsidR="00304812" w:rsidRPr="00D82455" w:rsidRDefault="00BF2521" w:rsidP="00304812">
      <w:pPr>
        <w:rPr>
          <w:rFonts w:cs="Times New Roman"/>
          <w:szCs w:val="24"/>
        </w:rPr>
      </w:pPr>
      <w:r w:rsidRPr="00D82455">
        <w:rPr>
          <w:rFonts w:cs="Times New Roman"/>
          <w:noProof/>
          <w:szCs w:val="24"/>
          <w:lang w:val="es-MX" w:eastAsia="es-MX"/>
        </w:rPr>
        <w:lastRenderedPageBreak/>
        <w:drawing>
          <wp:inline distT="0" distB="0" distL="0" distR="0" wp14:anchorId="4AD7EFF7" wp14:editId="51BC457C">
            <wp:extent cx="5400040" cy="3593465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E539" w14:textId="391A70F9" w:rsidR="00304812" w:rsidRPr="00D82455" w:rsidRDefault="00304812" w:rsidP="00304812">
      <w:pPr>
        <w:rPr>
          <w:rFonts w:cs="Times New Roman"/>
          <w:szCs w:val="24"/>
        </w:rPr>
      </w:pPr>
      <w:r w:rsidRPr="00D82455">
        <w:rPr>
          <w:rFonts w:cs="Times New Roman"/>
          <w:b/>
          <w:szCs w:val="24"/>
        </w:rPr>
        <w:t>Supplementary Figure 4.</w:t>
      </w:r>
      <w:r w:rsidRPr="00D82455">
        <w:rPr>
          <w:rFonts w:cs="Times New Roman"/>
          <w:szCs w:val="24"/>
        </w:rPr>
        <w:t xml:space="preserve"> Percentage of regulatory T cells in the peritoneum at the time of infection (day 0) in susceptible BALB/</w:t>
      </w:r>
      <w:proofErr w:type="spellStart"/>
      <w:r w:rsidRPr="00D82455">
        <w:rPr>
          <w:rFonts w:cs="Times New Roman"/>
          <w:szCs w:val="24"/>
        </w:rPr>
        <w:t>cAnN</w:t>
      </w:r>
      <w:proofErr w:type="spellEnd"/>
      <w:r w:rsidRPr="00D82455">
        <w:rPr>
          <w:rFonts w:cs="Times New Roman"/>
          <w:szCs w:val="24"/>
        </w:rPr>
        <w:t xml:space="preserve"> and non-susceptible C57BL/6 mice after either anti-CD25 (PC61) or isotype (YCATE) treatment. </w:t>
      </w:r>
      <w:r w:rsidR="008D21FB" w:rsidRPr="00D82455">
        <w:rPr>
          <w:rFonts w:eastAsia="Calibri" w:cs="Times New Roman"/>
          <w:szCs w:val="24"/>
        </w:rPr>
        <w:t xml:space="preserve">Four mice were used for each condition analyzed. </w:t>
      </w:r>
      <w:r w:rsidRPr="00D82455">
        <w:rPr>
          <w:rFonts w:cs="Times New Roman"/>
          <w:szCs w:val="24"/>
        </w:rPr>
        <w:t xml:space="preserve">Flow cytometry results are reported as a mean and standard deviation (bar graph). Significant differences in cell percentages as determined by the U Mann-Whitney test are shown as * 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0.05, **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0.01, ***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0.005.</w:t>
      </w:r>
    </w:p>
    <w:p w14:paraId="383F7528" w14:textId="38339760" w:rsidR="00304812" w:rsidRPr="00D82455" w:rsidRDefault="00304812">
      <w:pPr>
        <w:spacing w:before="0" w:after="200" w:line="276" w:lineRule="auto"/>
        <w:rPr>
          <w:rFonts w:cs="Times New Roman"/>
          <w:szCs w:val="24"/>
        </w:rPr>
      </w:pPr>
      <w:r w:rsidRPr="00D82455">
        <w:rPr>
          <w:rFonts w:cs="Times New Roman"/>
          <w:szCs w:val="24"/>
        </w:rPr>
        <w:br w:type="page"/>
      </w:r>
    </w:p>
    <w:p w14:paraId="2E431DEF" w14:textId="4F74BCF2" w:rsidR="00304812" w:rsidRPr="00D82455" w:rsidRDefault="00304812" w:rsidP="00304812">
      <w:pPr>
        <w:rPr>
          <w:rFonts w:cs="Times New Roman"/>
          <w:szCs w:val="24"/>
        </w:rPr>
      </w:pPr>
      <w:r w:rsidRPr="00D82455">
        <w:rPr>
          <w:rFonts w:cs="Times New Roman"/>
          <w:noProof/>
          <w:szCs w:val="24"/>
          <w:lang w:val="es-MX" w:eastAsia="es-MX"/>
        </w:rPr>
        <w:lastRenderedPageBreak/>
        <w:drawing>
          <wp:inline distT="0" distB="0" distL="0" distR="0" wp14:anchorId="042B1FBB" wp14:editId="20F8957B">
            <wp:extent cx="6200775" cy="26574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659B7" w14:textId="0FBC6DC3" w:rsidR="00304812" w:rsidRPr="00D82455" w:rsidRDefault="00304812" w:rsidP="00304812">
      <w:pPr>
        <w:rPr>
          <w:rFonts w:cs="Times New Roman"/>
          <w:szCs w:val="24"/>
        </w:rPr>
      </w:pPr>
      <w:r w:rsidRPr="00D82455">
        <w:rPr>
          <w:rFonts w:cs="Times New Roman"/>
          <w:b/>
          <w:szCs w:val="24"/>
        </w:rPr>
        <w:t xml:space="preserve">Supplementary Figure 5. </w:t>
      </w:r>
      <w:r w:rsidRPr="00D82455">
        <w:rPr>
          <w:rFonts w:cs="Times New Roman"/>
          <w:szCs w:val="24"/>
        </w:rPr>
        <w:t>Percentage of regulatory T cells in the peritoneum on day 5, 15, and 30 after infection in susceptible BALB/</w:t>
      </w:r>
      <w:proofErr w:type="spellStart"/>
      <w:r w:rsidRPr="00D82455">
        <w:rPr>
          <w:rFonts w:cs="Times New Roman"/>
          <w:szCs w:val="24"/>
        </w:rPr>
        <w:t>cAnN</w:t>
      </w:r>
      <w:proofErr w:type="spellEnd"/>
      <w:r w:rsidRPr="00D82455">
        <w:rPr>
          <w:rFonts w:cs="Times New Roman"/>
          <w:szCs w:val="24"/>
        </w:rPr>
        <w:t xml:space="preserve"> and non-susceptible C57BL/6 mice treated with either anti-CD25 (PC61) or isotype (YCATE). </w:t>
      </w:r>
      <w:r w:rsidR="00E94FEE" w:rsidRPr="00D82455">
        <w:rPr>
          <w:rFonts w:eastAsia="Calibri" w:cs="Times New Roman"/>
          <w:szCs w:val="24"/>
        </w:rPr>
        <w:t>Six infected mice for each time (days 5, 15, and 30) and each condition (isotype or depleted) were included, as well as six non-infected animals of each strain.</w:t>
      </w:r>
      <w:r w:rsidR="00CB5D6C" w:rsidRPr="00D82455">
        <w:rPr>
          <w:rFonts w:cs="Times New Roman"/>
          <w:szCs w:val="24"/>
        </w:rPr>
        <w:t xml:space="preserve"> </w:t>
      </w:r>
      <w:r w:rsidRPr="00D82455">
        <w:rPr>
          <w:rFonts w:cs="Times New Roman"/>
          <w:szCs w:val="24"/>
        </w:rPr>
        <w:t>Flow cytometry results are reported as a mean and standard deviation (bar graph). Significant differences in cell percentages as determined by the U Mann-Whitney test are shown as 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0.05, **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0.01, ***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0.005.</w:t>
      </w:r>
    </w:p>
    <w:p w14:paraId="0EE94E55" w14:textId="77777777" w:rsidR="00304812" w:rsidRPr="00D82455" w:rsidRDefault="00304812">
      <w:pPr>
        <w:spacing w:before="0" w:after="200" w:line="276" w:lineRule="auto"/>
        <w:rPr>
          <w:rFonts w:cs="Times New Roman"/>
          <w:szCs w:val="24"/>
        </w:rPr>
      </w:pPr>
      <w:r w:rsidRPr="00D82455">
        <w:rPr>
          <w:rFonts w:cs="Times New Roman"/>
          <w:szCs w:val="24"/>
        </w:rPr>
        <w:br w:type="page"/>
      </w:r>
    </w:p>
    <w:p w14:paraId="0DDFFA15" w14:textId="77777777" w:rsidR="00304812" w:rsidRPr="00D82455" w:rsidRDefault="00304812" w:rsidP="00304812">
      <w:pPr>
        <w:rPr>
          <w:rFonts w:cs="Times New Roman"/>
          <w:szCs w:val="24"/>
        </w:rPr>
      </w:pPr>
    </w:p>
    <w:p w14:paraId="6C3E43E7" w14:textId="276EBF2A" w:rsidR="00304812" w:rsidRPr="00D82455" w:rsidRDefault="00304812" w:rsidP="00304812">
      <w:pPr>
        <w:rPr>
          <w:rFonts w:cs="Times New Roman"/>
          <w:szCs w:val="24"/>
        </w:rPr>
      </w:pPr>
      <w:r w:rsidRPr="00D82455">
        <w:rPr>
          <w:rFonts w:cs="Times New Roman"/>
          <w:noProof/>
          <w:szCs w:val="24"/>
          <w:lang w:val="es-MX" w:eastAsia="es-MX"/>
        </w:rPr>
        <w:drawing>
          <wp:inline distT="0" distB="0" distL="0" distR="0" wp14:anchorId="78DE259F" wp14:editId="7B3A437B">
            <wp:extent cx="6200775" cy="37719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543B" w14:textId="6011FD9F" w:rsidR="00304812" w:rsidRPr="00D82455" w:rsidRDefault="00304812" w:rsidP="00304812">
      <w:pPr>
        <w:rPr>
          <w:rFonts w:cs="Times New Roman"/>
          <w:szCs w:val="24"/>
        </w:rPr>
      </w:pPr>
      <w:r w:rsidRPr="00D82455">
        <w:rPr>
          <w:rFonts w:cs="Times New Roman"/>
          <w:b/>
          <w:szCs w:val="24"/>
        </w:rPr>
        <w:t>Supplementary Figure 6.</w:t>
      </w:r>
      <w:r w:rsidRPr="00D82455">
        <w:rPr>
          <w:rFonts w:cs="Times New Roman"/>
          <w:szCs w:val="24"/>
        </w:rPr>
        <w:t xml:space="preserve"> Treg removal allows to mount an anti-tumor response in the non-susceptible strain. Melanoma B16 cells (2 </w:t>
      </w:r>
      <m:oMath>
        <m:r>
          <w:rPr>
            <w:rFonts w:ascii="Cambria Math" w:hAnsi="Cambria Math" w:cs="Times New Roman"/>
            <w:szCs w:val="24"/>
          </w:rPr>
          <m:t>×</m:t>
        </m:r>
      </m:oMath>
      <w:r w:rsidRPr="00D82455">
        <w:rPr>
          <w:rFonts w:cs="Times New Roman"/>
          <w:szCs w:val="24"/>
        </w:rPr>
        <w:t xml:space="preserve"> 10</w:t>
      </w:r>
      <w:r w:rsidRPr="00D82455">
        <w:rPr>
          <w:rFonts w:cs="Times New Roman"/>
          <w:szCs w:val="24"/>
          <w:vertAlign w:val="superscript"/>
        </w:rPr>
        <w:t>5</w:t>
      </w:r>
      <w:r w:rsidRPr="00D82455">
        <w:rPr>
          <w:rFonts w:cs="Times New Roman"/>
          <w:szCs w:val="24"/>
        </w:rPr>
        <w:t xml:space="preserve">) were subcutaneously injected in C57BL/6 mice treated with either anti-CD25 (PC61) or isotype (YCATE) two days before tumor inoculation. Tumor size was measured as the product of the greatest longitudinal diameter (length) </w:t>
      </w:r>
      <m:oMath>
        <m:r>
          <w:rPr>
            <w:rFonts w:ascii="Cambria Math" w:hAnsi="Cambria Math" w:cs="Times New Roman"/>
            <w:szCs w:val="24"/>
          </w:rPr>
          <m:t>×</m:t>
        </m:r>
      </m:oMath>
      <w:r w:rsidRPr="00D82455">
        <w:rPr>
          <w:rFonts w:cs="Times New Roman"/>
          <w:szCs w:val="24"/>
        </w:rPr>
        <w:t xml:space="preserve"> greatest transverse diameter (width). </w:t>
      </w:r>
      <w:r w:rsidR="00D960CD" w:rsidRPr="00D82455">
        <w:rPr>
          <w:rFonts w:eastAsia="Calibri" w:cs="Times New Roman"/>
          <w:szCs w:val="24"/>
        </w:rPr>
        <w:t>Six infected mice for each group were analyzed</w:t>
      </w:r>
      <w:r w:rsidR="00D960CD" w:rsidRPr="00D82455">
        <w:rPr>
          <w:rFonts w:cs="Times New Roman"/>
          <w:szCs w:val="24"/>
        </w:rPr>
        <w:t xml:space="preserve">. </w:t>
      </w:r>
      <w:r w:rsidRPr="00D82455">
        <w:rPr>
          <w:rFonts w:cs="Times New Roman"/>
          <w:szCs w:val="24"/>
        </w:rPr>
        <w:t>Significant differences were determined by the Wilcoxon signed-rank test. 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0.05.</w:t>
      </w:r>
    </w:p>
    <w:p w14:paraId="5EA86F25" w14:textId="029D7841" w:rsidR="00304812" w:rsidRPr="00D82455" w:rsidRDefault="00304812">
      <w:pPr>
        <w:spacing w:before="0" w:after="200" w:line="276" w:lineRule="auto"/>
        <w:rPr>
          <w:rFonts w:cs="Times New Roman"/>
          <w:szCs w:val="24"/>
        </w:rPr>
      </w:pPr>
      <w:r w:rsidRPr="00D82455">
        <w:rPr>
          <w:rFonts w:cs="Times New Roman"/>
          <w:szCs w:val="24"/>
        </w:rPr>
        <w:br w:type="page"/>
      </w:r>
    </w:p>
    <w:p w14:paraId="6E1B166C" w14:textId="00D1C2DC" w:rsidR="00304812" w:rsidRPr="00D82455" w:rsidRDefault="00304812" w:rsidP="00304812">
      <w:pPr>
        <w:rPr>
          <w:rFonts w:cs="Times New Roman"/>
          <w:szCs w:val="24"/>
        </w:rPr>
      </w:pPr>
      <w:r w:rsidRPr="00D82455">
        <w:rPr>
          <w:rFonts w:cs="Times New Roman"/>
          <w:noProof/>
          <w:szCs w:val="24"/>
          <w:lang w:val="es-MX" w:eastAsia="es-MX"/>
        </w:rPr>
        <w:lastRenderedPageBreak/>
        <w:drawing>
          <wp:inline distT="0" distB="0" distL="0" distR="0" wp14:anchorId="03FC217C" wp14:editId="4E27E40A">
            <wp:extent cx="6191250" cy="8610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30A4" w14:textId="4C7DE7D0" w:rsidR="00304812" w:rsidRPr="00D82455" w:rsidRDefault="00304812" w:rsidP="00304812">
      <w:pPr>
        <w:rPr>
          <w:rFonts w:cs="Times New Roman"/>
          <w:szCs w:val="24"/>
        </w:rPr>
      </w:pPr>
      <w:r w:rsidRPr="00D82455">
        <w:rPr>
          <w:rFonts w:cs="Times New Roman"/>
          <w:noProof/>
          <w:szCs w:val="24"/>
          <w:lang w:val="es-MX" w:eastAsia="es-MX"/>
        </w:rPr>
        <w:lastRenderedPageBreak/>
        <w:drawing>
          <wp:inline distT="0" distB="0" distL="0" distR="0" wp14:anchorId="491022C1" wp14:editId="10B22A9C">
            <wp:extent cx="6210300" cy="74866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842D" w14:textId="5FDC4610" w:rsidR="00304812" w:rsidRPr="0044768B" w:rsidRDefault="00304812" w:rsidP="00304812">
      <w:pPr>
        <w:rPr>
          <w:rFonts w:cs="Times New Roman"/>
          <w:szCs w:val="24"/>
        </w:rPr>
        <w:sectPr w:rsidR="00304812" w:rsidRPr="0044768B" w:rsidSect="00D82455">
          <w:footerReference w:type="default" r:id="rId16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 w:rsidRPr="00D82455">
        <w:rPr>
          <w:rFonts w:cs="Times New Roman"/>
          <w:b/>
          <w:szCs w:val="24"/>
        </w:rPr>
        <w:t xml:space="preserve">Supplementary Figure 7. </w:t>
      </w:r>
      <w:r w:rsidRPr="00D82455">
        <w:rPr>
          <w:rFonts w:cs="Times New Roman"/>
          <w:szCs w:val="24"/>
        </w:rPr>
        <w:t>Kinetic of immune populations</w:t>
      </w:r>
      <w:r w:rsidRPr="00D82455">
        <w:rPr>
          <w:rFonts w:cs="Times New Roman"/>
          <w:b/>
          <w:szCs w:val="24"/>
        </w:rPr>
        <w:t xml:space="preserve"> </w:t>
      </w:r>
      <w:r w:rsidRPr="00D82455">
        <w:rPr>
          <w:rFonts w:cs="Times New Roman"/>
          <w:szCs w:val="24"/>
        </w:rPr>
        <w:t>in susceptible BALB/</w:t>
      </w:r>
      <w:proofErr w:type="spellStart"/>
      <w:r w:rsidRPr="00D82455">
        <w:rPr>
          <w:rFonts w:cs="Times New Roman"/>
          <w:szCs w:val="24"/>
        </w:rPr>
        <w:t>cAnN</w:t>
      </w:r>
      <w:proofErr w:type="spellEnd"/>
      <w:r w:rsidRPr="00D82455">
        <w:rPr>
          <w:rFonts w:cs="Times New Roman"/>
          <w:szCs w:val="24"/>
        </w:rPr>
        <w:t xml:space="preserve"> and non-susceptible C57BL/6 mice treated with either anti-CD25 (PC61) or isotype (YCATE). A) Early activated CD4+ cells, B) late activated CD4+ cells, C) early activated CD8+, D) late activated CD8+, E) memory T cells, F) B cells, G) NKT cells. </w:t>
      </w:r>
      <w:r w:rsidR="00EB7325" w:rsidRPr="00D82455">
        <w:rPr>
          <w:rFonts w:cs="Times New Roman"/>
          <w:szCs w:val="24"/>
        </w:rPr>
        <w:t>Six infected mice for each time (days 5, 15, and 30) and each condition (isotype or depleted) were included, as well as six non-infected animals of each strain</w:t>
      </w:r>
      <w:r w:rsidR="00D51658" w:rsidRPr="00D82455">
        <w:rPr>
          <w:rFonts w:cs="Times New Roman"/>
          <w:szCs w:val="24"/>
        </w:rPr>
        <w:t xml:space="preserve">. </w:t>
      </w:r>
      <w:r w:rsidRPr="00D82455">
        <w:rPr>
          <w:rFonts w:cs="Times New Roman"/>
          <w:szCs w:val="24"/>
        </w:rPr>
        <w:t xml:space="preserve">Flow cytometry results are reported as a mean and standard deviation (bar graph). Significant </w:t>
      </w:r>
      <w:r w:rsidRPr="00D82455">
        <w:rPr>
          <w:rFonts w:cs="Times New Roman"/>
          <w:szCs w:val="24"/>
        </w:rPr>
        <w:lastRenderedPageBreak/>
        <w:t>differences in cell percentages as determined by the U Mann-Whitney test are shown as 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0.05, **</w:t>
      </w:r>
      <w:r w:rsidRPr="00D82455">
        <w:rPr>
          <w:rFonts w:cs="Times New Roman"/>
          <w:i/>
          <w:iCs/>
          <w:szCs w:val="24"/>
        </w:rPr>
        <w:t>P</w:t>
      </w:r>
      <w:r w:rsidRPr="00D82455">
        <w:rPr>
          <w:rFonts w:cs="Times New Roman"/>
          <w:szCs w:val="24"/>
        </w:rPr>
        <w:t xml:space="preserve"> &lt; 0</w:t>
      </w:r>
      <w:r w:rsidR="0067121B" w:rsidRPr="00D82455">
        <w:rPr>
          <w:rFonts w:cs="Times New Roman"/>
          <w:szCs w:val="24"/>
        </w:rPr>
        <w:t>.</w:t>
      </w:r>
      <w:r w:rsidR="00D20E93" w:rsidRPr="00D82455">
        <w:rPr>
          <w:rFonts w:cs="Times New Roman"/>
          <w:szCs w:val="24"/>
        </w:rPr>
        <w:t>0</w:t>
      </w:r>
      <w:r w:rsidR="00EB7325" w:rsidRPr="00D82455">
        <w:rPr>
          <w:rFonts w:cs="Times New Roman"/>
          <w:szCs w:val="24"/>
        </w:rPr>
        <w:t>1</w:t>
      </w:r>
      <w:r w:rsidR="008F4D9D" w:rsidRPr="00D82455">
        <w:rPr>
          <w:rFonts w:cs="Times New Roman"/>
          <w:szCs w:val="24"/>
        </w:rPr>
        <w:t>.</w:t>
      </w:r>
      <w:r w:rsidR="0044768B">
        <w:rPr>
          <w:rFonts w:cs="Times New Roman"/>
          <w:szCs w:val="24"/>
        </w:rPr>
        <w:t xml:space="preserve"> </w:t>
      </w:r>
      <w:r w:rsidR="0044768B" w:rsidRPr="0044768B">
        <w:rPr>
          <w:rFonts w:cs="Times New Roman"/>
          <w:szCs w:val="24"/>
        </w:rPr>
        <w:t>Significant differences between strains were determined by the U Mann-Whitney test. Superscript letters indicate: a P &lt; 0.05, b **P &lt; 0.01, and c **P &lt; 0.005.</w:t>
      </w:r>
      <w:bookmarkStart w:id="2" w:name="_GoBack"/>
      <w:bookmarkEnd w:id="2"/>
    </w:p>
    <w:bookmarkEnd w:id="0"/>
    <w:p w14:paraId="61860CCA" w14:textId="39FE3062" w:rsidR="004944FD" w:rsidRPr="00D82455" w:rsidRDefault="004944FD" w:rsidP="004944FD">
      <w:pPr>
        <w:rPr>
          <w:rFonts w:cs="Times New Roman"/>
          <w:szCs w:val="24"/>
        </w:rPr>
      </w:pPr>
    </w:p>
    <w:sectPr w:rsidR="004944FD" w:rsidRPr="00D82455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8F270" w14:textId="77777777" w:rsidR="00C549E7" w:rsidRDefault="00C549E7" w:rsidP="00117666">
      <w:pPr>
        <w:spacing w:after="0"/>
      </w:pPr>
      <w:r>
        <w:separator/>
      </w:r>
    </w:p>
  </w:endnote>
  <w:endnote w:type="continuationSeparator" w:id="0">
    <w:p w14:paraId="0774707A" w14:textId="77777777" w:rsidR="00C549E7" w:rsidRDefault="00C549E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1277913"/>
      <w:docPartObj>
        <w:docPartGallery w:val="Page Numbers (Bottom of Page)"/>
        <w:docPartUnique/>
      </w:docPartObj>
    </w:sdtPr>
    <w:sdtEndPr/>
    <w:sdtContent>
      <w:p w14:paraId="741B56C3" w14:textId="77777777" w:rsidR="00304812" w:rsidRDefault="00304812">
        <w:pPr>
          <w:pStyle w:val="Piedepgina"/>
          <w:jc w:val="right"/>
        </w:pPr>
        <w:r>
          <w:t>2</w:t>
        </w:r>
      </w:p>
    </w:sdtContent>
  </w:sdt>
  <w:p w14:paraId="57DC5B51" w14:textId="77777777" w:rsidR="00304812" w:rsidRDefault="0030481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6F370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6F370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6F370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6F370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7702E" w14:textId="77777777" w:rsidR="00C549E7" w:rsidRDefault="00C549E7" w:rsidP="00117666">
      <w:pPr>
        <w:spacing w:after="0"/>
      </w:pPr>
      <w:r>
        <w:separator/>
      </w:r>
    </w:p>
  </w:footnote>
  <w:footnote w:type="continuationSeparator" w:id="0">
    <w:p w14:paraId="62AF2503" w14:textId="77777777" w:rsidR="00C549E7" w:rsidRDefault="00C549E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MX" w:eastAsia="es-MX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4A5D"/>
    <w:rsid w:val="00077D53"/>
    <w:rsid w:val="00105FD9"/>
    <w:rsid w:val="0011506C"/>
    <w:rsid w:val="00117666"/>
    <w:rsid w:val="001549D3"/>
    <w:rsid w:val="00160065"/>
    <w:rsid w:val="00177D84"/>
    <w:rsid w:val="0024708D"/>
    <w:rsid w:val="002568C3"/>
    <w:rsid w:val="00267D18"/>
    <w:rsid w:val="00274347"/>
    <w:rsid w:val="002868E2"/>
    <w:rsid w:val="002869C3"/>
    <w:rsid w:val="002936E4"/>
    <w:rsid w:val="002A5FAF"/>
    <w:rsid w:val="002B4A57"/>
    <w:rsid w:val="002C74CA"/>
    <w:rsid w:val="00304812"/>
    <w:rsid w:val="003123F4"/>
    <w:rsid w:val="003544FB"/>
    <w:rsid w:val="0036505D"/>
    <w:rsid w:val="003877E4"/>
    <w:rsid w:val="003D2F2D"/>
    <w:rsid w:val="003D5DC6"/>
    <w:rsid w:val="003D6059"/>
    <w:rsid w:val="00401590"/>
    <w:rsid w:val="0044768B"/>
    <w:rsid w:val="00447801"/>
    <w:rsid w:val="00452E9C"/>
    <w:rsid w:val="004735C8"/>
    <w:rsid w:val="004944FD"/>
    <w:rsid w:val="004947A6"/>
    <w:rsid w:val="004961FF"/>
    <w:rsid w:val="00517A89"/>
    <w:rsid w:val="005250F2"/>
    <w:rsid w:val="005513A5"/>
    <w:rsid w:val="005778FD"/>
    <w:rsid w:val="00593EEA"/>
    <w:rsid w:val="005A5EEE"/>
    <w:rsid w:val="005C0786"/>
    <w:rsid w:val="005D1CA0"/>
    <w:rsid w:val="005F2471"/>
    <w:rsid w:val="006375C7"/>
    <w:rsid w:val="00654E8F"/>
    <w:rsid w:val="00660D05"/>
    <w:rsid w:val="0067121B"/>
    <w:rsid w:val="006820B1"/>
    <w:rsid w:val="006855A3"/>
    <w:rsid w:val="006B7D14"/>
    <w:rsid w:val="006F3705"/>
    <w:rsid w:val="006F64E1"/>
    <w:rsid w:val="00701727"/>
    <w:rsid w:val="0070566C"/>
    <w:rsid w:val="00714C50"/>
    <w:rsid w:val="00725A7D"/>
    <w:rsid w:val="007501BE"/>
    <w:rsid w:val="007716F2"/>
    <w:rsid w:val="00790BB3"/>
    <w:rsid w:val="007B56CF"/>
    <w:rsid w:val="007C206C"/>
    <w:rsid w:val="00817DD6"/>
    <w:rsid w:val="0083759F"/>
    <w:rsid w:val="00885156"/>
    <w:rsid w:val="008D21FB"/>
    <w:rsid w:val="008E53C6"/>
    <w:rsid w:val="008F4D9D"/>
    <w:rsid w:val="009151AA"/>
    <w:rsid w:val="0093429D"/>
    <w:rsid w:val="00943573"/>
    <w:rsid w:val="00964134"/>
    <w:rsid w:val="00967473"/>
    <w:rsid w:val="00970F7D"/>
    <w:rsid w:val="00994A3D"/>
    <w:rsid w:val="009A5031"/>
    <w:rsid w:val="009C2B12"/>
    <w:rsid w:val="00A174D9"/>
    <w:rsid w:val="00A856A1"/>
    <w:rsid w:val="00AA4D24"/>
    <w:rsid w:val="00AB6715"/>
    <w:rsid w:val="00B1671E"/>
    <w:rsid w:val="00B25EB8"/>
    <w:rsid w:val="00B37F4D"/>
    <w:rsid w:val="00BA6AD3"/>
    <w:rsid w:val="00BF2521"/>
    <w:rsid w:val="00C15058"/>
    <w:rsid w:val="00C31D82"/>
    <w:rsid w:val="00C52A7B"/>
    <w:rsid w:val="00C549E7"/>
    <w:rsid w:val="00C56BAF"/>
    <w:rsid w:val="00C679AA"/>
    <w:rsid w:val="00C75972"/>
    <w:rsid w:val="00CB5D6C"/>
    <w:rsid w:val="00CD066B"/>
    <w:rsid w:val="00CE4FEE"/>
    <w:rsid w:val="00CF7C0D"/>
    <w:rsid w:val="00D060CF"/>
    <w:rsid w:val="00D20E93"/>
    <w:rsid w:val="00D42FB9"/>
    <w:rsid w:val="00D51658"/>
    <w:rsid w:val="00D82455"/>
    <w:rsid w:val="00D960CD"/>
    <w:rsid w:val="00DB59C3"/>
    <w:rsid w:val="00DC259A"/>
    <w:rsid w:val="00DD3A47"/>
    <w:rsid w:val="00DE23E8"/>
    <w:rsid w:val="00E13EC0"/>
    <w:rsid w:val="00E52377"/>
    <w:rsid w:val="00E537AD"/>
    <w:rsid w:val="00E64E17"/>
    <w:rsid w:val="00E77555"/>
    <w:rsid w:val="00E866C9"/>
    <w:rsid w:val="00E94FEE"/>
    <w:rsid w:val="00EA3D3C"/>
    <w:rsid w:val="00EB7325"/>
    <w:rsid w:val="00EC090A"/>
    <w:rsid w:val="00ED20B5"/>
    <w:rsid w:val="00F36420"/>
    <w:rsid w:val="00F46900"/>
    <w:rsid w:val="00F61D89"/>
    <w:rsid w:val="00F7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243AC12-73BE-439A-820C-5EB535BE7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14</Pages>
  <Words>1293</Words>
  <Characters>7113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Bernardo Adrian Guevara Salinas</cp:lastModifiedBy>
  <cp:revision>26</cp:revision>
  <cp:lastPrinted>2013-10-03T12:51:00Z</cp:lastPrinted>
  <dcterms:created xsi:type="dcterms:W3CDTF">2021-02-19T22:08:00Z</dcterms:created>
  <dcterms:modified xsi:type="dcterms:W3CDTF">2021-03-30T18:24:00Z</dcterms:modified>
</cp:coreProperties>
</file>