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SupplementaryMaterial"/>
      </w:pPr>
      <w:bookmarkStart w:id="0" w:name="_GoBack"/>
      <w:bookmarkEnd w:id="0"/>
      <w:r>
        <w:t>Supplementary Material</w:t>
      </w:r>
    </w:p>
    <w:p>
      <w:pPr>
        <w:pStyle w:val="AuthorList"/>
        <w:jc w:val="center"/>
        <w:rPr>
          <w:sz w:val="32"/>
          <w:szCs w:val="32"/>
        </w:rPr>
      </w:pPr>
      <w:r>
        <w:rPr>
          <w:sz w:val="32"/>
          <w:szCs w:val="32"/>
        </w:rPr>
        <w:t xml:space="preserve">The protective effect of </w:t>
      </w:r>
      <w:proofErr w:type="spellStart"/>
      <w:r>
        <w:rPr>
          <w:sz w:val="32"/>
          <w:szCs w:val="32"/>
        </w:rPr>
        <w:t>polyherbal</w:t>
      </w:r>
      <w:proofErr w:type="spellEnd"/>
      <w:r>
        <w:rPr>
          <w:sz w:val="32"/>
          <w:szCs w:val="32"/>
        </w:rPr>
        <w:t xml:space="preserve"> formulation, </w:t>
      </w:r>
      <w:proofErr w:type="spellStart"/>
      <w:r>
        <w:rPr>
          <w:sz w:val="32"/>
          <w:szCs w:val="32"/>
        </w:rPr>
        <w:t>Harak</w:t>
      </w:r>
      <w:proofErr w:type="spellEnd"/>
      <w:r>
        <w:rPr>
          <w:sz w:val="32"/>
          <w:szCs w:val="32"/>
        </w:rPr>
        <w:t xml:space="preserve"> formula, on UVA-induced photoaging of human dermal fibroblasts and mouse skin via promoting Nrf2-regulated antioxidant defense</w:t>
      </w:r>
    </w:p>
    <w:p>
      <w:pPr>
        <w:spacing w:before="240" w:after="0"/>
        <w:rPr>
          <w:rFonts w:cs="Times New Roman"/>
          <w:b/>
          <w:szCs w:val="24"/>
        </w:rPr>
      </w:pPr>
      <w:proofErr w:type="spellStart"/>
      <w:r>
        <w:rPr>
          <w:rFonts w:cs="Times New Roman"/>
          <w:b/>
          <w:szCs w:val="24"/>
        </w:rPr>
        <w:t>Jinapath</w:t>
      </w:r>
      <w:proofErr w:type="spellEnd"/>
      <w:r>
        <w:rPr>
          <w:rFonts w:cs="Times New Roman"/>
          <w:b/>
          <w:szCs w:val="24"/>
        </w:rPr>
        <w:t xml:space="preserve"> Lohakul</w:t>
      </w:r>
      <w:r>
        <w:rPr>
          <w:rFonts w:cs="Times New Roman"/>
          <w:b/>
          <w:szCs w:val="24"/>
          <w:vertAlign w:val="superscript"/>
        </w:rPr>
        <w:t>1</w:t>
      </w:r>
      <w:r>
        <w:rPr>
          <w:rFonts w:cs="Times New Roman"/>
          <w:b/>
          <w:szCs w:val="24"/>
        </w:rPr>
        <w:t>, Anyamanee Chaiprasongsuk</w:t>
      </w:r>
      <w:r>
        <w:rPr>
          <w:rFonts w:cs="Times New Roman"/>
          <w:b/>
          <w:szCs w:val="24"/>
          <w:vertAlign w:val="superscript"/>
        </w:rPr>
        <w:t>2</w:t>
      </w:r>
      <w:r>
        <w:rPr>
          <w:rFonts w:cs="Times New Roman"/>
          <w:b/>
          <w:szCs w:val="24"/>
        </w:rPr>
        <w:t xml:space="preserve">, </w:t>
      </w:r>
      <w:proofErr w:type="spellStart"/>
      <w:r>
        <w:rPr>
          <w:rFonts w:cs="Times New Roman"/>
          <w:b/>
          <w:szCs w:val="24"/>
        </w:rPr>
        <w:t>Saowanee</w:t>
      </w:r>
      <w:proofErr w:type="spellEnd"/>
      <w:r>
        <w:rPr>
          <w:rFonts w:cs="Times New Roman"/>
          <w:b/>
          <w:szCs w:val="24"/>
        </w:rPr>
        <w:t xml:space="preserve"> Jeayeng</w:t>
      </w:r>
      <w:r>
        <w:rPr>
          <w:rFonts w:cs="Times New Roman"/>
          <w:b/>
          <w:szCs w:val="24"/>
          <w:vertAlign w:val="superscript"/>
        </w:rPr>
        <w:t>1</w:t>
      </w:r>
      <w:r>
        <w:rPr>
          <w:rFonts w:cs="Times New Roman"/>
          <w:b/>
          <w:szCs w:val="24"/>
        </w:rPr>
        <w:t xml:space="preserve">, </w:t>
      </w:r>
      <w:proofErr w:type="spellStart"/>
      <w:r>
        <w:rPr>
          <w:rFonts w:cs="Times New Roman"/>
          <w:b/>
          <w:szCs w:val="24"/>
        </w:rPr>
        <w:t>Malinee</w:t>
      </w:r>
      <w:proofErr w:type="spellEnd"/>
      <w:r>
        <w:rPr>
          <w:rFonts w:cs="Times New Roman"/>
          <w:b/>
          <w:szCs w:val="24"/>
        </w:rPr>
        <w:t xml:space="preserve"> Saelim</w:t>
      </w:r>
      <w:r>
        <w:rPr>
          <w:rFonts w:cs="Times New Roman"/>
          <w:b/>
          <w:szCs w:val="24"/>
          <w:vertAlign w:val="superscript"/>
        </w:rPr>
        <w:t>1</w:t>
      </w:r>
      <w:r>
        <w:rPr>
          <w:rFonts w:cs="Times New Roman"/>
          <w:b/>
          <w:szCs w:val="24"/>
        </w:rPr>
        <w:t xml:space="preserve">, </w:t>
      </w:r>
      <w:proofErr w:type="spellStart"/>
      <w:r>
        <w:rPr>
          <w:rFonts w:cs="Times New Roman"/>
          <w:b/>
          <w:szCs w:val="24"/>
        </w:rPr>
        <w:t>Phetthinee</w:t>
      </w:r>
      <w:proofErr w:type="spellEnd"/>
      <w:r>
        <w:rPr>
          <w:rFonts w:cs="Times New Roman"/>
          <w:b/>
          <w:szCs w:val="24"/>
        </w:rPr>
        <w:t xml:space="preserve"> Muanjumpon</w:t>
      </w:r>
      <w:r>
        <w:rPr>
          <w:rFonts w:cs="Times New Roman"/>
          <w:b/>
          <w:szCs w:val="24"/>
          <w:vertAlign w:val="superscript"/>
        </w:rPr>
        <w:t>1</w:t>
      </w:r>
      <w:r>
        <w:rPr>
          <w:rFonts w:cs="Times New Roman"/>
          <w:b/>
          <w:szCs w:val="24"/>
        </w:rPr>
        <w:t xml:space="preserve">, </w:t>
      </w:r>
      <w:proofErr w:type="spellStart"/>
      <w:r>
        <w:rPr>
          <w:rFonts w:cs="Times New Roman"/>
          <w:b/>
          <w:szCs w:val="24"/>
        </w:rPr>
        <w:t>Saowalak</w:t>
      </w:r>
      <w:proofErr w:type="spellEnd"/>
      <w:r>
        <w:rPr>
          <w:rFonts w:cs="Times New Roman"/>
          <w:b/>
          <w:szCs w:val="24"/>
        </w:rPr>
        <w:t xml:space="preserve"> Thanachaiphiwat</w:t>
      </w:r>
      <w:r>
        <w:rPr>
          <w:rFonts w:cs="Times New Roman"/>
          <w:b/>
          <w:szCs w:val="24"/>
          <w:vertAlign w:val="superscript"/>
        </w:rPr>
        <w:t>1</w:t>
      </w:r>
      <w:r>
        <w:rPr>
          <w:rFonts w:cs="Times New Roman"/>
          <w:b/>
          <w:szCs w:val="24"/>
        </w:rPr>
        <w:t xml:space="preserve">, </w:t>
      </w:r>
      <w:proofErr w:type="spellStart"/>
      <w:r>
        <w:rPr>
          <w:rFonts w:cs="Times New Roman"/>
          <w:b/>
          <w:szCs w:val="24"/>
        </w:rPr>
        <w:t>Pinpat</w:t>
      </w:r>
      <w:proofErr w:type="spellEnd"/>
      <w:r>
        <w:rPr>
          <w:rFonts w:cs="Times New Roman"/>
          <w:b/>
          <w:szCs w:val="24"/>
        </w:rPr>
        <w:t xml:space="preserve"> Tripatara</w:t>
      </w:r>
      <w:r>
        <w:rPr>
          <w:rFonts w:cs="Times New Roman"/>
          <w:b/>
          <w:szCs w:val="24"/>
          <w:vertAlign w:val="superscript"/>
        </w:rPr>
        <w:t>1</w:t>
      </w:r>
      <w:r>
        <w:rPr>
          <w:rFonts w:cs="Times New Roman"/>
          <w:b/>
          <w:szCs w:val="24"/>
        </w:rPr>
        <w:t xml:space="preserve">, </w:t>
      </w:r>
      <w:proofErr w:type="spellStart"/>
      <w:r>
        <w:rPr>
          <w:rFonts w:cs="Times New Roman"/>
          <w:b/>
          <w:szCs w:val="24"/>
        </w:rPr>
        <w:t>Kittipong</w:t>
      </w:r>
      <w:proofErr w:type="spellEnd"/>
      <w:r>
        <w:rPr>
          <w:rFonts w:cs="Times New Roman"/>
          <w:b/>
          <w:szCs w:val="24"/>
        </w:rPr>
        <w:t xml:space="preserve"> Soontrapa</w:t>
      </w:r>
      <w:r>
        <w:rPr>
          <w:rFonts w:cs="Times New Roman"/>
          <w:b/>
          <w:szCs w:val="24"/>
          <w:vertAlign w:val="superscript"/>
        </w:rPr>
        <w:t>1</w:t>
      </w:r>
      <w:r>
        <w:rPr>
          <w:rFonts w:cs="Times New Roman"/>
          <w:b/>
          <w:szCs w:val="24"/>
        </w:rPr>
        <w:t xml:space="preserve">, </w:t>
      </w:r>
      <w:proofErr w:type="spellStart"/>
      <w:r>
        <w:rPr>
          <w:rFonts w:cs="Times New Roman"/>
          <w:b/>
          <w:szCs w:val="24"/>
        </w:rPr>
        <w:t>Natchagorn</w:t>
      </w:r>
      <w:proofErr w:type="spellEnd"/>
      <w:r>
        <w:rPr>
          <w:rFonts w:cs="Times New Roman"/>
          <w:b/>
          <w:szCs w:val="24"/>
        </w:rPr>
        <w:t xml:space="preserve"> Lumlerdkij</w:t>
      </w:r>
      <w:r>
        <w:rPr>
          <w:rFonts w:cs="Times New Roman"/>
          <w:b/>
          <w:szCs w:val="24"/>
          <w:vertAlign w:val="superscript"/>
        </w:rPr>
        <w:t>3</w:t>
      </w:r>
      <w:r>
        <w:rPr>
          <w:rFonts w:cs="Times New Roman"/>
          <w:b/>
          <w:szCs w:val="24"/>
        </w:rPr>
        <w:t xml:space="preserve">, </w:t>
      </w:r>
      <w:proofErr w:type="spellStart"/>
      <w:r>
        <w:rPr>
          <w:rFonts w:cs="Times New Roman"/>
          <w:b/>
          <w:szCs w:val="24"/>
        </w:rPr>
        <w:t>Pravit</w:t>
      </w:r>
      <w:proofErr w:type="spellEnd"/>
      <w:r>
        <w:rPr>
          <w:rFonts w:cs="Times New Roman"/>
          <w:b/>
          <w:szCs w:val="24"/>
        </w:rPr>
        <w:t xml:space="preserve"> Akarasereenont</w:t>
      </w:r>
      <w:r>
        <w:rPr>
          <w:rFonts w:cs="Times New Roman"/>
          <w:b/>
          <w:szCs w:val="24"/>
          <w:vertAlign w:val="superscript"/>
        </w:rPr>
        <w:t>1,3</w:t>
      </w:r>
      <w:r>
        <w:rPr>
          <w:rFonts w:cs="Times New Roman"/>
          <w:b/>
          <w:szCs w:val="24"/>
        </w:rPr>
        <w:t xml:space="preserve">, </w:t>
      </w:r>
      <w:proofErr w:type="spellStart"/>
      <w:r>
        <w:rPr>
          <w:rFonts w:cs="Times New Roman"/>
          <w:b/>
          <w:szCs w:val="24"/>
        </w:rPr>
        <w:t>Uraiwan</w:t>
      </w:r>
      <w:proofErr w:type="spellEnd"/>
      <w:r>
        <w:rPr>
          <w:rFonts w:cs="Times New Roman"/>
          <w:b/>
          <w:szCs w:val="24"/>
        </w:rPr>
        <w:t xml:space="preserve"> Panich</w:t>
      </w:r>
      <w:r>
        <w:rPr>
          <w:rFonts w:cs="Times New Roman"/>
          <w:b/>
          <w:szCs w:val="24"/>
          <w:vertAlign w:val="superscript"/>
        </w:rPr>
        <w:t>1</w:t>
      </w:r>
      <w:r>
        <w:rPr>
          <w:rFonts w:cs="Times New Roman"/>
          <w:b/>
          <w:szCs w:val="24"/>
        </w:rPr>
        <w:t>*</w:t>
      </w:r>
    </w:p>
    <w:p>
      <w:pPr>
        <w:spacing w:before="240" w:after="0"/>
        <w:rPr>
          <w:rFonts w:cs="Times New Roman"/>
          <w:szCs w:val="24"/>
          <w:vertAlign w:val="superscript"/>
        </w:rPr>
      </w:pPr>
    </w:p>
    <w:p>
      <w:pPr>
        <w:spacing w:before="240" w:after="0"/>
        <w:rPr>
          <w:rFonts w:cs="Times New Roman"/>
          <w:szCs w:val="24"/>
          <w:vertAlign w:val="superscript"/>
        </w:rPr>
      </w:pPr>
    </w:p>
    <w:p>
      <w:pPr>
        <w:spacing w:before="240" w:after="0"/>
        <w:rPr>
          <w:rFonts w:cs="Times New Roman"/>
          <w:szCs w:val="24"/>
          <w:vertAlign w:val="superscript"/>
        </w:rPr>
      </w:pPr>
    </w:p>
    <w:p>
      <w:pPr>
        <w:jc w:val="both"/>
        <w:rPr>
          <w:szCs w:val="24"/>
        </w:rPr>
      </w:pPr>
      <w:bookmarkStart w:id="1" w:name="_Hlk59802793"/>
      <w:r>
        <w:rPr>
          <w:rFonts w:cs="Times New Roman"/>
          <w:szCs w:val="24"/>
          <w:vertAlign w:val="superscript"/>
        </w:rPr>
        <w:t>1</w:t>
      </w:r>
      <w:r>
        <w:rPr>
          <w:rFonts w:cs="Times New Roman"/>
          <w:szCs w:val="24"/>
        </w:rPr>
        <w:t>Department of Pharmacology, Faculty of Medicine Siriraj Hospital, Mahidol University, Bangkok 10700, Thailand. (J.L., S.J., M.S., P.M., S.T., P.T., K.S., P.A., U.P.)</w:t>
      </w:r>
    </w:p>
    <w:p>
      <w:pPr>
        <w:rPr>
          <w:rFonts w:cs="Times New Roman"/>
          <w:szCs w:val="24"/>
          <w:vertAlign w:val="superscript"/>
        </w:rPr>
      </w:pPr>
      <w:r>
        <w:rPr>
          <w:rFonts w:cs="Times New Roman"/>
          <w:szCs w:val="24"/>
          <w:vertAlign w:val="superscript"/>
        </w:rPr>
        <w:t xml:space="preserve">2 </w:t>
      </w:r>
      <w:r>
        <w:rPr>
          <w:rFonts w:cs="Times New Roman"/>
          <w:szCs w:val="24"/>
        </w:rPr>
        <w:t xml:space="preserve">Faculty of Medicine and Public Health, HRH Princess </w:t>
      </w:r>
      <w:proofErr w:type="spellStart"/>
      <w:r>
        <w:rPr>
          <w:rFonts w:cs="Times New Roman"/>
          <w:szCs w:val="24"/>
        </w:rPr>
        <w:t>Chulabhorn</w:t>
      </w:r>
      <w:proofErr w:type="spellEnd"/>
      <w:r>
        <w:rPr>
          <w:rFonts w:cs="Times New Roman"/>
          <w:szCs w:val="24"/>
        </w:rPr>
        <w:t xml:space="preserve"> College of Medicine Science, </w:t>
      </w:r>
      <w:proofErr w:type="spellStart"/>
      <w:r>
        <w:rPr>
          <w:rFonts w:cs="Times New Roman"/>
          <w:szCs w:val="24"/>
        </w:rPr>
        <w:t>Chulabhorn</w:t>
      </w:r>
      <w:proofErr w:type="spellEnd"/>
      <w:r>
        <w:rPr>
          <w:rFonts w:cs="Times New Roman"/>
          <w:szCs w:val="24"/>
        </w:rPr>
        <w:t xml:space="preserve"> Royal Academy, Bangkok, Thailand. (A.C.)</w:t>
      </w:r>
    </w:p>
    <w:p>
      <w:pPr>
        <w:rPr>
          <w:rFonts w:cs="Times New Roman"/>
          <w:szCs w:val="24"/>
        </w:rPr>
      </w:pPr>
      <w:r>
        <w:rPr>
          <w:rFonts w:cs="Times New Roman"/>
          <w:szCs w:val="24"/>
          <w:vertAlign w:val="superscript"/>
        </w:rPr>
        <w:t>3</w:t>
      </w:r>
      <w:r>
        <w:rPr>
          <w:rFonts w:cs="Times New Roman"/>
          <w:szCs w:val="24"/>
        </w:rPr>
        <w:t>Center of Applied Thai Traditional Medicine, Faculty of Medicine Siriraj Hospital, Mahidol University, Bangkok, 10700, Thailand. (</w:t>
      </w:r>
      <w:r>
        <w:rPr>
          <w:rFonts w:cs="Angsana New"/>
          <w:szCs w:val="30"/>
          <w:lang w:val="en-GB"/>
        </w:rPr>
        <w:t xml:space="preserve">N.L., </w:t>
      </w:r>
      <w:r>
        <w:rPr>
          <w:rFonts w:cs="Times New Roman"/>
          <w:szCs w:val="24"/>
        </w:rPr>
        <w:t>P.A.)</w:t>
      </w:r>
    </w:p>
    <w:p>
      <w:pPr>
        <w:rPr>
          <w:rFonts w:cs="Times New Roman"/>
          <w:szCs w:val="24"/>
        </w:rPr>
      </w:pPr>
    </w:p>
    <w:p>
      <w:pPr>
        <w:rPr>
          <w:rFonts w:cs="Times New Roman"/>
          <w:szCs w:val="24"/>
        </w:rPr>
      </w:pPr>
    </w:p>
    <w:p>
      <w:pPr>
        <w:rPr>
          <w:rFonts w:cs="Times New Roman"/>
          <w:szCs w:val="24"/>
        </w:rPr>
      </w:pPr>
    </w:p>
    <w:p>
      <w:pPr>
        <w:rPr>
          <w:rFonts w:cs="Times New Roman"/>
          <w:szCs w:val="24"/>
        </w:rPr>
      </w:pPr>
    </w:p>
    <w:bookmarkEnd w:id="1"/>
    <w:p>
      <w:pPr>
        <w:rPr>
          <w:rFonts w:cs="Times New Roman"/>
          <w:szCs w:val="24"/>
        </w:rPr>
      </w:pPr>
      <w:r>
        <w:rPr>
          <w:rFonts w:cs="Times New Roman"/>
          <w:b/>
          <w:szCs w:val="24"/>
        </w:rPr>
        <w:t xml:space="preserve">* Correspondence: </w:t>
      </w:r>
      <w:r>
        <w:rPr>
          <w:rFonts w:cs="Times New Roman"/>
          <w:b/>
          <w:szCs w:val="24"/>
        </w:rPr>
        <w:br/>
      </w:r>
      <w:r>
        <w:rPr>
          <w:rFonts w:cs="Times New Roman"/>
          <w:szCs w:val="24"/>
        </w:rPr>
        <w:t xml:space="preserve">Uraiwan Panich, M.D., Ph.D. </w:t>
      </w:r>
    </w:p>
    <w:p>
      <w:pPr>
        <w:rPr>
          <w:rFonts w:cs="Times New Roman"/>
          <w:szCs w:val="24"/>
        </w:rPr>
      </w:pPr>
      <w:r>
        <w:rPr>
          <w:rFonts w:cs="Times New Roman"/>
          <w:szCs w:val="24"/>
        </w:rPr>
        <w:t>Department of Pharmacology, Faculty of Medicine Siriraj Hospital, Mahidol University</w:t>
      </w:r>
    </w:p>
    <w:p>
      <w:pPr>
        <w:rPr>
          <w:rFonts w:cs="Times New Roman"/>
          <w:szCs w:val="24"/>
        </w:rPr>
      </w:pPr>
      <w:r>
        <w:rPr>
          <w:rFonts w:cs="Times New Roman"/>
          <w:szCs w:val="24"/>
        </w:rPr>
        <w:t xml:space="preserve">2 </w:t>
      </w:r>
      <w:proofErr w:type="spellStart"/>
      <w:r>
        <w:rPr>
          <w:rFonts w:cs="Times New Roman"/>
          <w:szCs w:val="24"/>
        </w:rPr>
        <w:t>Wanglang</w:t>
      </w:r>
      <w:proofErr w:type="spellEnd"/>
      <w:r>
        <w:rPr>
          <w:rFonts w:cs="Times New Roman"/>
          <w:szCs w:val="24"/>
        </w:rPr>
        <w:t xml:space="preserve"> Rd., Bangkok </w:t>
      </w:r>
      <w:proofErr w:type="spellStart"/>
      <w:r>
        <w:rPr>
          <w:rFonts w:cs="Times New Roman"/>
          <w:szCs w:val="24"/>
        </w:rPr>
        <w:t>Noi</w:t>
      </w:r>
      <w:proofErr w:type="spellEnd"/>
      <w:r>
        <w:rPr>
          <w:rFonts w:cs="Times New Roman"/>
          <w:szCs w:val="24"/>
        </w:rPr>
        <w:t>, Bangkok 10700, Thailand.</w:t>
      </w:r>
    </w:p>
    <w:p>
      <w:pPr>
        <w:rPr>
          <w:rStyle w:val="Hyperlink"/>
        </w:rPr>
      </w:pPr>
      <w:r>
        <w:rPr>
          <w:rFonts w:cs="Times New Roman"/>
          <w:szCs w:val="24"/>
        </w:rPr>
        <w:t xml:space="preserve">Phone: +66 818155925, Fax: +66 24197565, E-mail: </w:t>
      </w:r>
      <w:r>
        <w:t>uraiwan.pan@mahidol.ac.th</w:t>
      </w:r>
    </w:p>
    <w:p>
      <w:pPr>
        <w:rPr>
          <w:rStyle w:val="Hyperlink"/>
          <w:rFonts w:cs="Times New Roman"/>
          <w:szCs w:val="24"/>
        </w:rPr>
      </w:pPr>
    </w:p>
    <w:p>
      <w:pPr>
        <w:rPr>
          <w:rStyle w:val="Hyperlink"/>
          <w:rFonts w:cs="Times New Roman"/>
          <w:szCs w:val="24"/>
        </w:rPr>
      </w:pPr>
    </w:p>
    <w:p>
      <w:pPr>
        <w:rPr>
          <w:rStyle w:val="Hyperlink"/>
          <w:rFonts w:cs="Times New Roman"/>
          <w:szCs w:val="24"/>
        </w:rPr>
      </w:pPr>
    </w:p>
    <w:p>
      <w:pPr>
        <w:rPr>
          <w:rStyle w:val="Hyperlink"/>
          <w:rFonts w:cs="Times New Roman"/>
          <w:b/>
          <w:bCs/>
          <w:szCs w:val="24"/>
        </w:rPr>
      </w:pPr>
      <w:r>
        <w:rPr>
          <w:rFonts w:cs="Times New Roman"/>
          <w:b/>
          <w:bCs/>
          <w:noProof/>
          <w:szCs w:val="24"/>
          <w:lang w:bidi="th-TH"/>
        </w:rPr>
        <w:lastRenderedPageBreak/>
        <w:drawing>
          <wp:anchor distT="0" distB="0" distL="114300" distR="114300" simplePos="0" relativeHeight="251658240" behindDoc="1" locked="0" layoutInCell="1" allowOverlap="1">
            <wp:simplePos x="0" y="0"/>
            <wp:positionH relativeFrom="page">
              <wp:posOffset>783771</wp:posOffset>
            </wp:positionH>
            <wp:positionV relativeFrom="paragraph">
              <wp:posOffset>237408</wp:posOffset>
            </wp:positionV>
            <wp:extent cx="6139543" cy="83631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0950" cy="8365058"/>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Supplementary Figures</w:t>
      </w:r>
    </w:p>
    <w:p>
      <w:pPr>
        <w:pStyle w:val="Title"/>
      </w:pPr>
    </w:p>
    <w:p/>
    <w:p>
      <w:pPr>
        <w:pStyle w:val="Heading1"/>
        <w:numPr>
          <w:ilvl w:val="0"/>
          <w:numId w:val="0"/>
        </w:numPr>
        <w:ind w:left="567" w:hanging="567"/>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szCs w:val="24"/>
        </w:rPr>
      </w:pPr>
    </w:p>
    <w:p>
      <w:pPr>
        <w:jc w:val="thaiDistribute"/>
        <w:rPr>
          <w:rFonts w:cs="Times New Roman"/>
          <w:b/>
          <w:bCs/>
          <w:szCs w:val="24"/>
        </w:rPr>
      </w:pPr>
      <w:r>
        <w:rPr>
          <w:rFonts w:cs="Times New Roman"/>
          <w:b/>
          <w:szCs w:val="24"/>
        </w:rPr>
        <w:t>Supplementary Figure 1.</w:t>
      </w:r>
      <w:r>
        <w:rPr>
          <w:rFonts w:cs="Times New Roman"/>
          <w:szCs w:val="24"/>
        </w:rPr>
        <w:t xml:space="preserve"> </w:t>
      </w:r>
      <w:r>
        <w:rPr>
          <w:rFonts w:cs="Times New Roman"/>
          <w:b/>
          <w:bCs/>
          <w:szCs w:val="24"/>
        </w:rPr>
        <w:t>The reaction of HRF and HSP at the highest concentration involving in cytotoxicity and cellular oxidant generation in treated cells without UVA irradiation.</w:t>
      </w:r>
    </w:p>
    <w:p>
      <w:pPr>
        <w:jc w:val="thaiDistribute"/>
        <w:rPr>
          <w:rFonts w:cs="Times New Roman"/>
          <w:szCs w:val="24"/>
        </w:rPr>
      </w:pPr>
      <w:r>
        <w:rPr>
          <w:rFonts w:cs="Times New Roman"/>
          <w:szCs w:val="24"/>
        </w:rPr>
        <w:t xml:space="preserve">The HRF and HSP treated in </w:t>
      </w:r>
      <w:r>
        <w:rPr>
          <w:rFonts w:eastAsia="Calibri" w:cs="Times New Roman"/>
          <w:szCs w:val="24"/>
        </w:rPr>
        <w:t xml:space="preserve">NHDF cells for 25 minutes </w:t>
      </w:r>
      <w:r>
        <w:rPr>
          <w:rFonts w:cs="Times New Roman"/>
          <w:szCs w:val="24"/>
        </w:rPr>
        <w:t xml:space="preserve">were </w:t>
      </w:r>
      <w:r>
        <w:rPr>
          <w:rFonts w:eastAsia="Calibri" w:cs="Times New Roman"/>
          <w:szCs w:val="24"/>
        </w:rPr>
        <w:t xml:space="preserve">harvested to perform the flow cytometry of fluorescent staining, </w:t>
      </w:r>
      <w:r>
        <w:rPr>
          <w:rFonts w:cs="Times New Roman"/>
          <w:szCs w:val="24"/>
        </w:rPr>
        <w:t>PI dye (% PI positive cells) and determine cytotoxicity</w:t>
      </w:r>
      <w:r>
        <w:rPr>
          <w:rFonts w:eastAsia="Calibri" w:cs="Times New Roman"/>
          <w:szCs w:val="24"/>
        </w:rPr>
        <w:t>. The representative flow histogram (A), and the summary graph analysis of the ethanol treated cells, HRF and HSP at the highest dose (30 µg/ml and 10 µg/ml, respectively) compared to unirradiated control (ctrl) cells (B).</w:t>
      </w:r>
      <w:r>
        <w:rPr>
          <w:rFonts w:cs="Times New Roman"/>
          <w:szCs w:val="24"/>
        </w:rPr>
        <w:t xml:space="preserve"> The flow cytometry of </w:t>
      </w:r>
      <w:r>
        <w:rPr>
          <w:rFonts w:eastAsia="Calibri" w:cs="Times New Roman"/>
          <w:szCs w:val="24"/>
        </w:rPr>
        <w:t xml:space="preserve">fluorescent staining, </w:t>
      </w:r>
      <w:r>
        <w:rPr>
          <w:rFonts w:cs="Times New Roman"/>
          <w:szCs w:val="24"/>
        </w:rPr>
        <w:t>DCFDA dye</w:t>
      </w:r>
      <w:r>
        <w:rPr>
          <w:rFonts w:eastAsia="Calibri" w:cs="Times New Roman"/>
          <w:szCs w:val="24"/>
        </w:rPr>
        <w:t xml:space="preserve"> and determined the ROS production (% of control). The representative flow histogram (C), and the summary graph analysis of the ethanol treated cells, HRF and HSP at the highest dose (30 µg/ml and 10 µg/ml, respectively) compared to unirradiated control (ctrl) cells (B) </w:t>
      </w:r>
      <w:r>
        <w:rPr>
          <w:rFonts w:cs="Times New Roman"/>
          <w:szCs w:val="24"/>
        </w:rPr>
        <w:t>were expressed as mean ± SD, n = 4.</w:t>
      </w:r>
    </w:p>
    <w:p>
      <w:pPr>
        <w:jc w:val="thaiDistribute"/>
        <w:rPr>
          <w:b/>
          <w:bCs/>
          <w:szCs w:val="30"/>
          <w:lang w:bidi="th-TH"/>
        </w:rPr>
      </w:pPr>
      <w:r>
        <w:rPr>
          <w:rFonts w:cs="Times New Roman"/>
          <w:b/>
          <w:bCs/>
          <w:szCs w:val="24"/>
        </w:rPr>
        <w:br w:type="page"/>
      </w:r>
    </w:p>
    <w:p>
      <w:pPr>
        <w:jc w:val="thaiDistribute"/>
        <w:rPr>
          <w:rFonts w:cs="Times New Roman"/>
          <w:b/>
          <w:bCs/>
          <w:szCs w:val="24"/>
        </w:rPr>
      </w:pPr>
      <w:r>
        <w:rPr>
          <w:rFonts w:cs="Times New Roman"/>
          <w:b/>
          <w:bCs/>
          <w:noProof/>
          <w:szCs w:val="24"/>
          <w:lang w:bidi="th-TH"/>
        </w:rPr>
        <w:lastRenderedPageBreak/>
        <w:drawing>
          <wp:inline distT="0" distB="0" distL="0" distR="0">
            <wp:extent cx="6083879" cy="605278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l="3336" t="3110" r="3336"/>
                    <a:stretch/>
                  </pic:blipFill>
                  <pic:spPr bwMode="auto">
                    <a:xfrm>
                      <a:off x="0" y="0"/>
                      <a:ext cx="6088628" cy="6057506"/>
                    </a:xfrm>
                    <a:prstGeom prst="rect">
                      <a:avLst/>
                    </a:prstGeom>
                    <a:noFill/>
                    <a:ln>
                      <a:noFill/>
                    </a:ln>
                    <a:extLst>
                      <a:ext uri="{53640926-AAD7-44D8-BBD7-CCE9431645EC}">
                        <a14:shadowObscured xmlns:a14="http://schemas.microsoft.com/office/drawing/2010/main"/>
                      </a:ext>
                    </a:extLst>
                  </pic:spPr>
                </pic:pic>
              </a:graphicData>
            </a:graphic>
          </wp:inline>
        </w:drawing>
      </w:r>
    </w:p>
    <w:p>
      <w:pPr>
        <w:jc w:val="thaiDistribute"/>
        <w:rPr>
          <w:rFonts w:cs="Times New Roman"/>
          <w:b/>
          <w:bCs/>
          <w:szCs w:val="24"/>
        </w:rPr>
      </w:pPr>
    </w:p>
    <w:p>
      <w:pPr>
        <w:jc w:val="thaiDistribute"/>
        <w:rPr>
          <w:rFonts w:cs="Times New Roman"/>
          <w:b/>
          <w:bCs/>
          <w:szCs w:val="24"/>
        </w:rPr>
      </w:pPr>
    </w:p>
    <w:p>
      <w:pPr>
        <w:jc w:val="thaiDistribute"/>
        <w:rPr>
          <w:rFonts w:cs="Times New Roman"/>
          <w:b/>
          <w:bCs/>
          <w:szCs w:val="24"/>
        </w:rPr>
      </w:pPr>
    </w:p>
    <w:p>
      <w:pPr>
        <w:jc w:val="thaiDistribute"/>
        <w:rPr>
          <w:rFonts w:cs="Times New Roman"/>
          <w:b/>
          <w:bCs/>
          <w:szCs w:val="24"/>
        </w:rPr>
      </w:pPr>
    </w:p>
    <w:p>
      <w:pPr>
        <w:jc w:val="thaiDistribute"/>
        <w:rPr>
          <w:rFonts w:cs="Times New Roman"/>
          <w:b/>
          <w:bCs/>
          <w:szCs w:val="24"/>
        </w:rPr>
      </w:pPr>
    </w:p>
    <w:p>
      <w:pPr>
        <w:jc w:val="thaiDistribute"/>
        <w:rPr>
          <w:rFonts w:cs="Times New Roman"/>
          <w:b/>
          <w:bCs/>
          <w:szCs w:val="24"/>
        </w:rPr>
      </w:pPr>
    </w:p>
    <w:p>
      <w:pPr>
        <w:jc w:val="thaiDistribute"/>
        <w:rPr>
          <w:rFonts w:cs="Times New Roman"/>
          <w:b/>
          <w:bCs/>
          <w:szCs w:val="24"/>
        </w:rPr>
      </w:pPr>
      <w:r>
        <w:rPr>
          <w:rFonts w:cs="Times New Roman"/>
          <w:b/>
          <w:szCs w:val="24"/>
        </w:rPr>
        <w:lastRenderedPageBreak/>
        <w:t>Supplementary Figure 2.</w:t>
      </w:r>
      <w:r>
        <w:rPr>
          <w:rFonts w:cs="Times New Roman"/>
          <w:szCs w:val="24"/>
        </w:rPr>
        <w:t xml:space="preserve"> </w:t>
      </w:r>
      <w:r>
        <w:rPr>
          <w:rFonts w:cs="Times New Roman"/>
          <w:b/>
          <w:bCs/>
          <w:szCs w:val="24"/>
        </w:rPr>
        <w:t>The effects of ethanol sham treated cells in MMP-1 protein expression and MMP-1 enzyme activity and collagen type I protein expression.</w:t>
      </w:r>
    </w:p>
    <w:p>
      <w:pPr>
        <w:jc w:val="thaiDistribute"/>
        <w:rPr>
          <w:rFonts w:eastAsia="Calibri" w:cs="Times New Roman"/>
          <w:szCs w:val="24"/>
        </w:rPr>
      </w:pPr>
      <w:r>
        <w:rPr>
          <w:rFonts w:cs="Times New Roman"/>
          <w:szCs w:val="24"/>
        </w:rPr>
        <w:t xml:space="preserve">The ethanol sham treated in </w:t>
      </w:r>
      <w:r>
        <w:rPr>
          <w:rFonts w:eastAsia="Calibri" w:cs="Times New Roman"/>
          <w:szCs w:val="24"/>
        </w:rPr>
        <w:t>NHDFs for 25 minutes prior to UVA (8 J/cm</w:t>
      </w:r>
      <w:r>
        <w:rPr>
          <w:rFonts w:eastAsia="Calibri" w:cs="Times New Roman"/>
          <w:szCs w:val="24"/>
          <w:vertAlign w:val="superscript"/>
        </w:rPr>
        <w:t>2</w:t>
      </w:r>
      <w:r>
        <w:rPr>
          <w:rFonts w:eastAsia="Calibri" w:cs="Times New Roman"/>
          <w:szCs w:val="24"/>
        </w:rPr>
        <w:t xml:space="preserve">) </w:t>
      </w:r>
      <w:r>
        <w:rPr>
          <w:rFonts w:cs="Times New Roman"/>
          <w:szCs w:val="24"/>
        </w:rPr>
        <w:t xml:space="preserve">were </w:t>
      </w:r>
      <w:r>
        <w:rPr>
          <w:rFonts w:eastAsia="Calibri" w:cs="Times New Roman"/>
          <w:szCs w:val="24"/>
        </w:rPr>
        <w:t>harvested to perform the western blot analysis of MMP-1 protein expression, zymogram of MMP-1 enzyme activity and collagen type 1 protein expression. The representative blot pictures of MMP-1 protein expression (A), and the summary graph analysis of ethanol treated cells compared to UVA irradiated cells (B). The representative collagen zymography of MMP-1 enzyme activity (C), and the summary graph analysis of ethanol treated cells compared to UVA irradiated cells (D) and the western blot pictures of collagen type 1 protein expression (E), and the summary graph analysis of ethanol treated cells compared to UVA irradiated cells (F) were quantified by ImageJ and GraphPad prism software and were expressed as mean ± SD, n = 4. **</w:t>
      </w:r>
      <w:r>
        <w:rPr>
          <w:rFonts w:eastAsia="Calibri" w:cs="Times New Roman"/>
          <w:i/>
          <w:iCs/>
          <w:szCs w:val="24"/>
        </w:rPr>
        <w:t xml:space="preserve">P &lt; </w:t>
      </w:r>
      <w:r>
        <w:rPr>
          <w:rFonts w:eastAsia="Calibri" w:cs="Times New Roman"/>
          <w:szCs w:val="24"/>
        </w:rPr>
        <w:t>0.01, ***</w:t>
      </w:r>
      <w:r>
        <w:rPr>
          <w:rFonts w:eastAsia="Calibri" w:cs="Times New Roman"/>
          <w:i/>
          <w:iCs/>
          <w:szCs w:val="24"/>
        </w:rPr>
        <w:t>P</w:t>
      </w:r>
      <w:r>
        <w:rPr>
          <w:rFonts w:eastAsia="Calibri" w:cs="Times New Roman"/>
          <w:szCs w:val="24"/>
        </w:rPr>
        <w:t xml:space="preserve"> &lt; 0.001 versus non-irradiated sham group by Student’s t-test.</w:t>
      </w: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r>
        <w:rPr>
          <w:rFonts w:eastAsia="Calibri" w:cs="Times New Roman"/>
          <w:noProof/>
          <w:szCs w:val="24"/>
          <w:cs/>
          <w:lang w:bidi="th-TH"/>
        </w:rPr>
        <w:lastRenderedPageBreak/>
        <w:drawing>
          <wp:inline distT="0" distB="0" distL="0" distR="0">
            <wp:extent cx="5725160" cy="676656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6766560"/>
                    </a:xfrm>
                    <a:prstGeom prst="rect">
                      <a:avLst/>
                    </a:prstGeom>
                    <a:noFill/>
                    <a:ln>
                      <a:noFill/>
                    </a:ln>
                  </pic:spPr>
                </pic:pic>
              </a:graphicData>
            </a:graphic>
          </wp:inline>
        </w:drawing>
      </w: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szCs w:val="24"/>
        </w:rPr>
      </w:pPr>
    </w:p>
    <w:p>
      <w:pPr>
        <w:jc w:val="thaiDistribute"/>
        <w:rPr>
          <w:rFonts w:eastAsia="Calibri" w:cs="Times New Roman"/>
          <w:b/>
          <w:bCs/>
          <w:szCs w:val="24"/>
        </w:rPr>
      </w:pPr>
      <w:r>
        <w:rPr>
          <w:rFonts w:cs="Times New Roman"/>
          <w:b/>
          <w:szCs w:val="24"/>
        </w:rPr>
        <w:lastRenderedPageBreak/>
        <w:t>Supplementary Figure 3.</w:t>
      </w:r>
      <w:r>
        <w:rPr>
          <w:rFonts w:cs="Times New Roman"/>
          <w:szCs w:val="24"/>
        </w:rPr>
        <w:t xml:space="preserve"> </w:t>
      </w:r>
      <w:r>
        <w:rPr>
          <w:rFonts w:cs="Times New Roman"/>
          <w:b/>
          <w:bCs/>
          <w:szCs w:val="24"/>
        </w:rPr>
        <w:t>The effects of HRF and HSP at the highest concentration involving in MMP-1, collagen type I protein expression and nuclear-to-cytosol Nrf2 ratio without UVA irradiation.</w:t>
      </w:r>
    </w:p>
    <w:p>
      <w:pPr>
        <w:jc w:val="thaiDistribute"/>
        <w:rPr>
          <w:rFonts w:cs="Times New Roman"/>
          <w:szCs w:val="24"/>
          <w:rtl/>
          <w:cs/>
        </w:rPr>
      </w:pPr>
      <w:r>
        <w:rPr>
          <w:rFonts w:cs="Times New Roman"/>
          <w:szCs w:val="24"/>
        </w:rPr>
        <w:t>BALB/c mice were topically applied with HRF 100 mg/cm</w:t>
      </w:r>
      <w:r>
        <w:rPr>
          <w:rFonts w:cs="Times New Roman"/>
          <w:szCs w:val="24"/>
          <w:vertAlign w:val="superscript"/>
        </w:rPr>
        <w:t>2</w:t>
      </w:r>
      <w:r>
        <w:rPr>
          <w:rFonts w:cs="Times New Roman"/>
          <w:szCs w:val="24"/>
        </w:rPr>
        <w:t xml:space="preserve"> and HSP 3 mg/cm</w:t>
      </w:r>
      <w:r>
        <w:rPr>
          <w:rFonts w:cs="Times New Roman"/>
          <w:szCs w:val="24"/>
          <w:vertAlign w:val="superscript"/>
        </w:rPr>
        <w:t>2</w:t>
      </w:r>
      <w:r>
        <w:rPr>
          <w:rFonts w:cs="Times New Roman"/>
          <w:szCs w:val="24"/>
        </w:rPr>
        <w:t xml:space="preserve"> as well as the ethanol treatment and no compound treatment (ctrl) on the dorsal skin for 1 h (3 times a week for 2 weeks).</w:t>
      </w:r>
      <w:r>
        <w:rPr>
          <w:rFonts w:cs="Times New Roman"/>
        </w:rPr>
        <w:t xml:space="preserve"> </w:t>
      </w:r>
      <w:bookmarkStart w:id="2" w:name="_Hlk56442315"/>
      <w:r>
        <w:rPr>
          <w:rFonts w:cs="Times New Roman"/>
          <w:szCs w:val="30"/>
        </w:rPr>
        <w:t>T</w:t>
      </w:r>
      <w:r>
        <w:rPr>
          <w:rFonts w:cs="Times New Roman"/>
          <w:szCs w:val="24"/>
        </w:rPr>
        <w:t xml:space="preserve">he immunofluorescence analysis of MMP-1 </w:t>
      </w:r>
      <w:bookmarkEnd w:id="2"/>
      <w:r>
        <w:rPr>
          <w:rFonts w:cs="Times New Roman"/>
          <w:szCs w:val="24"/>
        </w:rPr>
        <w:t>(A) and collagen (B) were performed at 24 h following the last UV treatment session. Images of IF staining (FITC)-conjugated secondary antibody indicated the location of Nrf2 (green) by the anti-Nrf2 antibody. DAPI staining indicated the location of the nucleus (blue) and the merged image indicated the nuclear localization of Nrf2 (C).</w:t>
      </w:r>
      <w:r>
        <w:rPr>
          <w:rFonts w:cs="Times New Roman"/>
        </w:rPr>
        <w:t xml:space="preserve"> </w:t>
      </w:r>
      <w:r>
        <w:rPr>
          <w:rFonts w:cs="Times New Roman"/>
          <w:szCs w:val="24"/>
        </w:rPr>
        <w:t xml:space="preserve">The summary graph with the protein levels of MMP-1 (D) and collagen (E) and nuclear-to-cytosolic Nrf2 ratio (F) were quantified by ImageJ and GraphPad Prism software. Data were shown as mean ± SD, n = 4. </w:t>
      </w:r>
      <w:r>
        <w:rPr>
          <w:rFonts w:cs="Times New Roman"/>
          <w:rtl/>
          <w:cs/>
        </w:rPr>
        <w:t xml:space="preserve"> </w:t>
      </w:r>
    </w:p>
    <w:p>
      <w:pPr>
        <w:spacing w:before="240"/>
      </w:pPr>
    </w:p>
    <w:sectPr>
      <w:headerReference w:type="even" r:id="rId11"/>
      <w:headerReference w:type="default" r:id="rId12"/>
      <w:footerReference w:type="even"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164021"/>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pPr>
      <w:rPr>
        <w:color w:val="C0000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944894"/>
      <w:docPartObj>
        <w:docPartGallery w:val="Page Numbers (Top of Page)"/>
        <w:docPartUnique/>
      </w:docPartObj>
    </w:sdtPr>
    <w:sdtContent>
      <w:p>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
      <w:rPr>
        <w:b/>
        <w:noProof/>
        <w:color w:val="A6A6A6" w:themeColor="background1" w:themeShade="A6"/>
        <w:lang w:bidi="th-TH"/>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E0NjExMTC3MDE1sLRQ0lEKTi0uzszPAykwrAUA0aqTNiwAAAA="/>
  </w:docVar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pPr>
      <w:numPr>
        <w:numId w:val="19"/>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pPr>
      <w:spacing w:before="240"/>
    </w:pPr>
    <w:rPr>
      <w:rFonts w:cs="Times New Roman"/>
      <w:b/>
      <w:szCs w:val="24"/>
    </w:rPr>
  </w:style>
  <w:style w:type="character" w:customStyle="1" w:styleId="SubtitleChar">
    <w:name w:val="Subtitle Char"/>
    <w:basedOn w:val="DefaultParagraphFont"/>
    <w:link w:val="Subtitle"/>
    <w:uiPriority w:val="99"/>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BookTitle">
    <w:name w:val="Book Title"/>
    <w:basedOn w:val="DefaultParagraphFont"/>
    <w:uiPriority w:val="33"/>
    <w:qFormat/>
    <w:rPr>
      <w:rFonts w:ascii="Times New Roman" w:hAnsi="Times New Roman"/>
      <w:b/>
      <w:bCs/>
      <w:i/>
      <w:iCs/>
      <w:spacing w:val="5"/>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character" w:styleId="Emphasis">
    <w:name w:val="Emphasis"/>
    <w:basedOn w:val="DefaultParagraphFont"/>
    <w:uiPriority w:val="20"/>
    <w:qFormat/>
    <w:rPr>
      <w:rFonts w:ascii="Times New Roman" w:hAnsi="Times New Roman"/>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844"/>
        <w:tab w:val="right" w:pos="9689"/>
      </w:tabs>
      <w:spacing w:after="0"/>
    </w:pPr>
  </w:style>
  <w:style w:type="character" w:customStyle="1" w:styleId="FooterChar">
    <w:name w:val="Footer Char"/>
    <w:basedOn w:val="DefaultParagraphFont"/>
    <w:link w:val="Footer"/>
    <w:uiPriority w:val="99"/>
    <w:rPr>
      <w:rFonts w:ascii="Times New Roman" w:hAnsi="Times New Roman"/>
      <w:sz w:val="24"/>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sz w:val="20"/>
      <w:szCs w:val="20"/>
    </w:rPr>
  </w:style>
  <w:style w:type="paragraph" w:styleId="Header">
    <w:name w:val="header"/>
    <w:basedOn w:val="Normal"/>
    <w:link w:val="HeaderChar"/>
    <w:uiPriority w:val="99"/>
    <w:unhideWhenUsed/>
    <w:pPr>
      <w:tabs>
        <w:tab w:val="center" w:pos="4844"/>
        <w:tab w:val="right" w:pos="9689"/>
      </w:tabs>
    </w:pPr>
    <w:rPr>
      <w:b/>
    </w:rPr>
  </w:style>
  <w:style w:type="character" w:customStyle="1" w:styleId="HeaderChar">
    <w:name w:val="Header Char"/>
    <w:basedOn w:val="DefaultParagraphFont"/>
    <w:link w:val="Header"/>
    <w:uiPriority w:val="99"/>
    <w:rPr>
      <w:rFonts w:ascii="Times New Roman" w:hAnsi="Times New Roman"/>
      <w:b/>
      <w:sz w:val="24"/>
    </w:rPr>
  </w:style>
  <w:style w:type="paragraph" w:styleId="ListParagraph">
    <w:name w:val="List Paragraph"/>
    <w:basedOn w:val="Normal"/>
    <w:uiPriority w:val="3"/>
    <w:qFormat/>
    <w:pPr>
      <w:numPr>
        <w:numId w:val="13"/>
      </w:numPr>
      <w:contextualSpacing/>
    </w:pPr>
    <w:rPr>
      <w:rFonts w:eastAsia="Cambria" w:cs="Times New Roman"/>
      <w:szCs w:val="24"/>
    </w:rPr>
  </w:style>
  <w:style w:type="numbering" w:customStyle="1" w:styleId="Headings">
    <w:name w:val="Headings"/>
    <w:uiPriority w:val="99"/>
    <w:pPr>
      <w:numPr>
        <w:numId w:val="14"/>
      </w:numPr>
    </w:pPr>
  </w:style>
  <w:style w:type="character" w:styleId="Hyperlink">
    <w:name w:val="Hyperlink"/>
    <w:basedOn w:val="DefaultParagraphFont"/>
    <w:uiPriority w:val="99"/>
    <w:unhideWhenUsed/>
    <w:rPr>
      <w:color w:val="0000FF"/>
      <w:u w:val="single"/>
    </w:rPr>
  </w:style>
  <w:style w:type="character" w:styleId="IntenseEmphasis">
    <w:name w:val="Intense Emphasis"/>
    <w:basedOn w:val="DefaultParagraphFont"/>
    <w:uiPriority w:val="21"/>
    <w:unhideWhenUsed/>
    <w:rPr>
      <w:rFonts w:ascii="Times New Roman" w:hAnsi="Times New Roman"/>
      <w:i/>
      <w:iCs/>
      <w:color w:val="auto"/>
    </w:rPr>
  </w:style>
  <w:style w:type="character" w:styleId="IntenseReference">
    <w:name w:val="Intense Reference"/>
    <w:basedOn w:val="DefaultParagraphFont"/>
    <w:uiPriority w:val="32"/>
    <w:qFormat/>
    <w:rPr>
      <w:b/>
      <w:bCs/>
      <w:smallCaps/>
      <w:color w:val="auto"/>
      <w:spacing w:val="5"/>
    </w:rPr>
  </w:style>
  <w:style w:type="character" w:styleId="LineNumber">
    <w:name w:val="line number"/>
    <w:basedOn w:val="DefaultParagraphFont"/>
    <w:uiPriority w:val="99"/>
    <w:semiHidden/>
    <w:unhideWhenUsed/>
  </w:style>
  <w:style w:type="character" w:customStyle="1" w:styleId="Heading3Char">
    <w:name w:val="Heading 3 Char"/>
    <w:basedOn w:val="DefaultParagraphFont"/>
    <w:link w:val="Heading3"/>
    <w:uiPriority w:val="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Pr>
      <w:rFonts w:ascii="Times New Roman" w:eastAsiaTheme="majorEastAsia" w:hAnsi="Times New Roman" w:cstheme="majorBidi"/>
      <w:b/>
      <w:iCs/>
      <w:sz w:val="24"/>
      <w:szCs w:val="24"/>
    </w:rPr>
  </w:style>
  <w:style w:type="paragraph" w:styleId="NormalWeb">
    <w:name w:val="Normal (Web)"/>
    <w:basedOn w:val="Normal"/>
    <w:uiPriority w:val="99"/>
    <w:unhideWhenUsed/>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hAnsi="Times New Roman"/>
      <w:i/>
      <w:iCs/>
      <w:color w:val="404040" w:themeColor="text1" w:themeTint="BF"/>
      <w:sz w:val="24"/>
    </w:rPr>
  </w:style>
  <w:style w:type="character" w:styleId="Strong">
    <w:name w:val="Strong"/>
    <w:basedOn w:val="DefaultParagraphFont"/>
    <w:uiPriority w:val="22"/>
    <w:qFormat/>
    <w:rPr>
      <w:rFonts w:ascii="Times New Roman" w:hAnsi="Times New Roman"/>
      <w:b/>
      <w:bCs/>
    </w:rPr>
  </w:style>
  <w:style w:type="character" w:styleId="SubtleEmphasis">
    <w:name w:val="Subtle Emphasis"/>
    <w:basedOn w:val="DefaultParagraphFont"/>
    <w:uiPriority w:val="19"/>
    <w:qFormat/>
    <w:rPr>
      <w:rFonts w:ascii="Times New Roman" w:hAnsi="Times New Roman"/>
      <w:i/>
      <w:iCs/>
      <w:color w:val="404040" w:themeColor="text1" w:themeTint="BF"/>
    </w:rPr>
  </w:style>
  <w:style w:type="table" w:styleId="TableGrid">
    <w:name w:val="Table Grid"/>
    <w:basedOn w:val="TableNormal"/>
    <w:uiPriority w:val="59"/>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character" w:customStyle="1" w:styleId="TitleChar">
    <w:name w:val="Title Char"/>
    <w:basedOn w:val="DefaultParagraphFont"/>
    <w:link w:val="Title"/>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492434-F37E-4C22-8870-A1DEAEB4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7</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Anyamanee</cp:lastModifiedBy>
  <cp:revision>2</cp:revision>
  <cp:lastPrinted>2013-10-03T12:51:00Z</cp:lastPrinted>
  <dcterms:created xsi:type="dcterms:W3CDTF">2021-03-31T13:37:00Z</dcterms:created>
  <dcterms:modified xsi:type="dcterms:W3CDTF">2021-03-31T13:37:00Z</dcterms:modified>
</cp:coreProperties>
</file>