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16C7D17A" w:rsidR="00654E8F" w:rsidRDefault="00654E8F" w:rsidP="0001436A">
      <w:pPr>
        <w:pStyle w:val="SupplementaryMaterial"/>
      </w:pPr>
      <w:r w:rsidRPr="001549D3">
        <w:t>Supplementary Material</w:t>
      </w:r>
    </w:p>
    <w:p w14:paraId="31B42AF2" w14:textId="77777777" w:rsidR="00DE7F93" w:rsidRDefault="00DE7F93" w:rsidP="00DE7F93">
      <w:pPr>
        <w:pStyle w:val="Default"/>
        <w:spacing w:line="480" w:lineRule="auto"/>
        <w:jc w:val="center"/>
        <w:rPr>
          <w:bCs/>
          <w:i/>
          <w:iCs/>
        </w:rPr>
      </w:pPr>
      <w:r>
        <w:rPr>
          <w:b/>
        </w:rPr>
        <w:t>Relationship</w:t>
      </w:r>
      <w:r w:rsidRPr="002D2E3D">
        <w:rPr>
          <w:b/>
        </w:rPr>
        <w:t xml:space="preserve"> of soluble interleukin-6 receptors </w:t>
      </w:r>
      <w:r>
        <w:rPr>
          <w:b/>
        </w:rPr>
        <w:t>with</w:t>
      </w:r>
      <w:r w:rsidRPr="002D2E3D">
        <w:rPr>
          <w:b/>
        </w:rPr>
        <w:t xml:space="preserve"> asthma: A Mendelian randomization study</w:t>
      </w:r>
    </w:p>
    <w:p w14:paraId="67E046F3" w14:textId="77777777" w:rsidR="00DE7F93" w:rsidRPr="005D4CB8" w:rsidRDefault="00DE7F93" w:rsidP="00DE7F93">
      <w:pPr>
        <w:pStyle w:val="CommentText"/>
        <w:spacing w:line="480" w:lineRule="auto"/>
        <w:rPr>
          <w:b/>
        </w:rPr>
      </w:pPr>
    </w:p>
    <w:p w14:paraId="220ECB98" w14:textId="50F76EB6" w:rsidR="00DE7F93" w:rsidRPr="00FE6C90" w:rsidRDefault="00DE7F93" w:rsidP="00DE7F93">
      <w:pPr>
        <w:pStyle w:val="Default"/>
        <w:spacing w:line="480" w:lineRule="auto"/>
      </w:pPr>
      <w:r w:rsidRPr="005D4CB8">
        <w:rPr>
          <w:b/>
        </w:rPr>
        <w:t>Authors</w:t>
      </w:r>
      <w:r w:rsidRPr="005D4CB8">
        <w:t xml:space="preserve">: </w:t>
      </w:r>
      <w:r w:rsidRPr="00FE6C90">
        <w:t>Yoshihiko Raita, MD, MPH</w:t>
      </w:r>
      <w:r>
        <w:t>, MMSc</w:t>
      </w:r>
      <w:r w:rsidRPr="00FE6C90">
        <w:t xml:space="preserve">; </w:t>
      </w:r>
      <w:r>
        <w:t xml:space="preserve">Zhaozhong Zhu, ScD; </w:t>
      </w:r>
      <w:r w:rsidRPr="00FE6C90">
        <w:rPr>
          <w:color w:val="000000" w:themeColor="text1"/>
        </w:rPr>
        <w:t>Carlos</w:t>
      </w:r>
      <w:r w:rsidRPr="00FE6C90">
        <w:t xml:space="preserve"> A. Camargo, Jr., MD, DrPH; Robert J. Freishtat, MD</w:t>
      </w:r>
      <w:r>
        <w:t xml:space="preserve">, MPH; Debby Ngo, MD; Liming Liang, PhD; </w:t>
      </w:r>
      <w:r w:rsidRPr="00FE6C90">
        <w:t>and Kohei Hasegawa, MD, MPH</w:t>
      </w:r>
    </w:p>
    <w:p w14:paraId="2CA54E9A" w14:textId="77777777" w:rsidR="00DE7F93" w:rsidRDefault="00DE7F93" w:rsidP="00DE7F93">
      <w:pPr>
        <w:spacing w:line="480" w:lineRule="auto"/>
      </w:pPr>
    </w:p>
    <w:p w14:paraId="5CC52F41" w14:textId="77777777" w:rsidR="00DE7F93" w:rsidRPr="00D51497" w:rsidRDefault="00DE7F93" w:rsidP="00DE7F93">
      <w:pPr>
        <w:spacing w:line="480" w:lineRule="auto"/>
        <w:jc w:val="center"/>
        <w:rPr>
          <w:b/>
          <w:bCs/>
        </w:rPr>
      </w:pPr>
      <w:r w:rsidRPr="00D51497">
        <w:rPr>
          <w:b/>
          <w:bCs/>
        </w:rPr>
        <w:t>CONTENTS</w:t>
      </w:r>
    </w:p>
    <w:p w14:paraId="13B2AB21" w14:textId="52EDBAC0" w:rsidR="00DE7F93" w:rsidRPr="006829E7" w:rsidRDefault="006652F7" w:rsidP="00DE7F93">
      <w:pPr>
        <w:spacing w:line="480" w:lineRule="auto"/>
      </w:pPr>
      <w:r>
        <w:rPr>
          <w:b/>
        </w:rPr>
        <w:t xml:space="preserve">Supplementary Methods </w:t>
      </w:r>
      <w:r w:rsidR="00DE7F93" w:rsidRPr="000B226F">
        <w:rPr>
          <w:bCs/>
        </w:rPr>
        <w:t>………</w:t>
      </w:r>
      <w:r w:rsidR="00DE7F93">
        <w:rPr>
          <w:bCs/>
        </w:rPr>
        <w:t>……</w:t>
      </w:r>
      <w:r w:rsidR="004B4F93">
        <w:rPr>
          <w:bCs/>
        </w:rPr>
        <w:t>……..</w:t>
      </w:r>
      <w:r w:rsidR="00DE7F93">
        <w:rPr>
          <w:bCs/>
        </w:rPr>
        <w:t>………………………………..…………………...…...…………2</w:t>
      </w:r>
    </w:p>
    <w:p w14:paraId="485BD4A6" w14:textId="1635B1FB" w:rsidR="00DE7F93" w:rsidRPr="000B226F" w:rsidRDefault="00DE7F93" w:rsidP="00DE7F93">
      <w:pPr>
        <w:pStyle w:val="EndNoteBibliography"/>
        <w:spacing w:line="480" w:lineRule="auto"/>
        <w:outlineLvl w:val="0"/>
        <w:rPr>
          <w:rFonts w:ascii="Times New Roman" w:hAnsi="Times New Roman" w:cs="Times New Roman"/>
          <w:bCs/>
        </w:rPr>
      </w:pPr>
      <w:r w:rsidRPr="00926397">
        <w:rPr>
          <w:rFonts w:ascii="Times New Roman" w:hAnsi="Times New Roman" w:cs="Times New Roman"/>
          <w:b/>
        </w:rPr>
        <w:t>S</w:t>
      </w:r>
      <w:r>
        <w:rPr>
          <w:rFonts w:ascii="Times New Roman" w:hAnsi="Times New Roman" w:cs="Times New Roman"/>
          <w:b/>
        </w:rPr>
        <w:t>upplementa</w:t>
      </w:r>
      <w:r w:rsidR="006652F7">
        <w:rPr>
          <w:rFonts w:ascii="Times New Roman" w:hAnsi="Times New Roman" w:cs="Times New Roman"/>
          <w:b/>
        </w:rPr>
        <w:t>ry</w:t>
      </w:r>
      <w:r>
        <w:rPr>
          <w:rFonts w:ascii="Times New Roman" w:hAnsi="Times New Roman" w:cs="Times New Roman"/>
          <w:b/>
        </w:rPr>
        <w:t xml:space="preserve"> References</w:t>
      </w:r>
      <w:r w:rsidRPr="000B226F">
        <w:rPr>
          <w:rFonts w:ascii="Times New Roman" w:hAnsi="Times New Roman" w:cs="Times New Roman"/>
          <w:bCs/>
        </w:rPr>
        <w:t>……</w:t>
      </w:r>
      <w:r>
        <w:rPr>
          <w:rFonts w:ascii="Times New Roman" w:hAnsi="Times New Roman" w:cs="Times New Roman"/>
          <w:bCs/>
        </w:rPr>
        <w:t>……</w:t>
      </w:r>
      <w:r w:rsidR="004B4F93">
        <w:rPr>
          <w:rFonts w:ascii="Times New Roman" w:hAnsi="Times New Roman" w:cs="Times New Roman"/>
          <w:bCs/>
        </w:rPr>
        <w:t>…….</w:t>
      </w:r>
      <w:r w:rsidRPr="000B226F">
        <w:rPr>
          <w:rFonts w:ascii="Times New Roman" w:hAnsi="Times New Roman" w:cs="Times New Roman"/>
          <w:bCs/>
        </w:rPr>
        <w:t>…………………………………………………</w:t>
      </w:r>
      <w:r>
        <w:rPr>
          <w:rFonts w:ascii="Times New Roman" w:hAnsi="Times New Roman" w:cs="Times New Roman"/>
          <w:bCs/>
        </w:rPr>
        <w:t>......</w:t>
      </w:r>
      <w:r w:rsidRPr="000B226F">
        <w:rPr>
          <w:rFonts w:ascii="Times New Roman" w:hAnsi="Times New Roman" w:cs="Times New Roman"/>
          <w:bCs/>
        </w:rPr>
        <w:t>………</w:t>
      </w:r>
      <w:r>
        <w:rPr>
          <w:rFonts w:ascii="Times New Roman" w:hAnsi="Times New Roman" w:cs="Times New Roman"/>
          <w:bCs/>
        </w:rPr>
        <w:t>…</w:t>
      </w:r>
      <w:r w:rsidR="00AB5C92">
        <w:rPr>
          <w:rFonts w:ascii="Times New Roman" w:hAnsi="Times New Roman" w:cs="Times New Roman"/>
          <w:bCs/>
        </w:rPr>
        <w:t>..</w:t>
      </w:r>
      <w:r>
        <w:rPr>
          <w:rFonts w:ascii="Times New Roman" w:hAnsi="Times New Roman" w:cs="Times New Roman"/>
          <w:bCs/>
        </w:rPr>
        <w:t>…..</w:t>
      </w:r>
      <w:r w:rsidR="00AB5C92">
        <w:rPr>
          <w:rFonts w:ascii="Times New Roman" w:hAnsi="Times New Roman" w:cs="Times New Roman"/>
          <w:bCs/>
        </w:rPr>
        <w:t>4</w:t>
      </w:r>
    </w:p>
    <w:p w14:paraId="05F9BEF9" w14:textId="1F2083B0" w:rsidR="00DE7F93" w:rsidRPr="001C5833" w:rsidRDefault="006C5F76" w:rsidP="00DE7F93">
      <w:pPr>
        <w:pStyle w:val="BodyText"/>
      </w:pPr>
      <w:r>
        <w:rPr>
          <w:b/>
          <w:bCs/>
        </w:rPr>
        <w:t>Supplementary T</w:t>
      </w:r>
      <w:r w:rsidR="00DE7F93" w:rsidRPr="009D02B1">
        <w:rPr>
          <w:b/>
          <w:bCs/>
        </w:rPr>
        <w:t>able 1</w:t>
      </w:r>
      <w:r w:rsidR="00DE7F93">
        <w:rPr>
          <w:b/>
          <w:bCs/>
        </w:rPr>
        <w:t xml:space="preserve">. </w:t>
      </w:r>
      <w:r w:rsidR="00DE7F93" w:rsidRPr="00E350F6">
        <w:t>Characteristics of the selected 32 variants strongly associated with soluble interleukin-6 receptors level (P</w:t>
      </w:r>
      <w:r w:rsidR="00DE7F93" w:rsidRPr="00E350F6">
        <w:rPr>
          <w:vertAlign w:val="subscript"/>
        </w:rPr>
        <w:t>GWAS</w:t>
      </w:r>
      <m:oMath>
        <m:r>
          <w:rPr>
            <w:rFonts w:ascii="Cambria Math" w:hAnsi="Cambria Math"/>
            <w:vertAlign w:val="subscript"/>
          </w:rPr>
          <m:t>&lt;</m:t>
        </m:r>
      </m:oMath>
      <w:r w:rsidR="00DE7F93" w:rsidRPr="00E350F6">
        <w:t>5</w:t>
      </w:r>
      <m:oMath>
        <m:r>
          <w:rPr>
            <w:rFonts w:ascii="Cambria Math" w:hAnsi="Cambria Math"/>
          </w:rPr>
          <m:t>×</m:t>
        </m:r>
      </m:oMath>
      <w:r w:rsidR="00DE7F93" w:rsidRPr="00E350F6">
        <w:t>10</w:t>
      </w:r>
      <w:r w:rsidR="00DE7F93" w:rsidRPr="00E350F6">
        <w:rPr>
          <w:vertAlign w:val="superscript"/>
        </w:rPr>
        <w:t>-6</w:t>
      </w:r>
      <w:r w:rsidR="00DE7F93" w:rsidRPr="00E350F6">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vertAlign w:val="superscript"/>
          </w:rPr>
          <m:t>&lt;</m:t>
        </m:r>
      </m:oMath>
      <w:r w:rsidR="00DE7F93" w:rsidRPr="00E350F6">
        <w:t>0.1)</w:t>
      </w:r>
      <w:r w:rsidR="00DE7F93">
        <w:t>……</w:t>
      </w:r>
      <w:r w:rsidR="004B4F93">
        <w:t>…</w:t>
      </w:r>
      <w:r w:rsidR="00DE7F93">
        <w:t>………………………</w:t>
      </w:r>
      <w:r w:rsidR="00AB5C92">
        <w:t>….</w:t>
      </w:r>
      <w:r w:rsidR="00DE7F93">
        <w:t>………………………</w:t>
      </w:r>
      <w:r w:rsidR="00AB5C92">
        <w:t>.6</w:t>
      </w:r>
    </w:p>
    <w:p w14:paraId="5FD57F1D" w14:textId="2BEE0244" w:rsidR="00B0068A" w:rsidRPr="00917A3F" w:rsidRDefault="00B0068A" w:rsidP="00B0068A">
      <w:pPr>
        <w:pStyle w:val="BodyText"/>
        <w:rPr>
          <w:b/>
          <w:bCs/>
        </w:rPr>
      </w:pPr>
      <w:r>
        <w:rPr>
          <w:b/>
          <w:bCs/>
        </w:rPr>
        <w:t>Supplementary Figure 1</w:t>
      </w:r>
      <w:r w:rsidRPr="009E5748">
        <w:rPr>
          <w:rFonts w:eastAsia="MS Mincho"/>
          <w:b/>
          <w:bCs/>
        </w:rPr>
        <w:t>.</w:t>
      </w:r>
      <w:r w:rsidRPr="004B4F93">
        <w:rPr>
          <w:rFonts w:eastAsia="MS Mincho"/>
        </w:rPr>
        <w:t xml:space="preserve"> </w:t>
      </w:r>
      <w:r w:rsidRPr="004B4F93">
        <w:t>Mendelian randomization estimates for the effect of soluble interleukin-6 receptors on overall asthma outcome using different thresholds</w:t>
      </w:r>
      <w:r>
        <w:t>………</w:t>
      </w:r>
      <w:r w:rsidR="004B4F93">
        <w:t>…</w:t>
      </w:r>
      <w:r>
        <w:t>…………………………………………………</w:t>
      </w:r>
      <w:r w:rsidR="00AB5C92">
        <w:t>8</w:t>
      </w:r>
    </w:p>
    <w:p w14:paraId="592001B0" w14:textId="77777777" w:rsidR="00DE7F93" w:rsidRDefault="00DE7F93" w:rsidP="00DE7F93">
      <w:pPr>
        <w:spacing w:line="480" w:lineRule="auto"/>
        <w:rPr>
          <w:b/>
        </w:rPr>
      </w:pPr>
    </w:p>
    <w:p w14:paraId="3BEDB5B9" w14:textId="77777777" w:rsidR="00DE7F93" w:rsidRDefault="00DE7F93" w:rsidP="00DE7F93">
      <w:pPr>
        <w:spacing w:line="480" w:lineRule="auto"/>
        <w:rPr>
          <w:b/>
        </w:rPr>
      </w:pPr>
      <w:r>
        <w:rPr>
          <w:b/>
        </w:rPr>
        <w:br w:type="page"/>
      </w:r>
    </w:p>
    <w:p w14:paraId="29614C8E" w14:textId="77777777" w:rsidR="00DE7F93" w:rsidRDefault="00DE7F93" w:rsidP="004B4F93">
      <w:r w:rsidRPr="00926397">
        <w:rPr>
          <w:b/>
        </w:rPr>
        <w:lastRenderedPageBreak/>
        <w:t xml:space="preserve">METHODS </w:t>
      </w:r>
    </w:p>
    <w:p w14:paraId="14C2AEF7" w14:textId="77777777" w:rsidR="00DE7F93" w:rsidRPr="00110D2B" w:rsidRDefault="00DE7F93" w:rsidP="004B4F93">
      <w:pPr>
        <w:pStyle w:val="NoSpacing"/>
        <w:rPr>
          <w:b/>
          <w:bCs/>
        </w:rPr>
      </w:pPr>
      <w:r w:rsidRPr="00110D2B">
        <w:rPr>
          <w:b/>
          <w:bCs/>
        </w:rPr>
        <w:t>Data Summary, Quality Control, and Imputation of Genotyping Data</w:t>
      </w:r>
    </w:p>
    <w:p w14:paraId="0BBF093C" w14:textId="77777777" w:rsidR="00DE7F93" w:rsidRPr="00C43185" w:rsidRDefault="00DE7F93" w:rsidP="004B4F93">
      <w:pPr>
        <w:pStyle w:val="NoSpacing"/>
        <w:rPr>
          <w:i/>
          <w:iCs/>
        </w:rPr>
      </w:pPr>
      <w:r>
        <w:rPr>
          <w:rFonts w:hint="eastAsia"/>
          <w:i/>
          <w:iCs/>
        </w:rPr>
        <w:t>T</w:t>
      </w:r>
      <w:r>
        <w:rPr>
          <w:i/>
          <w:iCs/>
        </w:rPr>
        <w:t>he INTERVAL study</w:t>
      </w:r>
    </w:p>
    <w:p w14:paraId="3AD1EB8F" w14:textId="2E6308E4" w:rsidR="00DE7F93" w:rsidRPr="007D12A0" w:rsidRDefault="00DE7F93" w:rsidP="004B4F93">
      <w:pPr>
        <w:pStyle w:val="NormalWeb"/>
        <w:ind w:firstLine="720"/>
        <w:rPr>
          <w:rFonts w:ascii="Times" w:hAnsi="Times"/>
        </w:rPr>
      </w:pPr>
      <w:r w:rsidRPr="003F6B85">
        <w:t>Detailed</w:t>
      </w:r>
      <w:r>
        <w:t xml:space="preserve"> information of </w:t>
      </w:r>
      <w:r>
        <w:rPr>
          <w:color w:val="000000"/>
        </w:rPr>
        <w:t xml:space="preserve">the </w:t>
      </w:r>
      <w:r>
        <w:rPr>
          <w:color w:val="000000"/>
          <w:lang w:eastAsia="ja-JP"/>
        </w:rPr>
        <w:t>INTERVAL</w:t>
      </w:r>
      <w:r>
        <w:rPr>
          <w:rFonts w:hint="eastAsia"/>
          <w:color w:val="000000"/>
          <w:lang w:eastAsia="ja-JP"/>
        </w:rPr>
        <w:t xml:space="preserve"> </w:t>
      </w:r>
      <w:r>
        <w:rPr>
          <w:color w:val="000000"/>
          <w:lang w:eastAsia="ja-JP"/>
        </w:rPr>
        <w:t>study</w:t>
      </w:r>
      <w:r>
        <w:rPr>
          <w:rFonts w:hint="eastAsia"/>
          <w:lang w:eastAsia="ja-JP"/>
        </w:rPr>
        <w:t xml:space="preserve"> </w:t>
      </w:r>
      <w:r>
        <w:t>was described elsewhere</w:t>
      </w:r>
      <w:r w:rsidR="004B4F93">
        <w:t xml:space="preserve"> </w:t>
      </w:r>
      <w:r>
        <w:fldChar w:fldCharType="begin"/>
      </w:r>
      <w:r w:rsidR="006E20E9">
        <w:instrText xml:space="preserve"> ADDIN ZOTERO_ITEM CSL_CITATION {"citationID":"a5u2jemm2j","properties":{"formattedCitation":"(1)","plainCitation":"(1)","noteIndex":0},"citationItems":[{"id":3588,"uris":["http://zotero.org/users/5054820/items/HEKL89KD"],"uri":["http://zotero.org/users/5054820/items/HEKL89KD"],"itemData":{"id":3588,"type":"article-journal","abstract":"Although plasma proteins have important roles in biological processes and are the direct targets of many drugs, the genetic factors that control inter-individual variation in plasma protein levels are not well understood. Here we characterize the genetic architecture of the human plasma proteome in healthy blood donors from the INTERVAL study. We identify 1,927 genetic associations with 1,478 proteins, a fourfold increase on existing knowledge, including trans associations for 1,104 proteins. To understand the consequences of perturbations in plasma protein levels, we apply an integrated approach that links genetic variation with biological pathway, disease, and drug databases. We show that protein quantitative trait loci overlap with gene expression quantitative trait loci, as well as with disease-associated loci, and find evidence that protein biomarkers have causal roles in disease using Mendelian randomization analysis. By linking genetic factors to diseases via specific proteins, our analyses highlight potential therapeutic targets, opportunities for matching existing drugs with new disease indications, and potential safety concerns for drugs under development.","container-title":"Nature","DOI":"10.1038/s41586-018-0175-2","ISSN":"1476-4687","issue":"7708","journalAbbreviation":"Nature","language":"eng","note":"PMID: 29875488\nPMCID: PMC6697541","page":"73-79","source":"PubMed","title":"Genomic atlas of the human plasma proteome","volume":"558","author":[{"family":"Sun","given":"Benjamin B."},{"family":"Maranville","given":"Joseph C."},{"family":"Peters","given":"James E."},{"family":"Stacey","given":"David"},{"family":"Staley","given":"James R."},{"family":"Blackshaw","given":"James"},{"family":"Burgess","given":"Stephen"},{"family":"Jiang","given":"Tao"},{"family":"Paige","given":"Ellie"},{"family":"Surendran","given":"Praveen"},{"family":"Oliver-Williams","given":"Clare"},{"family":"Kamat","given":"Mihir A."},{"family":"Prins","given":"Bram P."},{"family":"Wilcox","given":"Sheri K."},{"family":"Zimmerman","given":"Erik S."},{"family":"Chi","given":"An"},{"family":"Bansal","given":"Narinder"},{"family":"Spain","given":"Sarah L."},{"family":"Wood","given":"Angela M."},{"family":"Morrell","given":"Nicholas W."},{"family":"Bradley","given":"John R."},{"family":"Janjic","given":"Nebojsa"},{"family":"Roberts","given":"David J."},{"family":"Ouwehand","given":"Willem H."},{"family":"Todd","given":"John A."},{"family":"Soranzo","given":"Nicole"},{"family":"Suhre","given":"Karsten"},{"family":"Paul","given":"Dirk S."},{"family":"Fox","given":"Caroline S."},{"family":"Plenge","given":"Robert M."},{"family":"Danesh","given":"John"},{"family":"Runz","given":"Heiko"},{"family":"Butterworth","given":"Adam S."}],"issued":{"date-parts":[["2018"]]}}}],"schema":"https://github.com/citation-style-language/schema/raw/master/csl-citation.json"} </w:instrText>
      </w:r>
      <w:r>
        <w:fldChar w:fldCharType="separate"/>
      </w:r>
      <w:r w:rsidR="006E20E9">
        <w:t>(1)</w:t>
      </w:r>
      <w:r>
        <w:fldChar w:fldCharType="end"/>
      </w:r>
      <w:r w:rsidR="004B4F93">
        <w:t>.</w:t>
      </w:r>
      <w:r>
        <w:t xml:space="preserve"> In brief, approximately 5</w:t>
      </w:r>
      <w:r w:rsidRPr="003D411E">
        <w:rPr>
          <w:color w:val="000000"/>
          <w:shd w:val="clear" w:color="auto" w:fill="FFFFFF"/>
        </w:rPr>
        <w:t xml:space="preserve">0,000 </w:t>
      </w:r>
      <w:r w:rsidRPr="001E60BA">
        <w:rPr>
          <w:color w:val="000000"/>
          <w:shd w:val="clear" w:color="auto" w:fill="FFFFFF"/>
        </w:rPr>
        <w:t xml:space="preserve">blood donors aged </w:t>
      </w:r>
      <m:oMath>
        <m:r>
          <w:rPr>
            <w:rFonts w:ascii="Cambria Math" w:hAnsi="Cambria Math"/>
            <w:color w:val="000000"/>
            <w:shd w:val="clear" w:color="auto" w:fill="FFFFFF"/>
          </w:rPr>
          <m:t>≥</m:t>
        </m:r>
      </m:oMath>
      <w:r w:rsidRPr="001E60BA">
        <w:rPr>
          <w:color w:val="000000"/>
          <w:shd w:val="clear" w:color="auto" w:fill="FFFFFF"/>
        </w:rPr>
        <w:t xml:space="preserve">18 years were recruited at 25 </w:t>
      </w:r>
      <w:r>
        <w:rPr>
          <w:color w:val="000000"/>
          <w:shd w:val="clear" w:color="auto" w:fill="FFFFFF"/>
        </w:rPr>
        <w:t>centers</w:t>
      </w:r>
      <w:r w:rsidRPr="001E60BA">
        <w:rPr>
          <w:color w:val="000000"/>
          <w:shd w:val="clear" w:color="auto" w:fill="FFFFFF"/>
        </w:rPr>
        <w:t xml:space="preserve"> of England’s National Health Service Blood and Transplant </w:t>
      </w:r>
      <w:r>
        <w:rPr>
          <w:color w:val="000000"/>
          <w:shd w:val="clear" w:color="auto" w:fill="FFFFFF"/>
        </w:rPr>
        <w:t>from 2012 to 2014</w:t>
      </w:r>
      <w:r w:rsidRPr="001E60BA">
        <w:rPr>
          <w:color w:val="000000"/>
          <w:shd w:val="clear" w:color="auto" w:fill="FFFFFF"/>
        </w:rPr>
        <w:t>.</w:t>
      </w:r>
      <w:r>
        <w:rPr>
          <w:color w:val="000000"/>
          <w:shd w:val="clear" w:color="auto" w:fill="FFFFFF"/>
        </w:rPr>
        <w:t xml:space="preserve"> For proteomic profiling, randomly selected two non-overlapping sub</w:t>
      </w:r>
      <w:r>
        <w:rPr>
          <w:rFonts w:hint="eastAsia"/>
          <w:color w:val="000000"/>
          <w:shd w:val="clear" w:color="auto" w:fill="FFFFFF"/>
          <w:lang w:eastAsia="ja-JP"/>
        </w:rPr>
        <w:t>c</w:t>
      </w:r>
      <w:r>
        <w:rPr>
          <w:color w:val="000000"/>
          <w:shd w:val="clear" w:color="auto" w:fill="FFFFFF"/>
        </w:rPr>
        <w:t>ohorts of 2,731 and 831 participants of European ancestry were enrolled. The levels of 2,994 plasma proteins were measured by the use of</w:t>
      </w:r>
      <w:r w:rsidRPr="003D411E">
        <w:t xml:space="preserve"> </w:t>
      </w:r>
      <w:r>
        <w:t>SomaLogic assays</w:t>
      </w:r>
      <w:r w:rsidRPr="003D411E">
        <w:t>, a validated high-throughput and aptamer-based method</w:t>
      </w:r>
      <w:r w:rsidR="004B4F93">
        <w:t xml:space="preserve"> </w:t>
      </w:r>
      <w:r>
        <w:fldChar w:fldCharType="begin"/>
      </w:r>
      <w:r w:rsidR="006E20E9">
        <w:instrText xml:space="preserve"> ADDIN ZOTERO_ITEM CSL_CITATION {"citationID":"a1niffbsd4q","properties":{"formattedCitation":"(2\\uc0\\u8211{}4)","plainCitation":"(2–4)","noteIndex":0},"citationItems":[{"id":2607,"uris":["http://zotero.org/users/5054820/items/UV267RZI"],"uri":["http://zotero.org/users/5054820/items/UV267RZI"],"itemData":{"id":2607,"type":"article-journal","abstract":"BACKGROUND: Single-stranded DNA aptamers are oligonucleotides of ≈50 base pairs in length selected for their ability to bind proteins with high specificity and affinity. Emerging DNA aptamer-based technologies may address limitations of existing proteomic techniques, including low sample throughput, which have hindered proteomic analyses of large cohorts.\nMETHODS: To identify early biomarkers of myocardial injury, we applied an aptamer-based proteomic platform that measures 1129 proteins to a clinically relevant perturbational model of planned myocardial infarction (PMI), patients undergoing septal ablation for hypertrophic cardiomyopathy. Blood samples were obtained before and at 10 and 60 minutes after PMI, and protein changes were assessed by repeated-measures analysis of variance. The generalizability of our PMI findings was evaluated in a spontaneous myocardial infarction cohort (Wilcoxon rank-sum). We then tested the platform's ability to detect associations between proteins and Framingham Risk Score components in the Framingham Heart Study, performing regression analyses for each protein versus each clinical trait.\nRESULTS: We found 217 proteins that significantly changed in the peripheral vein blood after PMI in a derivation cohort (n=15; P&lt;5.70E-5). Seventy-nine of these proteins were validated in an independent PMI cohort (n=15; P&lt;2.30E-4); &gt;85% were directionally consistent and reached nominal significance. We detected many protein changes that are novel in the context of myocardial injury, including Dickkopf-related protein 4, a WNT pathway inhibitor (peak increase 124%, P=1.29E-15) and cripto, a growth factor important in cardiac development (peak increase 64%, P=1.74E-4). Among the 40 validated proteins that increased within 1 hour after PMI, 23 were also elevated in patients with spontaneous myocardial infarction (n=46; P&lt;0.05). Framingham Heart Study analyses revealed 156 significant protein associations with the Framingham Risk Score (n=899), including aminoacylase 1 (β=0.3386, P=2.54E-22) and trigger factor 2 (β=0.2846, P=5.71E-17). Furthermore, we developed a novel workflow integrating DNA-based immunoaffinity with mass spectrometry to analytically validate aptamer specificity.\nCONCLUSIONS: Our results highlight an emerging proteomics tool capable of profiling &gt;1000 low-abundance analytes with high sensitivity and high precision, applicable both to well-phenotyped perturbational studies and large human cohorts, as well.","container-title":"Circulation","DOI":"10.1161/CIRCULATIONAHA.116.021803","ISSN":"1524-4539","issue":"4","journalAbbreviation":"Circulation","language":"eng","note":"PMID: 27444932\nPMCID: PMC4963294","page":"270-285","source":"PubMed","title":"Aptamer-Based Proteomic Profiling Reveals Novel Candidate Biomarkers and Pathways in Cardiovascular Disease","volume":"134","author":[{"family":"Ngo","given":"Debby"},{"family":"Sinha","given":"Sumita"},{"family":"Shen","given":"Dongxiao"},{"family":"Kuhn","given":"Eric W."},{"family":"Keyes","given":"Michelle J."},{"family":"Shi","given":"Xu"},{"family":"Benson","given":"Mark D."},{"family":"O'Sullivan","given":"John F."},{"family":"Keshishian","given":"Hasmik"},{"family":"Farrell","given":"Laurie A."},{"family":"Fifer","given":"Michael A."},{"family":"Vasan","given":"Ramachandran S."},{"family":"Sabatine","given":"Marc S."},{"family":"Larson","given":"Martin G."},{"family":"Carr","given":"Steven A."},{"family":"Wang","given":"Thomas J."},{"family":"Gerszten","given":"Robert E."}],"issued":{"date-parts":[["2016",7,26]]}}},{"id":2600,"uris":["http://zotero.org/users/5054820/items/RP5NDW4S"],"uri":["http://zotero.org/users/5054820/items/RP5NDW4S"],"itemData":{"id":2600,"type":"article-journal","abstract":"Recently, we reported a SOMAmer-based, highly multiplexed assay for the purpose of biomarker identification. To enable seamless transition from highly multiplexed biomarker discovery assays to a format suitable and convenient for diagnostic and life-science applications, we developed a streamlined, plate-based version of the assay. The plate-based version of the assay is robust, sensitive (sub-picomolar), rapid, can be highly multiplexed (upwards of 60 analytes), and fully automated. We demonstrate that quantification by microarray-based hybridization, Luminex bead-based methods, and qPCR are each compatible with our platform, further expanding the breadth of proteomic applications for a wide user community.","container-title":"PloS One","DOI":"10.1371/journal.pone.0026332","ISSN":"1932-6203","issue":"10","journalAbbreviation":"PLoS ONE","language":"eng","note":"PMID: 22022604\nPMCID: PMC3195687","page":"e26332","source":"PubMed","title":"From SOMAmer-based biomarker discovery to diagnostic and clinical applications: a SOMAmer-based, streamlined multiplex proteomic assay","title-short":"From SOMAmer-based biomarker discovery to diagnostic and clinical applications","volume":"6","author":[{"family":"Kraemer","given":"Stephan"},{"family":"Vaught","given":"Jonathan D."},{"family":"Bock","given":"Christopher"},{"family":"Gold","given":"Larry"},{"family":"Katilius","given":"Evaldas"},{"family":"Keeney","given":"Tracy R."},{"family":"Kim","given":"Nancy"},{"family":"Saccomano","given":"Nicholas A."},{"family":"Wilcox","given":"Sheri K."},{"family":"Zichi","given":"Dom"},{"family":"Sanders","given":"Glenn M."}],"issued":{"date-parts":[["2011"]]}}},{"id":2730,"uris":["http://zotero.org/users/5054820/items/4E9YF4ME"],"uri":["http://zotero.org/users/5054820/items/4E9YF4ME"],"itemData":{"id":2730,"type":"article-journal","abstract":"Biomarkers are fundamental to nearly every step in the drug discovery and development process, from target validation in the laboratory, to patient stratification in the clinic. Recently, genomic discovery tools have had success in this area, but MS-based proteomic methods less so. This is due to difficulties in developing high throughput assays (ELISA, etc.) for triaging biomarker candidates against large clinical sample collections. However, the SomaLogic proteomics platform is ideally suited to this task. At the heart of the detection technology are SOMAmers (Slow Off-rate Modified Aptamers). They are modified DNA aptamers with high affinity (10</w:instrText>
      </w:r>
      <w:r w:rsidR="006E20E9">
        <w:rPr>
          <w:rFonts w:ascii="Cambria Math" w:hAnsi="Cambria Math" w:cs="Cambria Math"/>
        </w:rPr>
        <w:instrText>∧</w:instrText>
      </w:r>
      <w:r w:rsidR="006E20E9">
        <w:rPr>
          <w:rFonts w:hint="eastAsia"/>
        </w:rPr>
        <w:instrText>–</w:instrText>
      </w:r>
      <w:r w:rsidR="006E20E9">
        <w:instrText>9 to 10</w:instrText>
      </w:r>
      <w:r w:rsidR="006E20E9">
        <w:rPr>
          <w:rFonts w:ascii="Cambria Math" w:hAnsi="Cambria Math" w:cs="Cambria Math"/>
        </w:rPr>
        <w:instrText>∧</w:instrText>
      </w:r>
      <w:r w:rsidR="006E20E9">
        <w:rPr>
          <w:rFonts w:hint="eastAsia"/>
        </w:rPr>
        <w:instrText>–</w:instrText>
      </w:r>
      <w:r w:rsidR="006E20E9">
        <w:instrText xml:space="preserve">12 M) and high specificity for their cognate analytes. The assay is highly multiplexed, quantifying &gt;1100 proteins simultaneously from a single 65 uL sample. Sensitivity of the array is generally comparable to sandwich ELISA performance (median LLOQ 100 fM, LoD 40 fM). Samples from a wide variety of sources are amenable to analysis – from serum to CSF, cell/tumor extracts, synovial fluid, etc. Biomarker signatures can be defined in as little as 5 weeks and clinically actionable diagnostics in as little as 6 months. We are currently engaged in a number of clinical discovery applications (Phase 0–4) and have a large number of additional studies completed, in design or sample accrual. The technology and these applications will be discussed.","container-title":"Journal of Biomolecular Techniques : JBT","ISSN":"1524-0215","issue":"Suppl","journalAbbreviation":"J Biomol Tech","note":"PMID: null\nPMCID: PMC3635296","page":"S5","source":"PubMed Central","title":"SOMAmers and SOMAscan – A Protein Biomarker Discovery Platform for Rapid Analysis of Sample Collections From Bench Top to the Clinic","volume":"24","author":[{"family":"Hensley","given":"Preston"}],"issued":{"date-parts":[["2013",5]]}}}],"schema":"https://github.com/citation-style-language/schema/raw/master/csl-citation.json"} </w:instrText>
      </w:r>
      <w:r>
        <w:fldChar w:fldCharType="separate"/>
      </w:r>
      <w:r w:rsidR="006E20E9" w:rsidRPr="006E20E9">
        <w:t>(2–4)</w:t>
      </w:r>
      <w:r>
        <w:fldChar w:fldCharType="end"/>
      </w:r>
      <w:r w:rsidR="004B4F93">
        <w:t>.</w:t>
      </w:r>
      <w:r>
        <w:t xml:space="preserve"> Protein levels with relative fluorescent unit were transformed using natural log transformation and</w:t>
      </w:r>
      <w:r w:rsidRPr="001E2082">
        <w:t xml:space="preserve"> </w:t>
      </w:r>
      <w:r>
        <w:t>adjusted in a linear regression</w:t>
      </w:r>
      <w:r w:rsidRPr="001E2082">
        <w:t xml:space="preserve"> for age, sex, duration between blood draw and processing (binary, ≤1</w:t>
      </w:r>
      <w:r>
        <w:t xml:space="preserve"> vs. </w:t>
      </w:r>
      <w:r w:rsidRPr="001E2082">
        <w:t>&gt;1</w:t>
      </w:r>
      <w:r>
        <w:t xml:space="preserve"> </w:t>
      </w:r>
      <w:r w:rsidRPr="001E2082">
        <w:t>day)</w:t>
      </w:r>
      <w:r>
        <w:t>,</w:t>
      </w:r>
      <w:r w:rsidRPr="001E2082">
        <w:t xml:space="preserve"> and the first three principal components of ancestry from multi-dimensional scaling. </w:t>
      </w:r>
      <w:r>
        <w:t>The p</w:t>
      </w:r>
      <w:r w:rsidRPr="001E2082">
        <w:t xml:space="preserve">rotein residuals from this linear regression </w:t>
      </w:r>
      <w:r>
        <w:t xml:space="preserve">model </w:t>
      </w:r>
      <w:r w:rsidRPr="001E2082">
        <w:t>were then rank-inverse normalized</w:t>
      </w:r>
      <w:r>
        <w:t>,</w:t>
      </w:r>
      <w:r w:rsidRPr="001E2082">
        <w:t xml:space="preserve"> and used as</w:t>
      </w:r>
      <w:r>
        <w:t xml:space="preserve"> the</w:t>
      </w:r>
      <w:r w:rsidRPr="001E2082">
        <w:t xml:space="preserve"> phenotypes for</w:t>
      </w:r>
      <w:r>
        <w:t xml:space="preserve"> the</w:t>
      </w:r>
      <w:r w:rsidRPr="001E2082">
        <w:t xml:space="preserve"> </w:t>
      </w:r>
      <w:r>
        <w:t xml:space="preserve">genome-wide </w:t>
      </w:r>
      <w:r w:rsidRPr="001E2082">
        <w:t xml:space="preserve">association </w:t>
      </w:r>
      <w:r>
        <w:t>analysis</w:t>
      </w:r>
      <w:r w:rsidRPr="001E2082">
        <w:t xml:space="preserve">. </w:t>
      </w:r>
      <w:r>
        <w:rPr>
          <w:color w:val="000000"/>
          <w:shd w:val="clear" w:color="auto" w:fill="FFFFFF"/>
        </w:rPr>
        <w:t xml:space="preserve">After quality control (QC) for genotyping, 3,301 participants (2,481 and 820 in the two subcohorts) remained for the analysis. </w:t>
      </w:r>
      <w:r>
        <w:t>L</w:t>
      </w:r>
      <w:r w:rsidRPr="001E2082">
        <w:t xml:space="preserve">inear regression using an additive genetic model was used to test genetic associations. Association tests were </w:t>
      </w:r>
      <w:r>
        <w:t xml:space="preserve">conducted </w:t>
      </w:r>
      <w:r w:rsidRPr="001E2082">
        <w:t>on allelic dosages to account for imputation uncertainty (‘-method expected’ option) using SNPTEST v2.5.2</w:t>
      </w:r>
      <w:r w:rsidRPr="00DE406C">
        <w:t xml:space="preserve"> for </w:t>
      </w:r>
      <w:r w:rsidRPr="009F4BD9">
        <w:rPr>
          <w:rFonts w:ascii="Times" w:hAnsi="Times"/>
        </w:rPr>
        <w:t>10.6 million imputed autosomal variants</w:t>
      </w:r>
      <w:r w:rsidR="004B4F93">
        <w:rPr>
          <w:rFonts w:ascii="Times" w:hAnsi="Times"/>
        </w:rPr>
        <w:t xml:space="preserve"> </w:t>
      </w:r>
      <w:r>
        <w:rPr>
          <w:rFonts w:ascii="Times" w:hAnsi="Times"/>
        </w:rPr>
        <w:fldChar w:fldCharType="begin"/>
      </w:r>
      <w:r w:rsidR="006E20E9">
        <w:rPr>
          <w:rFonts w:ascii="Times" w:hAnsi="Times"/>
        </w:rPr>
        <w:instrText xml:space="preserve"> ADDIN ZOTERO_ITEM CSL_CITATION {"citationID":"a5l471olsr","properties":{"formattedCitation":"(5)","plainCitation":"(5)","noteIndex":0},"citationItems":[{"id":3600,"uris":["http://zotero.org/users/5054820/items/8NWLSWZW"],"uri":["http://zotero.org/users/5054820/items/8NWLSWZW"],"itemData":{"id":3600,"type":"article-journal","abstract":"Genome-wide association studies are set to become the method of choice for uncovering the genetic basis of human diseases. A central challenge in this area is the development of powerful multipoint methods that can detect causal variants that have not been directly genotyped. We propose a coherent analysis framework that treats the problem as one involving missing or uncertain genotypes. Central to our approach is a model-based imputation method for inferring genotypes at observed or unobserved SNPs, leading to improved power over existing methods for multipoint association mapping. Using real genome-wide association study data, we show that our approach (i) is accurate and well calibrated, (ii) provides detailed views of associated regions that facilitate follow-up studies and (iii) can be used to validate and correct data at genotyped markers. A notable future use of our method will be to boost power by combining data from genome-wide scans that use different SNP sets.","container-title":"Nature Genetics","DOI":"10.1038/ng2088","ISSN":"1061-4036","issue":"7","journalAbbreviation":"Nat Genet","language":"eng","note":"PMID: 17572673","page":"906-913","source":"PubMed","title":"A new multipoint method for genome-wide association studies by imputation of genotypes","volume":"39","author":[{"family":"Marchini","given":"Jonathan"},{"family":"Howie","given":"Bryan"},{"family":"Myers","given":"Simon"},{"family":"McVean","given":"Gil"},{"family":"Donnelly","given":"Peter"}],"issued":{"date-parts":[["2007",7]]}}}],"schema":"https://github.com/citation-style-language/schema/raw/master/csl-citation.json"} </w:instrText>
      </w:r>
      <w:r>
        <w:rPr>
          <w:rFonts w:ascii="Times" w:hAnsi="Times"/>
        </w:rPr>
        <w:fldChar w:fldCharType="separate"/>
      </w:r>
      <w:r w:rsidR="006E20E9">
        <w:rPr>
          <w:rFonts w:ascii="Times" w:hAnsi="Times"/>
        </w:rPr>
        <w:t>(5)</w:t>
      </w:r>
      <w:r>
        <w:rPr>
          <w:rFonts w:ascii="Times" w:hAnsi="Times"/>
        </w:rPr>
        <w:fldChar w:fldCharType="end"/>
      </w:r>
      <w:r w:rsidR="004B4F93">
        <w:rPr>
          <w:rFonts w:ascii="Times" w:hAnsi="Times"/>
        </w:rPr>
        <w:t>.</w:t>
      </w:r>
      <w:r>
        <w:rPr>
          <w:rFonts w:ascii="Times" w:hAnsi="Times"/>
          <w:sz w:val="20"/>
          <w:szCs w:val="20"/>
        </w:rPr>
        <w:t xml:space="preserve"> </w:t>
      </w:r>
      <w:r>
        <w:t xml:space="preserve">The results of two subcohorts of the study were combined using fixed-effect inverse variance meta-analysis. Overall, </w:t>
      </w:r>
      <w:r w:rsidRPr="009F4BD9">
        <w:rPr>
          <w:rFonts w:ascii="Times" w:hAnsi="Times"/>
        </w:rPr>
        <w:t xml:space="preserve">1,927 </w:t>
      </w:r>
      <w:r w:rsidRPr="00F56ABF">
        <w:t>significant (P</w:t>
      </w:r>
      <w:r w:rsidRPr="00F56ABF">
        <w:rPr>
          <w:vertAlign w:val="subscript"/>
        </w:rPr>
        <w:t>GWAS</w:t>
      </w:r>
      <m:oMath>
        <m:r>
          <w:rPr>
            <w:rFonts w:ascii="Cambria Math" w:hAnsi="Cambria Math"/>
          </w:rPr>
          <m:t>&lt;</m:t>
        </m:r>
      </m:oMath>
      <w:r w:rsidRPr="00F56ABF">
        <w:t>1.5×10</w:t>
      </w:r>
      <w:r w:rsidRPr="00F56ABF">
        <w:rPr>
          <w:position w:val="6"/>
          <w:vertAlign w:val="superscript"/>
        </w:rPr>
        <w:t>−11</w:t>
      </w:r>
      <w:r w:rsidRPr="00F56ABF">
        <w:t>) associations</w:t>
      </w:r>
      <w:r w:rsidRPr="009F4BD9">
        <w:rPr>
          <w:rFonts w:ascii="Times" w:hAnsi="Times"/>
        </w:rPr>
        <w:t xml:space="preserve"> between</w:t>
      </w:r>
      <w:r>
        <w:rPr>
          <w:rFonts w:ascii="Times" w:hAnsi="Times"/>
        </w:rPr>
        <w:t xml:space="preserve"> </w:t>
      </w:r>
      <w:r w:rsidRPr="009F4BD9">
        <w:rPr>
          <w:rFonts w:ascii="Times" w:hAnsi="Times"/>
        </w:rPr>
        <w:t xml:space="preserve">764 genomic regions </w:t>
      </w:r>
      <w:r>
        <w:rPr>
          <w:rFonts w:ascii="Times" w:hAnsi="Times"/>
        </w:rPr>
        <w:t xml:space="preserve">and </w:t>
      </w:r>
      <w:r w:rsidRPr="009F4BD9">
        <w:rPr>
          <w:rFonts w:ascii="Times" w:hAnsi="Times"/>
        </w:rPr>
        <w:t xml:space="preserve">1,478 proteins </w:t>
      </w:r>
      <w:r>
        <w:rPr>
          <w:rFonts w:ascii="Times" w:hAnsi="Times"/>
        </w:rPr>
        <w:t>were identified. The s</w:t>
      </w:r>
      <w:r w:rsidRPr="007D12A0">
        <w:rPr>
          <w:rFonts w:ascii="Times" w:hAnsi="Times"/>
        </w:rPr>
        <w:t xml:space="preserve">ummary </w:t>
      </w:r>
      <w:r>
        <w:rPr>
          <w:rFonts w:ascii="Times" w:hAnsi="Times"/>
        </w:rPr>
        <w:t xml:space="preserve">statistics data </w:t>
      </w:r>
      <w:r w:rsidRPr="007D12A0">
        <w:rPr>
          <w:rFonts w:ascii="Times" w:hAnsi="Times"/>
        </w:rPr>
        <w:t>are publicly avai</w:t>
      </w:r>
      <w:r>
        <w:rPr>
          <w:rFonts w:ascii="Times" w:hAnsi="Times"/>
        </w:rPr>
        <w:t xml:space="preserve">lable </w:t>
      </w:r>
      <w:r w:rsidRPr="007D12A0">
        <w:rPr>
          <w:rFonts w:ascii="Times" w:hAnsi="Times"/>
        </w:rPr>
        <w:t>at</w:t>
      </w:r>
      <w:r>
        <w:rPr>
          <w:rFonts w:ascii="Times" w:hAnsi="Times"/>
        </w:rPr>
        <w:t xml:space="preserve"> </w:t>
      </w:r>
      <w:hyperlink r:id="rId9" w:history="1">
        <w:r w:rsidRPr="001A2C9F">
          <w:rPr>
            <w:rStyle w:val="Hyperlink"/>
            <w:rFonts w:ascii="Times" w:hAnsi="Times"/>
          </w:rPr>
          <w:t>http://www.phpc.cam.ac.uk/ceu/proteins/</w:t>
        </w:r>
      </w:hyperlink>
      <w:r>
        <w:rPr>
          <w:rFonts w:ascii="Times" w:hAnsi="Times"/>
        </w:rPr>
        <w:t>.</w:t>
      </w:r>
    </w:p>
    <w:p w14:paraId="22469F99" w14:textId="77777777" w:rsidR="00DE7F93" w:rsidRDefault="00DE7F93" w:rsidP="004B4F93"/>
    <w:p w14:paraId="0A657179" w14:textId="77777777" w:rsidR="00DE7F93" w:rsidRDefault="00DE7F93" w:rsidP="004B4F93">
      <w:r>
        <w:rPr>
          <w:i/>
          <w:iCs/>
        </w:rPr>
        <w:t xml:space="preserve">The </w:t>
      </w:r>
      <w:r w:rsidRPr="00110D2B">
        <w:rPr>
          <w:i/>
          <w:iCs/>
        </w:rPr>
        <w:t>UK Biobank</w:t>
      </w:r>
    </w:p>
    <w:p w14:paraId="70BEEDF8" w14:textId="7602CB69" w:rsidR="00DE7F93" w:rsidRPr="000C69B6" w:rsidRDefault="00DE7F93" w:rsidP="004B4F93">
      <w:pPr>
        <w:pStyle w:val="NormalWeb"/>
        <w:ind w:firstLine="720"/>
      </w:pPr>
      <w:r>
        <w:t xml:space="preserve">The details of genotyping procedures in the </w:t>
      </w:r>
      <w:r w:rsidRPr="002A2E9C">
        <w:t xml:space="preserve">UK Biobank were described on </w:t>
      </w:r>
      <w:r>
        <w:t xml:space="preserve">the </w:t>
      </w:r>
      <w:r w:rsidRPr="002A2E9C">
        <w:t xml:space="preserve">UK Biobank website (http://biobank.ctsu.ox.ac.uk/) and in previous </w:t>
      </w:r>
      <w:r>
        <w:t>research</w:t>
      </w:r>
      <w:r w:rsidR="004B4F93">
        <w:t xml:space="preserve"> </w:t>
      </w:r>
      <w:r>
        <w:fldChar w:fldCharType="begin"/>
      </w:r>
      <w:r w:rsidR="006E20E9">
        <w:instrText xml:space="preserve"> ADDIN ZOTERO_ITEM CSL_CITATION {"citationID":"a14ijcetpfv","properties":{"formattedCitation":"(6,7)","plainCitation":"(6,7)","noteIndex":0},"citationItems":[{"id":3604,"uris":["http://zotero.org/users/5054820/items/XAN8NTRP"],"uri":["http://zotero.org/users/5054820/items/XAN8NTRP"],"itemData":{"id":3604,"type":"article-journal","abstract":"Cathie Sudlow and colleagues describe the UK Biobank, a large population-based prospective study, established to allow investigation of the genetic and non-genetic determinants of the diseases of middle and old age.","container-title":"PLoS medicine","DOI":"10.1371/journal.pmed.1001779","ISSN":"1549-1676","issue":"3","journalAbbreviation":"PLoS Med","language":"eng","note":"PMID: 25826379\nPMCID: PMC4380465","page":"e1001779","source":"PubMed","title":"UK biobank: an open access resource for identifying the causes of a wide range of complex diseases of middle and old age","title-short":"UK biobank","volume":"12","author":[{"family":"Sudlow","given":"Cathie"},{"family":"Gallacher","given":"John"},{"family":"Allen","given":"Naomi"},{"family":"Beral","given":"Valerie"},{"family":"Burton","given":"Paul"},{"family":"Danesh","given":"John"},{"family":"Downey","given":"Paul"},{"family":"Elliott","given":"Paul"},{"family":"Green","given":"Jane"},{"family":"Landray","given":"Martin"},{"family":"Liu","given":"Bette"},{"family":"Matthews","given":"Paul"},{"family":"Ong","given":"Giok"},{"family":"Pell","given":"Jill"},{"family":"Silman","given":"Alan"},{"family":"Young","given":"Alan"},{"family":"Sprosen","given":"Tim"},{"family":"Peakman","given":"Tim"},{"family":"Collins","given":"Rory"}],"issued":{"date-parts":[["2015",3]]}}},{"id":3607,"uris":["http://zotero.org/users/5054820/items/URR4DHWP"],"uri":["http://zotero.org/users/5054820/items/URR4DHWP"],"itemData":{"id":3607,"type":"article-journal","abstract":"Clinical and epidemiological data suggest that asthma and allergic diseases are associated and may share a common genetic etiology. We analyzed genome-wide SNP data for asthma and allergic diseases in 33,593 cases and 76,768 controls of European ancestry from UK Biobank. Two publicly available independent genome-wide association studies were used for replication. We have found a strong genome-wide genetic correlation between asthma and allergic diseases (rg = 0.75, P = 6.84 × 10-62). Cross-trait analysis identified 38 genome-wide significant loci, including 7 novel shared loci. Computational analysis showed that shared genetic loci are enriched in immune/inflammatory systems and tissues with epithelium cells. Our work identifies common genetic architectures shared between asthma and allergy and will help to advance understanding of the molecular mechanisms underlying co-morbid asthma and allergic diseases.","container-title":"Nature Genetics","DOI":"10.1038/s41588-018-0121-0","ISSN":"1546-1718","issue":"6","journalAbbreviation":"Nat Genet","language":"eng","note":"PMID: 29785011\nPMCID: PMC5980765","page":"857-864","source":"PubMed","title":"A genome-wide cross-trait analysis from UK Biobank highlights the shared genetic architecture of asthma and allergic diseases","volume":"50","author":[{"family":"Zhu","given":"Zhaozhong"},{"family":"Lee","given":"Phil H."},{"family":"Chaffin","given":"Mark D."},{"family":"Chung","given":"Wonil"},{"family":"Loh","given":"Po-Ru"},{"family":"Lu","given":"Quan"},{"family":"Christiani","given":"David C."},{"family":"Liang","given":"Liming"}],"issued":{"date-parts":[["2018"]]}}}],"schema":"https://github.com/citation-style-language/schema/raw/master/csl-citation.json"} </w:instrText>
      </w:r>
      <w:r>
        <w:fldChar w:fldCharType="separate"/>
      </w:r>
      <w:r w:rsidR="006E20E9">
        <w:t>(6,7)</w:t>
      </w:r>
      <w:r>
        <w:fldChar w:fldCharType="end"/>
      </w:r>
      <w:r w:rsidR="004B4F93">
        <w:t>.</w:t>
      </w:r>
      <w:r w:rsidRPr="002A2E9C">
        <w:t xml:space="preserve"> In summary, </w:t>
      </w:r>
      <w:r>
        <w:t xml:space="preserve">approximately 500,000 participants aged 40-69 years were enrolled in 2006-2010. </w:t>
      </w:r>
      <w:r w:rsidRPr="00680421">
        <w:t xml:space="preserve">The study has collected extensive phenotypic </w:t>
      </w:r>
      <w:r w:rsidRPr="00AA4C18">
        <w:t>(e.g., demographics, medical history, anthropomorphic measures)</w:t>
      </w:r>
      <w:r>
        <w:t xml:space="preserve"> </w:t>
      </w:r>
      <w:r w:rsidRPr="00680421">
        <w:t xml:space="preserve">and genotypic </w:t>
      </w:r>
      <w:r>
        <w:t>data.</w:t>
      </w:r>
      <w:r>
        <w:rPr>
          <w:rFonts w:hint="eastAsia"/>
        </w:rPr>
        <w:t xml:space="preserve"> </w:t>
      </w:r>
      <w:r>
        <w:t>A</w:t>
      </w:r>
      <w:r w:rsidRPr="002A2E9C">
        <w:t>fter QC, the current UK Biobank data contain</w:t>
      </w:r>
      <w:r>
        <w:t xml:space="preserve"> approximately </w:t>
      </w:r>
      <w:r w:rsidRPr="002A2E9C">
        <w:t xml:space="preserve">800,000 markers that passed SNP QC in at least one batch. </w:t>
      </w:r>
      <w:r w:rsidRPr="00065CBC">
        <w:t>The genotype imputation was performed using the UK10k+1000 Genome Phase 3 panels; genotype imputation procedure provided over 90 million variants</w:t>
      </w:r>
      <w:r w:rsidR="004B4F93">
        <w:t xml:space="preserve"> </w:t>
      </w:r>
      <w:r>
        <w:fldChar w:fldCharType="begin"/>
      </w:r>
      <w:r w:rsidR="006E20E9">
        <w:instrText xml:space="preserve"> ADDIN ZOTERO_ITEM CSL_CITATION {"citationID":"a1lcm0nacvb","properties":{"formattedCitation":"(8,9)","plainCitation":"(8,9)","noteIndex":0},"citationItems":[{"id":3755,"uris":["http://zotero.org/users/5054820/items/5QLW4BTH"],"uri":["http://zotero.org/users/5054820/items/5QLW4BTH"],"itemData":{"id":3755,"type":"article-journal","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studies.","container-title":"Nature","DOI":"10.1038/nature15393","ISSN":"1476-4687","issue":"7571","journalAbbreviation":"Nature","language":"eng","note":"PMID: 26432245\nPMCID: PMC4750478","page":"68-74","source":"PubMed","title":"A global reference for human genetic variation","volume":"526","author":[{"literal":"1000 Genomes Project Consortium"},{"family":"Auton","given":"Adam"},{"family":"Brooks","given":"Lisa D."},{"family":"Durbin","given":"Richard M."},{"family":"Garrison","given":"Erik P."},{"family":"Kang","given":"Hyun Min"},{"family":"Korbel","given":"Jan O."},{"family":"Marchini","given":"Jonathan L."},{"family":"McCarthy","given":"Shane"},{"family":"McVean","given":"Gil A."},{"family":"Abecasis","given":"Gonçalo R."}],"issued":{"date-parts":[["2015",10,1]]}}},{"id":3752,"uris":["http://zotero.org/users/5054820/items/Y63277C4"],"uri":["http://zotero.org/users/5054820/items/Y63277C4"],"itemData":{"id":3752,"type":"article-journal","abstract":"The contribution of rare and low-frequency variants to human traits is largely unexplored. Here we describe insights from sequencing whole genomes (low read depth, 7×) or exomes (high read depth, 80×) of nearly 10,000 individuals from population-based and disease collections. In extensively phenotyped cohorts we characterize over 24 million novel sequence variants, generate a highly accurate imputation reference panel and identify novel alleles associated with levels of triglycerides (APOB), adiponectin (ADIPOQ) and low-density lipoprotein cholesterol (LDLR and RGAG1) from single-marker and rare variant aggregation tests. We describe population structure and functional annotation of rare and low-frequency variants, use the data to estimate the benefits of sequencing for association studies, and summarize lessons from disease-specific collections. Finally, we make available an extensive resource, including individual-level genetic and phenotypic data and web-based tools to facilitate the exploration of association results.","container-title":"Nature","DOI":"10.1038/nature14962","ISSN":"1476-4687","issue":"7571","journalAbbreviation":"Nature","language":"eng","note":"PMID: 26367797\nPMCID: PMC4773891","page":"82-90","source":"PubMed","title":"The UK10K project identifies rare variants in health and disease","volume":"526","author":[{"literal":"UK10K Consortium"},{"family":"Walter","given":"Klaudia"},{"family":"Min","given":"Josine L."},{"family":"Huang","given":"Jie"},{"family":"Crooks","given":"Lucy"},{"family":"Memari","given":"Yasin"},{"family":"McCarthy","given":"Shane"},{"family":"Perry","given":"John R. B."},{"family":"Xu","given":"ChangJiang"},{"family":"Futema","given":"Marta"},{"family":"Lawson","given":"Daniel"},{"family":"Iotchkova","given":"Valentina"},{"family":"Schiffels","given":"Stephan"},{"family":"Hendricks","given":"Audrey E."},{"family":"Danecek","given":"Petr"},{"family":"Li","given":"Rui"},{"family":"Floyd","given":"James"},{"family":"Wain","given":"Louise V."},{"family":"Barroso","given":"Inês"},{"family":"Humphries","given":"Steve E."},{"family":"Hurles","given":"Matthew E."},{"family":"Zeggini","given":"Eleftheria"},{"family":"Barrett","given":"Jeffrey C."},{"family":"Plagnol","given":"Vincent"},{"family":"Richards","given":"J. Brent"},{"family":"Greenwood","given":"Celia M. T."},{"family":"Timpson","given":"Nicholas J."},{"family":"Durbin","given":"Richard"},{"family":"Soranzo","given":"Nicole"}],"issued":{"date-parts":[["2015",10,1]]}}}],"schema":"https://github.com/citation-style-language/schema/raw/master/csl-citation.json"} </w:instrText>
      </w:r>
      <w:r>
        <w:fldChar w:fldCharType="separate"/>
      </w:r>
      <w:r w:rsidR="006E20E9">
        <w:t>(8,9)</w:t>
      </w:r>
      <w:r>
        <w:fldChar w:fldCharType="end"/>
      </w:r>
      <w:r w:rsidR="004B4F93">
        <w:t>.</w:t>
      </w:r>
      <w:r w:rsidRPr="00065CBC">
        <w:t xml:space="preserve"> </w:t>
      </w:r>
      <w:r>
        <w:t xml:space="preserve">The current study restricted the sample to subjects of European ancestry to minimize population stratification. </w:t>
      </w:r>
      <w:r w:rsidRPr="000C69B6">
        <w:rPr>
          <w:rFonts w:ascii="TimesNewRomanPSMT" w:hAnsi="TimesNewRomanPSMT"/>
        </w:rPr>
        <w:t xml:space="preserve">All participants from this study provided UK Biobank-acquired informed consent and provided data according to the UK Biobank protocol. </w:t>
      </w:r>
      <w:r>
        <w:rPr>
          <w:rFonts w:ascii="TimesNewRomanPSMT" w:hAnsi="TimesNewRomanPSMT"/>
        </w:rPr>
        <w:t>The current study</w:t>
      </w:r>
      <w:r w:rsidRPr="000C69B6">
        <w:rPr>
          <w:rFonts w:ascii="TimesNewRomanPSMT" w:hAnsi="TimesNewRomanPSMT"/>
        </w:rPr>
        <w:t xml:space="preserve"> ha</w:t>
      </w:r>
      <w:r>
        <w:rPr>
          <w:rFonts w:ascii="TimesNewRomanPSMT" w:hAnsi="TimesNewRomanPSMT"/>
        </w:rPr>
        <w:t>s</w:t>
      </w:r>
      <w:r w:rsidRPr="000C69B6">
        <w:rPr>
          <w:rFonts w:ascii="TimesNewRomanPSMT" w:hAnsi="TimesNewRomanPSMT"/>
        </w:rPr>
        <w:t xml:space="preserve"> complied with all ethical regulations according to UK Biobank policy. This research was approved and conducted using the UK Biobank under application number 16549 and 45052. </w:t>
      </w:r>
    </w:p>
    <w:p w14:paraId="67BC3A14" w14:textId="77777777" w:rsidR="00DE7F93" w:rsidRPr="004B5E52" w:rsidRDefault="00DE7F93" w:rsidP="004B4F93">
      <w:pPr>
        <w:pStyle w:val="BodyText"/>
        <w:spacing w:line="240" w:lineRule="auto"/>
      </w:pPr>
    </w:p>
    <w:p w14:paraId="3B0CFC30" w14:textId="77777777" w:rsidR="00DE7F93" w:rsidRPr="00626063" w:rsidRDefault="00DE7F93" w:rsidP="004B4F93">
      <w:pPr>
        <w:rPr>
          <w:b/>
          <w:bCs/>
        </w:rPr>
      </w:pPr>
      <w:r w:rsidRPr="00626063">
        <w:rPr>
          <w:b/>
          <w:bCs/>
        </w:rPr>
        <w:t xml:space="preserve">Ascertainment of </w:t>
      </w:r>
      <w:r>
        <w:rPr>
          <w:b/>
          <w:bCs/>
        </w:rPr>
        <w:t>A</w:t>
      </w:r>
      <w:r w:rsidRPr="00626063">
        <w:rPr>
          <w:b/>
          <w:bCs/>
        </w:rPr>
        <w:t>sthma</w:t>
      </w:r>
      <w:r>
        <w:rPr>
          <w:b/>
          <w:bCs/>
        </w:rPr>
        <w:t xml:space="preserve"> and its Phenotypes</w:t>
      </w:r>
    </w:p>
    <w:p w14:paraId="7C339EFE" w14:textId="6EA1B6E8" w:rsidR="00DE7F93" w:rsidRDefault="00DE7F93" w:rsidP="004B4F93">
      <w:pPr>
        <w:ind w:firstLine="720"/>
      </w:pPr>
      <w:r>
        <w:t>First, according to previous research</w:t>
      </w:r>
      <w:r w:rsidR="004B4F93">
        <w:t xml:space="preserve"> </w:t>
      </w:r>
      <w:r>
        <w:fldChar w:fldCharType="begin"/>
      </w:r>
      <w:r w:rsidR="006E20E9">
        <w:instrText xml:space="preserve"> ADDIN ZOTERO_ITEM CSL_CITATION {"citationID":"a1me3fu9mqk","properties":{"formattedCitation":"(7,10,11)","plainCitation":"(7,10,11)","noteIndex":0},"citationItems":[{"id":3607,"uris":["http://zotero.org/users/5054820/items/URR4DHWP"],"uri":["http://zotero.org/users/5054820/items/URR4DHWP"],"itemData":{"id":3607,"type":"article-journal","abstract":"Clinical and epidemiological data suggest that asthma and allergic diseases are associated and may share a common genetic etiology. We analyzed genome-wide SNP data for asthma and allergic diseases in 33,593 cases and 76,768 controls of European ancestry from UK Biobank. Two publicly available independent genome-wide association studies were used for replication. We have found a strong genome-wide genetic correlation between asthma and allergic diseases (rg = 0.75, P = 6.84 × 10-62). Cross-trait analysis identified 38 genome-wide significant loci, including 7 novel shared loci. Computational analysis showed that shared genetic loci are enriched in immune/inflammatory systems and tissues with epithelium cells. Our work identifies common genetic architectures shared between asthma and allergy and will help to advance understanding of the molecular mechanisms underlying co-morbid asthma and allergic diseases.","container-title":"Nature Genetics","DOI":"10.1038/s41588-018-0121-0","ISSN":"1546-1718","issue":"6","journalAbbreviation":"Nat Genet","language":"eng","note":"PMID: 29785011\nPMCID: PMC5980765","page":"857-864","source":"PubMed","title":"A genome-wide cross-trait analysis from UK Biobank highlights the shared genetic architecture of asthma and allergic diseases","volume":"50","author":[{"family":"Zhu","given":"Zhaozhong"},{"family":"Lee","given":"Phil H."},{"family":"Chaffin","given":"Mark D."},{"family":"Chung","given":"Wonil"},{"family":"Loh","given":"Po-Ru"},{"family":"Lu","given":"Quan"},{"family":"Christiani","given":"David C."},{"family":"Liang","given":"Liming"}],"issued":{"date-parts":[["2018"]]}}},{"id":3613,"uris":["http://zotero.org/users/5054820/items/2UURB7KR"],"uri":["http://zotero.org/users/5054820/items/2UURB7KR"],"itemData":{"id":3613,"type":"article-journal","abstract":"BACKGROUND: Clinical and epidemiologic studies have shown that obesity is associated with asthma and that these associations differ by asthma subtype. Little is known about the shared genetic components between obesity and asthma.\nOBJECTIVE: We sought to identify shared genetic associations between obesity-related traits and asthma subtypes in adults.\nMETHODS: A cross-trait genome-wide association study (GWAS) was performed using 457,822 subjects of European ancestry from the UK Biobank. Experimental evidence to support the role of genes significantly associated with both obesity-related traits and asthma through a GWAS was sought by using results from obese versus lean mouse RNA sequencing and RT-PCR experiments.\nRESULTS: We found a substantial positive genetic correlation between body mass index and later-onset asthma defined by asthma age of onset at 16 years or greater (Rg = 0.25, P = 9.56 × 10-22). Mendelian randomization analysis provided strong evidence in support of body mass index causally increasing asthma risk. Cross-trait meta-analysis identified 34 shared loci among 3 obesity-related traits and 2 asthma subtypes. GWAS functional analyses identified potential causal relationships between the shared loci and Genotype-Tissue Expression (GTEx) quantitative trait loci and shared immune- and cell differentiation-related pathways between obesity and asthma. Finally, RNA sequencing data from lungs of obese versus control mice found that 2 genes (acyl-coenzyme A oxidase-like [ACOXL] and myosin light chain 6 [MYL6]) from the cross-trait meta-analysis were differentially expressed, and these findings were validated by using RT-PCR in an independent set of mice.\nCONCLUSIONS: Our work identified shared genetic components between obesity-related traits and specific asthma subtypes, reinforcing the hypothesis that obesity causally increases the risk of asthma and identifying molecular pathways that might underlie both obesity and asthma.","container-title":"The Journal of Allergy and Clinical Immunology","DOI":"10.1016/j.jaci.2019.09.035","ISSN":"1097-6825","issue":"2","journalAbbreviation":"J Allergy Clin Immunol","language":"eng","note":"PMID: 31669095\nPMCID: PMC7010560","page":"537-549","source":"PubMed","title":"Shared genetic and experimental links between obesity-related traits and asthma subtypes in UK Biobank","volume":"145","author":[{"family":"Zhu","given":"Zhaozhong"},{"family":"Guo","given":"Yanjun"},{"family":"Shi","given":"Huwenbo"},{"family":"Liu","given":"Cong-Lin"},{"family":"Panganiban","given":"Ronald Allan"},{"family":"Chung","given":"Wonil"},{"family":"O'Connor","given":"Luke J."},{"family":"Himes","given":"Blanca E."},{"family":"Gazal","given":"Steven"},{"family":"Hasegawa","given":"Kohei"},{"family":"Camargo","given":"Carlos A."},{"family":"Qi","given":"Lu"},{"family":"Moffatt","given":"Miriam F."},{"family":"Hu","given":"Frank B."},{"family":"Lu","given":"Quan"},{"family":"Cookson","given":"William O. C."},{"family":"Liang","given":"Liming"}],"issued":{"date-parts":[["2020"]]}}},{"id":3615,"uris":["http://zotero.org/users/5054820/items/GBVMNH6Y"],"uri":["http://zotero.org/users/5054820/items/GBVMNH6Y"],"itemData":{"id":3615,"type":"article-journal","abstract":"Epidemiological studies demonstrate an association between asthma and mental health disorders, although little is known about the shared genetics and causality of this association. Thus, we aimed to investigate shared genetics and the causal link between asthma and mental health disorders.We conducted a large-scale genome-wide cross-trait association study to investigate genetic overlap between asthma from the UK Biobank and eight mental health disorders from the Psychiatric Genomics Consortium: attention deficit hyperactivity disorder (ADHD), anxiety disorder (ANX), autism spectrum disorder, bipolar disorder, eating disorder, major depressive disorder (MDD), post-traumatic stress disorder and schizophrenia (sample size 9537-394 283).In the single-trait genome-wide association analysis, we replicated 130 previously reported loci and discovered 31 novel independent loci that are associated with asthma. We identified that ADHD, ANX and MDD have a strong genetic correlation with asthma at the genome-wide level. Cross-trait meta-analysis identified seven loci jointly associated with asthma and ADHD, one locus with asthma and ANX, and 10 loci with asthma and MDD. Functional analysis revealed that the identified variants regulated gene expression in major tissues belonging to the exocrine/endocrine, digestive, respiratory and haemic/immune systems. Mendelian randomisation analyses suggested that ADHD and MDD (including 6.7% sample overlap with asthma) might increase the risk of asthma.This large-scale genome-wide cross-trait analysis identified shared genetics and potential causal links between asthma and three mental health disorders (ADHD, ANX and MDD). Such shared genetics implicate potential new biological functions that are in common among them.","container-title":"The European Respiratory Journal","DOI":"10.1183/13993003.01507-2019","ISSN":"1399-3003","issue":"6","journalAbbreviation":"Eur Respir J","language":"eng","note":"PMID: 31619474","source":"PubMed","title":"Shared genetics of asthma and mental health disorders: a large-scale genome-wide cross-trait analysis","title-short":"Shared genetics of asthma and mental health disorders","volume":"54","author":[{"family":"Zhu","given":"Zhaozhong"},{"family":"Zhu","given":"Xi"},{"family":"Liu","given":"Cong-Lin"},{"family":"Shi","given":"Huwenbo"},{"family":"Shen","given":"Sipeng"},{"family":"Yang","given":"Yunqi"},{"family":"Hasegawa","given":"Kohei"},{"family":"Camargo","given":"Carlos A."},{"family":"Liang","given":"Liming"}],"issued":{"date-parts":[["2019"]]}}}],"schema":"https://github.com/citation-style-language/schema/raw/master/csl-citation.json"} </w:instrText>
      </w:r>
      <w:r>
        <w:fldChar w:fldCharType="separate"/>
      </w:r>
      <w:r w:rsidR="006E20E9">
        <w:t>(7,10,11)</w:t>
      </w:r>
      <w:r>
        <w:fldChar w:fldCharType="end"/>
      </w:r>
      <w:r w:rsidR="004B4F93">
        <w:t>,</w:t>
      </w:r>
      <w:r w:rsidRPr="00B3081D">
        <w:t xml:space="preserve"> </w:t>
      </w:r>
      <w:r>
        <w:t xml:space="preserve">we identified all UK Biobank participants with </w:t>
      </w:r>
      <w:r w:rsidRPr="00D82AB5">
        <w:t>asthma</w:t>
      </w:r>
      <w:r>
        <w:t xml:space="preserve"> by using the data fields </w:t>
      </w:r>
      <w:r w:rsidRPr="00626063">
        <w:t>6152</w:t>
      </w:r>
      <w:r>
        <w:t xml:space="preserve"> (self-reported physician-diagnosis of asthma)</w:t>
      </w:r>
      <w:r w:rsidRPr="00626063">
        <w:t>, 20002</w:t>
      </w:r>
      <w:r>
        <w:t xml:space="preserve"> (non-cancer illness disease code)</w:t>
      </w:r>
      <w:r w:rsidRPr="00626063">
        <w:t>, 41202</w:t>
      </w:r>
      <w:r>
        <w:t xml:space="preserve"> (</w:t>
      </w:r>
      <w:r w:rsidRPr="00B000E2">
        <w:rPr>
          <w:i/>
          <w:iCs/>
        </w:rPr>
        <w:t>International C</w:t>
      </w:r>
      <w:r>
        <w:rPr>
          <w:i/>
          <w:iCs/>
        </w:rPr>
        <w:t xml:space="preserve">lassification of Diseases, Tenth Revision, Clinical Modification </w:t>
      </w:r>
      <w:r>
        <w:t>[</w:t>
      </w:r>
      <w:r>
        <w:rPr>
          <w:i/>
          <w:iCs/>
        </w:rPr>
        <w:t>ICD-10-CM</w:t>
      </w:r>
      <w:r w:rsidRPr="00B000E2">
        <w:t xml:space="preserve">] </w:t>
      </w:r>
      <w:r>
        <w:t>primary diagnosis in the hospital),</w:t>
      </w:r>
      <w:r w:rsidRPr="00626063">
        <w:t xml:space="preserve"> and 41204</w:t>
      </w:r>
      <w:r>
        <w:t xml:space="preserve"> (</w:t>
      </w:r>
      <w:r>
        <w:rPr>
          <w:i/>
          <w:iCs/>
        </w:rPr>
        <w:t xml:space="preserve">ICD-10-CM </w:t>
      </w:r>
      <w:r>
        <w:t xml:space="preserve">secondary diagnosis in the hospital), with the use of the </w:t>
      </w:r>
      <w:r w:rsidRPr="007538EB">
        <w:rPr>
          <w:i/>
          <w:iCs/>
        </w:rPr>
        <w:t>ICD-10-CM</w:t>
      </w:r>
      <w:r>
        <w:t xml:space="preserve"> diagnosis codes of J45. </w:t>
      </w:r>
      <w:r w:rsidRPr="009801FE">
        <w:t xml:space="preserve">We excluded individuals with chronic obstructive pulmonary disease, emphysema or chronic bronchitis (self-reports or International Statistical Classification of Diseases and Related Health Problems, 10th Revision codes) from cases </w:t>
      </w:r>
      <w:r>
        <w:t xml:space="preserve">with asthma </w:t>
      </w:r>
      <w:r w:rsidRPr="009801FE">
        <w:t xml:space="preserve">and controls. </w:t>
      </w:r>
      <w:r>
        <w:rPr>
          <w:lang w:eastAsia="ja-JP"/>
        </w:rPr>
        <w:t>In the current study, t</w:t>
      </w:r>
      <w:r w:rsidRPr="009801FE">
        <w:t xml:space="preserve">he primary </w:t>
      </w:r>
      <w:r>
        <w:t>outcome</w:t>
      </w:r>
      <w:r w:rsidRPr="009801FE">
        <w:t xml:space="preserve"> </w:t>
      </w:r>
      <w:r>
        <w:t>was (overall)</w:t>
      </w:r>
      <w:r w:rsidRPr="003F1FFA">
        <w:t xml:space="preserve"> asthma (n=</w:t>
      </w:r>
      <w:r w:rsidRPr="00B000E2">
        <w:rPr>
          <w:rFonts w:eastAsia="Yu Gothic"/>
          <w:color w:val="000000"/>
          <w:sz w:val="22"/>
        </w:rPr>
        <w:t>46,799</w:t>
      </w:r>
      <w:r w:rsidRPr="003F1FFA">
        <w:t>) and</w:t>
      </w:r>
      <w:r>
        <w:t xml:space="preserve"> the secondary outcomes were six major asthma phenotypes: 1) childhood asthma (defined as </w:t>
      </w:r>
      <w:r w:rsidRPr="009801FE">
        <w:t xml:space="preserve">age of onset </w:t>
      </w:r>
      <m:oMath>
        <m:r>
          <w:rPr>
            <w:rFonts w:ascii="Cambria Math" w:hAnsi="Cambria Math"/>
          </w:rPr>
          <m:t>≤</m:t>
        </m:r>
      </m:oMath>
      <w:r w:rsidRPr="009801FE">
        <w:t>12 years</w:t>
      </w:r>
      <w:r>
        <w:t>; n=</w:t>
      </w:r>
      <w:r w:rsidRPr="0078487C">
        <w:rPr>
          <w:rFonts w:eastAsia="Yu Gothic"/>
          <w:color w:val="000000"/>
        </w:rPr>
        <w:t>9</w:t>
      </w:r>
      <w:r>
        <w:rPr>
          <w:rFonts w:eastAsia="Yu Gothic"/>
          <w:color w:val="000000"/>
        </w:rPr>
        <w:t>,</w:t>
      </w:r>
      <w:r w:rsidRPr="0078487C">
        <w:rPr>
          <w:rFonts w:eastAsia="Yu Gothic"/>
          <w:color w:val="000000"/>
        </w:rPr>
        <w:t>676</w:t>
      </w:r>
      <w:r>
        <w:t>)</w:t>
      </w:r>
      <w:r>
        <w:fldChar w:fldCharType="begin"/>
      </w:r>
      <w:r w:rsidR="006E20E9">
        <w:instrText xml:space="preserve"> ADDIN ZOTERO_ITEM CSL_CITATION {"citationID":"ap5qojo92o","properties":{"formattedCitation":"(11)","plainCitation":"(11)","noteIndex":0},"citationItems":[{"id":3615,"uris":["http://zotero.org/users/5054820/items/GBVMNH6Y"],"uri":["http://zotero.org/users/5054820/items/GBVMNH6Y"],"itemData":{"id":3615,"type":"article-journal","abstract":"Epidemiological studies demonstrate an association between asthma and mental health disorders, although little is known about the shared genetics and causality of this association. Thus, we aimed to investigate shared genetics and the causal link between asthma and mental health disorders.We conducted a large-scale genome-wide cross-trait association study to investigate genetic overlap between asthma from the UK Biobank and eight mental health disorders from the Psychiatric Genomics Consortium: attention deficit hyperactivity disorder (ADHD), anxiety disorder (ANX), autism spectrum disorder, bipolar disorder, eating disorder, major depressive disorder (MDD), post-traumatic stress disorder and schizophrenia (sample size 9537-394 283).In the single-trait genome-wide association analysis, we replicated 130 previously reported loci and discovered 31 novel independent loci that are associated with asthma. We identified that ADHD, ANX and MDD have a strong genetic correlation with asthma at the genome-wide level. Cross-trait meta-analysis identified seven loci jointly associated with asthma and ADHD, one locus with asthma and ANX, and 10 loci with asthma and MDD. Functional analysis revealed that the identified variants regulated gene expression in major tissues belonging to the exocrine/endocrine, digestive, respiratory and haemic/immune systems. Mendelian randomisation analyses suggested that ADHD and MDD (including 6.7% sample overlap with asthma) might increase the risk of asthma.This large-scale genome-wide cross-trait analysis identified shared genetics and potential causal links between asthma and three mental health disorders (ADHD, ANX and MDD). Such shared genetics implicate potential new biological functions that are in common among them.","container-title":"The European Respiratory Journal","DOI":"10.1183/13993003.01507-2019","ISSN":"1399-3003","issue":"6","journalAbbreviation":"Eur Respir J","language":"eng","note":"PMID: 31619474","source":"PubMed","title":"Shared genetics of asthma and mental health disorders: a large-scale genome-wide cross-trait analysis","title-short":"Shared genetics of asthma and mental health disorders","volume":"54","author":[{"family":"Zhu","given":"Zhaozhong"},{"family":"Zhu","given":"Xi"},{"family":"Liu","given":"Cong-Lin"},{"family":"Shi","given":"Huwenbo"},{"family":"Shen","given":"Sipeng"},{"family":"Yang","given":"Yunqi"},{"family":"Hasegawa","given":"Kohei"},{"family":"Camargo","given":"Carlos A."},{"family":"Liang","given":"Liming"}],"issued":{"date-parts":[["2019"]]}}}],"schema":"https://github.com/citation-style-language/schema/raw/master/csl-citation.json"} </w:instrText>
      </w:r>
      <w:r>
        <w:fldChar w:fldCharType="separate"/>
      </w:r>
      <w:r w:rsidR="006E20E9">
        <w:t>(11)</w:t>
      </w:r>
      <w:r>
        <w:fldChar w:fldCharType="end"/>
      </w:r>
      <w:r>
        <w:t xml:space="preserve">, 2) adult-onset asthma (defined as </w:t>
      </w:r>
      <w:r w:rsidRPr="009801FE">
        <w:t xml:space="preserve">age of onset </w:t>
      </w:r>
      <m:oMath>
        <m:r>
          <w:rPr>
            <w:rFonts w:ascii="Cambria Math" w:hAnsi="Cambria Math"/>
          </w:rPr>
          <m:t>≥</m:t>
        </m:r>
      </m:oMath>
      <w:r w:rsidRPr="009801FE">
        <w:t>26 years</w:t>
      </w:r>
      <w:r>
        <w:t xml:space="preserve">; </w:t>
      </w:r>
      <w:r w:rsidRPr="0078487C">
        <w:t>n=</w:t>
      </w:r>
      <w:r w:rsidRPr="0078487C">
        <w:rPr>
          <w:rFonts w:eastAsia="Yu Gothic"/>
          <w:color w:val="000000"/>
        </w:rPr>
        <w:t>22</w:t>
      </w:r>
      <w:r>
        <w:rPr>
          <w:rFonts w:eastAsia="Yu Gothic"/>
          <w:color w:val="000000"/>
        </w:rPr>
        <w:t>,</w:t>
      </w:r>
      <w:r w:rsidRPr="0078487C">
        <w:rPr>
          <w:rFonts w:eastAsia="Yu Gothic"/>
          <w:color w:val="000000"/>
        </w:rPr>
        <w:t>294</w:t>
      </w:r>
      <w:r>
        <w:t>)</w:t>
      </w:r>
      <w:r>
        <w:fldChar w:fldCharType="begin"/>
      </w:r>
      <w:r w:rsidR="006E20E9">
        <w:instrText xml:space="preserve"> ADDIN ZOTERO_ITEM CSL_CITATION {"citationID":"a4e7tpkidq","properties":{"formattedCitation":"(11)","plainCitation":"(11)","noteIndex":0},"citationItems":[{"id":3615,"uris":["http://zotero.org/users/5054820/items/GBVMNH6Y"],"uri":["http://zotero.org/users/5054820/items/GBVMNH6Y"],"itemData":{"id":3615,"type":"article-journal","abstract":"Epidemiological studies demonstrate an association between asthma and mental health disorders, although little is known about the shared genetics and causality of this association. Thus, we aimed to investigate shared genetics and the causal link between asthma and mental health disorders.We conducted a large-scale genome-wide cross-trait association study to investigate genetic overlap between asthma from the UK Biobank and eight mental health disorders from the Psychiatric Genomics Consortium: attention deficit hyperactivity disorder (ADHD), anxiety disorder (ANX), autism spectrum disorder, bipolar disorder, eating disorder, major depressive disorder (MDD), post-traumatic stress disorder and schizophrenia (sample size 9537-394 283).In the single-trait genome-wide association analysis, we replicated 130 previously reported loci and discovered 31 novel independent loci that are associated with asthma. We identified that ADHD, ANX and MDD have a strong genetic correlation with asthma at the genome-wide level. Cross-trait meta-analysis identified seven loci jointly associated with asthma and ADHD, one locus with asthma and ANX, and 10 loci with asthma and MDD. Functional analysis revealed that the identified variants regulated gene expression in major tissues belonging to the exocrine/endocrine, digestive, respiratory and haemic/immune systems. Mendelian randomisation analyses suggested that ADHD and MDD (including 6.7% sample overlap with asthma) might increase the risk of asthma.This large-scale genome-wide cross-trait analysis identified shared genetics and potential causal links between asthma and three mental health disorders (ADHD, ANX and MDD). Such shared genetics implicate potential new biological functions that are in common among them.","container-title":"The European Respiratory Journal","DOI":"10.1183/13993003.01507-2019","ISSN":"1399-3003","issue":"6","journalAbbreviation":"Eur Respir J","language":"eng","note":"PMID: 31619474","source":"PubMed","title":"Shared genetics of asthma and mental health disorders: a large-scale genome-wide cross-trait analysis","title-short":"Shared genetics of asthma and mental health disorders","volume":"54","author":[{"family":"Zhu","given":"Zhaozhong"},{"family":"Zhu","given":"Xi"},{"family":"Liu","given":"Cong-Lin"},{"family":"Shi","given":"Huwenbo"},{"family":"Shen","given":"Sipeng"},{"family":"Yang","given":"Yunqi"},{"family":"Hasegawa","given":"Kohei"},{"family":"Camargo","given":"Carlos A."},{"family":"Liang","given":"Liming"}],"issued":{"date-parts":[["2019"]]}}}],"schema":"https://github.com/citation-style-language/schema/raw/master/csl-citation.json"} </w:instrText>
      </w:r>
      <w:r>
        <w:fldChar w:fldCharType="separate"/>
      </w:r>
      <w:r w:rsidR="006E20E9">
        <w:t>(11)</w:t>
      </w:r>
      <w:r>
        <w:fldChar w:fldCharType="end"/>
      </w:r>
      <w:r>
        <w:t xml:space="preserve">, 3) </w:t>
      </w:r>
      <w:r w:rsidRPr="00D82AB5">
        <w:t xml:space="preserve">allergic asthma (defined as asthma with </w:t>
      </w:r>
      <w:r>
        <w:t xml:space="preserve">an </w:t>
      </w:r>
      <w:r w:rsidRPr="00D82AB5">
        <w:t>allergic disease</w:t>
      </w:r>
      <w:r>
        <w:t xml:space="preserve">—eczema, food allergy, and/or allergy rhinitis [identified by data fields 6152, 20002, 41202, 41204]; </w:t>
      </w:r>
      <w:r w:rsidRPr="0078487C">
        <w:t>n=</w:t>
      </w:r>
      <w:r w:rsidRPr="0078487C">
        <w:rPr>
          <w:rFonts w:eastAsia="Yu Gothic"/>
          <w:color w:val="000000"/>
        </w:rPr>
        <w:t>23</w:t>
      </w:r>
      <w:r>
        <w:rPr>
          <w:rFonts w:eastAsia="Yu Gothic"/>
          <w:color w:val="000000"/>
        </w:rPr>
        <w:t>,</w:t>
      </w:r>
      <w:r w:rsidRPr="0078487C">
        <w:rPr>
          <w:rFonts w:eastAsia="Yu Gothic"/>
          <w:color w:val="000000"/>
        </w:rPr>
        <w:t>183</w:t>
      </w:r>
      <w:r w:rsidRPr="00D82AB5">
        <w:t>)</w:t>
      </w:r>
      <w:r w:rsidRPr="00354B4F">
        <w:fldChar w:fldCharType="begin"/>
      </w:r>
      <w:r w:rsidR="006E20E9">
        <w:instrText xml:space="preserve"> ADDIN ZOTERO_ITEM CSL_CITATION {"citationID":"a1c7vcsat3s","properties":{"formattedCitation":"(7,10)","plainCitation":"(7,10)","noteIndex":0},"citationItems":[{"id":3607,"uris":["http://zotero.org/users/5054820/items/URR4DHWP"],"uri":["http://zotero.org/users/5054820/items/URR4DHWP"],"itemData":{"id":3607,"type":"article-journal","abstract":"Clinical and epidemiological data suggest that asthma and allergic diseases are associated and may share a common genetic etiology. We analyzed genome-wide SNP data for asthma and allergic diseases in 33,593 cases and 76,768 controls of European ancestry from UK Biobank. Two publicly available independent genome-wide association studies were used for replication. We have found a strong genome-wide genetic correlation between asthma and allergic diseases (rg = 0.75, P = 6.84 × 10-62). Cross-trait analysis identified 38 genome-wide significant loci, including 7 novel shared loci. Computational analysis showed that shared genetic loci are enriched in immune/inflammatory systems and tissues with epithelium cells. Our work identifies common genetic architectures shared between asthma and allergy and will help to advance understanding of the molecular mechanisms underlying co-morbid asthma and allergic diseases.","container-title":"Nature Genetics","DOI":"10.1038/s41588-018-0121-0","ISSN":"1546-1718","issue":"6","journalAbbreviation":"Nat Genet","language":"eng","note":"PMID: 29785011\nPMCID: PMC5980765","page":"857-864","source":"PubMed","title":"A genome-wide cross-trait analysis from UK Biobank highlights the shared genetic architecture of asthma and allergic diseases","volume":"50","author":[{"family":"Zhu","given":"Zhaozhong"},{"family":"Lee","given":"Phil H."},{"family":"Chaffin","given":"Mark D."},{"family":"Chung","given":"Wonil"},{"family":"Loh","given":"Po-Ru"},{"family":"Lu","given":"Quan"},{"family":"Christiani","given":"David C."},{"family":"Liang","given":"Liming"}],"issued":{"date-parts":[["2018"]]}}},{"id":3613,"uris":["http://zotero.org/users/5054820/items/2UURB7KR"],"uri":["http://zotero.org/users/5054820/items/2UURB7KR"],"itemData":{"id":3613,"type":"article-journal","abstract":"BACKGROUND: Clinical and epidemiologic studies have shown that obesity is associated with asthma and that these associations differ by asthma subtype. Little is known about the shared genetic components between obesity and asthma.\nOBJECTIVE: We sought to identify shared genetic associations between obesity-related traits and asthma subtypes in adults.\nMETHODS: A cross-trait genome-wide association study (GWAS) was performed using 457,822 subjects of European ancestry from the UK Biobank. Experimental evidence to support the role of genes significantly associated with both obesity-related traits and asthma through a GWAS was sought by using results from obese versus lean mouse RNA sequencing and RT-PCR experiments.\nRESULTS: We found a substantial positive genetic correlation between body mass index and later-onset asthma defined by asthma age of onset at 16 years or greater (Rg</w:instrText>
      </w:r>
      <w:r w:rsidR="006E20E9">
        <w:rPr>
          <w:rFonts w:hint="eastAsia"/>
        </w:rPr>
        <w:instrText> </w:instrText>
      </w:r>
      <w:r w:rsidR="006E20E9">
        <w:instrText xml:space="preserve">= 0.25, P = 9.56 × 10-22). Mendelian randomization analysis provided strong evidence in support of body mass index causally increasing asthma risk. Cross-trait meta-analysis identified 34 shared loci among 3 obesity-related traits and 2 asthma subtypes. GWAS functional analyses identified potential causal relationships between the shared loci and Genotype-Tissue Expression (GTEx) quantitative trait loci and shared immune- and cell differentiation-related pathways between obesity and asthma. Finally, RNA sequencing data from lungs of obese versus control mice found that 2 genes (acyl-coenzyme A oxidase-like [ACOXL] and myosin light chain 6 [MYL6]) from the cross-trait meta-analysis were differentially expressed, and these findings were validated by using RT-PCR in an independent set of mice.\nCONCLUSIONS: Our work identified shared genetic components between obesity-related traits and specific asthma subtypes, reinforcing the hypothesis that obesity causally increases the risk of asthma and identifying molecular pathways that might underlie both obesity and asthma.","container-title":"The Journal of Allergy and Clinical Immunology","DOI":"10.1016/j.jaci.2019.09.035","ISSN":"1097-6825","issue":"2","journalAbbreviation":"J Allergy Clin Immunol","language":"eng","note":"PMID: 31669095\nPMCID: PMC7010560","page":"537-549","source":"PubMed","title":"Shared genetic and experimental links between obesity-related traits and asthma subtypes in UK Biobank","volume":"145","author":[{"family":"Zhu","given":"Zhaozhong"},{"family":"Guo","given":"Yanjun"},{"family":"Shi","given":"Huwenbo"},{"family":"Liu","given":"Cong-Lin"},{"family":"Panganiban","given":"Ronald Allan"},{"family":"Chung","given":"Wonil"},{"family":"O'Connor","given":"Luke J."},{"family":"Himes","given":"Blanca E."},{"family":"Gazal","given":"Steven"},{"family":"Hasegawa","given":"Kohei"},{"family":"Camargo","given":"Carlos A."},{"family":"Qi","given":"Lu"},{"family":"Moffatt","given":"Miriam F."},{"family":"Hu","given":"Frank B."},{"family":"Lu","given":"Quan"},{"family":"Cookson","given":"William O. C."},{"family":"Liang","given":"Liming"}],"issued":{"date-parts":[["2020"]]}}}],"schema":"https://github.com/citation-style-language/schema/raw/master/csl-citation.json"} </w:instrText>
      </w:r>
      <w:r w:rsidRPr="00354B4F">
        <w:fldChar w:fldCharType="separate"/>
      </w:r>
      <w:r w:rsidR="006E20E9">
        <w:t>(7,10)</w:t>
      </w:r>
      <w:r w:rsidRPr="00354B4F">
        <w:fldChar w:fldCharType="end"/>
      </w:r>
      <w:r w:rsidRPr="00B000E2">
        <w:t xml:space="preserve">, </w:t>
      </w:r>
      <w:r w:rsidRPr="006D13CF">
        <w:t>4) n</w:t>
      </w:r>
      <w:r w:rsidRPr="00D82AB5">
        <w:t>on-allergic asthma (</w:t>
      </w:r>
      <w:r>
        <w:t xml:space="preserve">defined as </w:t>
      </w:r>
      <w:r w:rsidRPr="00D82AB5">
        <w:t>asthma without any allergic disease</w:t>
      </w:r>
      <w:r>
        <w:t xml:space="preserve">; </w:t>
      </w:r>
      <w:r w:rsidRPr="0078487C">
        <w:t>n=</w:t>
      </w:r>
      <w:r w:rsidRPr="0078487C">
        <w:rPr>
          <w:rFonts w:eastAsia="Yu Gothic"/>
          <w:color w:val="000000"/>
        </w:rPr>
        <w:t>23</w:t>
      </w:r>
      <w:r>
        <w:rPr>
          <w:rFonts w:eastAsia="Yu Gothic"/>
          <w:color w:val="000000"/>
        </w:rPr>
        <w:t>,</w:t>
      </w:r>
      <w:r w:rsidRPr="0078487C">
        <w:rPr>
          <w:rFonts w:eastAsia="Yu Gothic"/>
          <w:color w:val="000000"/>
        </w:rPr>
        <w:t>616</w:t>
      </w:r>
      <w:r w:rsidRPr="00D82AB5">
        <w:t>)</w:t>
      </w:r>
      <w:r>
        <w:t>, 5) obese asthma (defined as BMI of</w:t>
      </w:r>
      <m:oMath>
        <m:r>
          <w:rPr>
            <w:rFonts w:ascii="Cambria Math" w:hAnsi="Cambria Math"/>
          </w:rPr>
          <m:t xml:space="preserve"> ≥</m:t>
        </m:r>
      </m:oMath>
      <w:r>
        <w:t>30 kg/m</w:t>
      </w:r>
      <w:r w:rsidRPr="009E036B">
        <w:rPr>
          <w:vertAlign w:val="superscript"/>
        </w:rPr>
        <w:t>2</w:t>
      </w:r>
      <w:r>
        <w:t xml:space="preserve">; </w:t>
      </w:r>
      <w:r w:rsidRPr="0078487C">
        <w:t>n=</w:t>
      </w:r>
      <w:r>
        <w:t>13,550</w:t>
      </w:r>
      <w:r w:rsidRPr="004D6CB7">
        <w:t>), and 6)</w:t>
      </w:r>
      <w:r>
        <w:t xml:space="preserve"> non-obese asthma (defined as BMI of </w:t>
      </w:r>
      <m:oMath>
        <m:r>
          <w:rPr>
            <w:rFonts w:ascii="Cambria Math" w:hAnsi="Cambria Math"/>
          </w:rPr>
          <m:t>&lt;</m:t>
        </m:r>
      </m:oMath>
      <w:r>
        <w:t>30 kg/m</w:t>
      </w:r>
      <w:r w:rsidRPr="009E036B">
        <w:rPr>
          <w:vertAlign w:val="superscript"/>
        </w:rPr>
        <w:t>2</w:t>
      </w:r>
      <w:r>
        <w:t xml:space="preserve">; n=33,095). </w:t>
      </w:r>
      <w:r w:rsidRPr="009801FE">
        <w:t>Young adult-onset asthma (age of onset 12</w:t>
      </w:r>
      <w:r>
        <w:t>.1</w:t>
      </w:r>
      <w:r w:rsidRPr="009801FE">
        <w:t>–25 years)</w:t>
      </w:r>
      <w:r>
        <w:t xml:space="preserve"> </w:t>
      </w:r>
      <w:r w:rsidRPr="009801FE">
        <w:t>was not included in the genetic analysis due to its higher heterogeneity</w:t>
      </w:r>
      <w:r w:rsidR="004B4F93">
        <w:t xml:space="preserve"> </w:t>
      </w:r>
      <w:r>
        <w:fldChar w:fldCharType="begin"/>
      </w:r>
      <w:r w:rsidR="006E20E9">
        <w:instrText xml:space="preserve"> ADDIN ZOTERO_ITEM CSL_CITATION {"citationID":"a10nc040355","properties":{"formattedCitation":"(11\\uc0\\u8211{}13)","plainCitation":"(11–13)","noteIndex":0},"citationItems":[{"id":3615,"uris":["http://zotero.org/users/5054820/items/GBVMNH6Y"],"uri":["http://zotero.org/users/5054820/items/GBVMNH6Y"],"itemData":{"id":3615,"type":"article-journal","abstract":"Epidemiological studies demonstrate an association between asthma and mental health disorders, although little is known about the shared genetics and causality of this association. Thus, we aimed to investigate shared genetics and the causal link between asthma and mental health disorders.We conducted a large-scale genome-wide cross-trait association study to investigate genetic overlap between asthma from the UK Biobank and eight mental health disorders from the Psychiatric Genomics Consortium: attention deficit hyperactivity disorder (ADHD), anxiety disorder (ANX), autism spectrum disorder, bipolar disorder, eating disorder, major depressive disorder (MDD), post-traumatic stress disorder and schizophrenia (sample size 9537-394 283).In the single-trait genome-wide association analysis, we replicated 130 previously reported loci and discovered 31 novel independent loci that are associated with asthma. We identified that ADHD, ANX and MDD have a strong genetic correlation with asthma at the genome-wide level. Cross-trait meta-analysis identified seven loci jointly associated with asthma and ADHD, one locus with asthma and ANX, and 10 loci with asthma and MDD. Functional analysis revealed that the identified variants regulated gene expression in major tissues belonging to the exocrine/endocrine, digestive, respiratory and haemic/immune systems. Mendelian randomisation analyses suggested that ADHD and MDD (including 6.7% sample overlap with asthma) might increase the risk of asthma.This large-scale genome-wide cross-trait analysis identified shared genetics and potential causal links between asthma and three mental health disorders (ADHD, ANX and MDD). Such shared genetics implicate potential new biological functions that are in common among them.","container-title":"The European Respiratory Journal","DOI":"10.1183/13993003.01507-2019","ISSN":"1399-3003","issue":"6","journalAbbreviation":"Eur Respir J","language":"eng","note":"PMID: 31619474","source":"PubMed","title":"Shared genetics of asthma and mental health disorders: a large-scale genome-wide cross-trait analysis","title-short":"Shared genetics of asthma and mental health disorders","volume":"54","author":[{"family":"Zhu","given":"Zhaozhong"},{"family":"Zhu","given":"Xi"},{"family":"Liu","given":"Cong-Lin"},{"family":"Shi","given":"Huwenbo"},{"family":"Shen","given":"Sipeng"},{"family":"Yang","given":"Yunqi"},{"family":"Hasegawa","given":"Kohei"},{"family":"Camargo","given":"Carlos A."},{"family":"Liang","given":"Liming"}],"issued":{"date-parts":[["2019"]]}}},{"id":3670,"uris":["http://zotero.org/users/5054820/items/IRPPN23P"],"uri":["http://zotero.org/users/5054820/items/IRPPN23P"],"itemData":{"id":3670,"type":"article-journal","abstract":"BACKGROUND: Childhood-onset and adult-onset asthma differ with respect to severity and comorbidities. Whether they also differ with respect to genetic risk factors has not been previously investigated in large samples. The goals of this study were to identify shared and distinct genetic risk loci for childhood-onset and adult-onset asthma, and to identify the genes that might mediate the effects of associated variation.\nMETHODS: We did genome-wide and transcriptome-wide studies, using data from the UK Biobank, in individuals with asthma, including adults with childhood-onset asthma (onset before 12 years of age), adults with adult-onset asthma (onset between 26 and 65 years of age), and adults without asthma (controls; aged older than 38 years). We did genome-wide association studies (GWAS) for childhood-onset asthma and adult-onset asthma each compared with shared controls, and for age of asthma onset in all asthma cases, with a genome-wide significance threshold of p&lt;5 × 10-8. Enrichment studies determined the tissues in which genes at GWAS loci were most highly expressed, and PrediXcan, a transcriptome-wide gene-based test, was used to identify candidate risk genes.\nFINDINGS: Of 376 358 British white individuals from the UK Biobank, we included 37 846 with self-reports of doctor-diagnosed asthma: 9433 adults with childhood-onset asthma; 21 564 adults with adult-onset asthma; and an additional 6849 young adults with asthma with onset between 12 and 25 years of age. For the first and second GWAS analyses, 318 237 individuals older than 38 years without asthma were used as controls. We detected 61 independent asthma loci: 23 were childhood-onset specific, one was adult-onset specific, and 37 were shared. 19 loci were associated with age of asthma onset. The most significant asthma-associated locus was at 17q12 (odds ratio 1·406, 95% CI 1·365-1·448; p=1·45 × 10-111) in the childhood-onset GWAS. Genes at the childhood onset-specific loci were most highly expressed in skin, blood, and small intestine; genes at the adult onset-specific loci were most highly expressed in lung, blood, small intestine, and spleen. PrediXcan identified 113 unique candidate genes at 22 of the 61 GWAS loci. Single-nucleotide polymorphism-based heritability estimates were more than three times larger for childhood-onset asthma (0·327) than for adult-onset disease (0·098). The onset of disease in childhood was associated with additional genes with relatively large effect sizes, with the largest odds ratio observed at the FLG locus at 1q21.3 (1·970, 95% CI 1·823-2·129).\nINTERPRETATION: Genetic risk factors for adult-onset asthma are largely a subset of the genetic risk for childhood-onset asthma but with overall smaller effects, suggesting a greater role for non-genetic risk factors in adult-onset asthma. Combined with gene expression and tissue enrichment patterns, we suggest that the establishment of disease in children is driven more by dysregulated allergy and epithelial barrier function genes, whereas the cause of adult-onset asthma is more lung-centred and environmentally determined, but with immune-mediated mechanisms driving disease progression in both children and adults.\nFUNDING: US National Institutes of Health.","container-title":"The Lancet. Respiratory Medicine","DOI":"10.1016/S2213-2600(19)30055-4","ISSN":"2213-2619","issue":"6","journalAbbreviation":"Lancet Respir Med","language":"eng","note":"PMID: 31036433\nPMCID: PMC6534440","page":"509-522","source":"PubMed","title":"Shared and distinct genetic risk factors for childhood-onset and adult-onset asthma: genome-wide and transcriptome-wide studies","title-short":"Shared and distinct genetic risk factors for childhood-onset and adult-onset asthma","volume":"7","author":[{"family":"Pividori","given":"Milton"},{"family":"Schoettler","given":"Nathan"},{"family":"Nicolae","given":"Dan L."},{"family":"Ober","given":"Carole"},{"family":"Im","given":"Hae Kyung"}],"issued":{"date-parts":[["2019"]]}}},{"id":3667,"uris":["http://zotero.org/users/5054820/items/HH7AV7S6"],"uri":["http://zotero.org/users/5054820/items/HH7AV7S6"],"itemData":{"id":3667,"type":"article-journal","abstract":"The extent to which genetic risk factors are shared between childhood-onset (COA) and adult-onset (AOA) asthma has not been estimated. On the basis of data from the UK Biobank study (n = 447,628), we found that the variance in disease liability explained by common variants is higher for COA (onset at ages between 0 and 19 years; h2g = 25.6%) than for AOA (onset at ages between 20 and 60 years; h2g = 10.6%). The genetic correlation (rg) between COA and AOA was 0.67. Variation in age of onset among COA-affected individuals had a low heritability (h2g = 5%), which we confirmed in independent studies and also among AOA-affected individuals. To identify subtype-specific genetic associations, we performed a genome-wide association study (GWAS) in the UK Biobank for COA (13,962 affected individuals) and a separate GWAS for AOA (26,582 affected individuals) by using a common set of 300,671 controls for both studies. We identified 123 independent associations for COA and 56 for AOA (37 overlapped); of these, 98 and 34, respectively, were reproducible in an independent study (n = 262,767). Collectively, 28 associations were not previously reported. For 96 COA-associated variants, including five variants that represent COA-specific risk factors, the risk allele was more common in COA- than in AOA-affected individuals. Conversely, we identified three variants that are stronger risk factors for AOA. Variants associated with obesity and smoking had a stronger contribution to the risk of AOA than to the risk of COA. Lastly, we identified 109 likely target genes of the associated variants, primarily on the basis of correlated expression quantitative trait loci (up to n = 31,684). GWAS informed by age of onset can identify subtype-specific risk variants, which can help us understand differences in pathophysiology between COA and AOA and so can be informative for drug development.","container-title":"American Journal of Human Genetics","DOI":"10.1016/j.ajhg.2019.02.022","ISSN":"1537-6605","issue":"4","journalAbbreviation":"Am J Hum Genet","language":"eng","note":"PMID: 30929738\nPMCID: PMC6451732","page":"665-684","source":"PubMed","title":"Genetic Architectures of Childhood- and Adult-Onset Asthma Are Partly Distinct","volume":"104","author":[{"family":"Ferreira","given":"Manuel A. R."},{"family":"Mathur","given":"Riddhima"},{"family":"Vonk","given":"Judith M."},{"family":"Szwajda","given":"Agnieszka"},{"family":"Brumpton","given":"Ben"},{"family":"Granell","given":"Raquel"},{"family":"Brew","given":"Bronwyn K."},{"family":"Ullemar","given":"Vilhelmina"},{"family":"Lu","given":"Yi"},{"family":"Jiang","given":"Yunxuan"},{"literal":"23andMe Research Team"},{"literal":"eQTLGen Consortium"},{"literal":"BIOS Consortium"},{"family":"Magnusson","given":"Patrik K. E."},{"family":"Karlsson","given":"Robert"},{"family":"Hinds","given":"David A."},{"family":"Paternoster","given":"Lavinia"},{"family":"Koppelman","given":"Gerard H."},{"family":"Almqvist","given":"Catarina"}],"issued":{"date-parts":[["2019"]],"season":"04"}}}],"schema":"https://github.com/citation-style-language/schema/raw/master/csl-citation.json"} </w:instrText>
      </w:r>
      <w:r>
        <w:fldChar w:fldCharType="separate"/>
      </w:r>
      <w:r w:rsidR="006E20E9" w:rsidRPr="006E20E9">
        <w:rPr>
          <w:rFonts w:cs="Times New Roman"/>
        </w:rPr>
        <w:t>(11–13)</w:t>
      </w:r>
      <w:r>
        <w:fldChar w:fldCharType="end"/>
      </w:r>
      <w:r w:rsidR="004B4F93">
        <w:t>.</w:t>
      </w:r>
      <w:r w:rsidRPr="0078487C">
        <w:t xml:space="preserve"> </w:t>
      </w:r>
      <w:r>
        <w:t xml:space="preserve">We also identified </w:t>
      </w:r>
      <w:r w:rsidRPr="0078487C">
        <w:t>shared controls (n=</w:t>
      </w:r>
      <w:r w:rsidRPr="0078487C">
        <w:rPr>
          <w:rFonts w:eastAsia="Yu Gothic"/>
          <w:color w:val="000000"/>
        </w:rPr>
        <w:t>347</w:t>
      </w:r>
      <w:r>
        <w:rPr>
          <w:rFonts w:eastAsia="Yu Gothic"/>
          <w:color w:val="000000"/>
        </w:rPr>
        <w:t>,</w:t>
      </w:r>
      <w:r w:rsidRPr="0078487C">
        <w:rPr>
          <w:rFonts w:eastAsia="Yu Gothic"/>
          <w:color w:val="000000"/>
        </w:rPr>
        <w:t>457</w:t>
      </w:r>
      <w:r w:rsidRPr="0078487C">
        <w:t>)</w:t>
      </w:r>
      <w:r>
        <w:t xml:space="preserve"> </w:t>
      </w:r>
      <w:r w:rsidRPr="009801FE">
        <w:t xml:space="preserve">with high-quality genotyping and complete phenotype/covariate data for GWAS </w:t>
      </w:r>
      <w:r>
        <w:t xml:space="preserve">association </w:t>
      </w:r>
      <w:r w:rsidRPr="009801FE">
        <w:t>analysis</w:t>
      </w:r>
      <w:r>
        <w:t xml:space="preserve">. </w:t>
      </w:r>
      <w:r w:rsidRPr="000C69B6">
        <w:t>To account for relatedness, the association</w:t>
      </w:r>
      <w:r>
        <w:t xml:space="preserve"> test</w:t>
      </w:r>
      <w:r w:rsidRPr="000C69B6">
        <w:t xml:space="preserve"> between imputed </w:t>
      </w:r>
      <w:r>
        <w:t>variant</w:t>
      </w:r>
      <w:r w:rsidRPr="000C69B6">
        <w:t>s</w:t>
      </w:r>
      <w:r>
        <w:t xml:space="preserve"> and asthma</w:t>
      </w:r>
      <w:r w:rsidRPr="000C69B6">
        <w:t xml:space="preserve"> traits in UK Biobank data and was carried out using BOLT-linear mixed model (LMM). The output of BOLT-LMM linear regression was transformed into log odds ratio (log</w:t>
      </w:r>
      <w:r>
        <w:t xml:space="preserve"> odds ratio</w:t>
      </w:r>
      <w:r w:rsidRPr="000C69B6">
        <w:t>) for HBP binary phenotype</w:t>
      </w:r>
      <w:r w:rsidR="004B4F93">
        <w:t xml:space="preserve"> </w:t>
      </w:r>
      <w:r>
        <w:fldChar w:fldCharType="begin"/>
      </w:r>
      <w:r w:rsidR="006E20E9">
        <w:instrText xml:space="preserve"> ADDIN ZOTERO_ITEM CSL_CITATION {"citationID":"a1h3onvpbo9","properties":{"formattedCitation":"(11,14)","plainCitation":"(11,14)","noteIndex":0},"citationItems":[{"id":3615,"uris":["http://zotero.org/users/5054820/items/GBVMNH6Y"],"uri":["http://zotero.org/users/5054820/items/GBVMNH6Y"],"itemData":{"id":3615,"type":"article-journal","abstract":"Epidemiological studies demonstrate an association between asthma and mental health disorders, although little is known about the shared genetics and causality of this association. Thus, we aimed to investigate shared genetics and the causal link between asthma and mental health disorders.We conducted a large-scale genome-wide cross-trait association study to investigate genetic overlap between asthma from the UK Biobank and eight mental health disorders from the Psychiatric Genomics Consortium: attention deficit hyperactivity disorder (ADHD), anxiety disorder (ANX), autism spectrum disorder, bipolar disorder, eating disorder, major depressive disorder (MDD), post-traumatic stress disorder and schizophrenia (sample size 9537-394 283).In the single-trait genome-wide association analysis, we replicated 130 previously reported loci and discovered 31 novel independent loci that are associated with asthma. We identified that ADHD, ANX and MDD have a strong genetic correlation with asthma at the genome-wide level. Cross-trait meta-analysis identified seven loci jointly associated with asthma and ADHD, one locus with asthma and ANX, and 10 loci with asthma and MDD. Functional analysis revealed that the identified variants regulated gene expression in major tissues belonging to the exocrine/endocrine, digestive, respiratory and haemic/immune systems. Mendelian randomisation analyses suggested that ADHD and MDD (including 6.7% sample overlap with asthma) might increase the risk of asthma.This large-scale genome-wide cross-trait analysis identified shared genetics and potential causal links between asthma and three mental health disorders (ADHD, ANX and MDD). Such shared genetics implicate potential new biological functions that are in common among them.","container-title":"The European Respiratory Journal","DOI":"10.1183/13993003.01507-2019","ISSN":"1399-3003","issue":"6","journalAbbreviation":"Eur Respir J","language":"eng","note":"PMID: 31619474","source":"PubMed","title":"Shared genetics of asthma and mental health disorders: a large-scale genome-wide cross-trait analysis","title-short":"Shared genetics of asthma and mental health disorders","volume":"54","author":[{"family":"Zhu","given":"Zhaozhong"},{"family":"Zhu","given":"Xi"},{"family":"Liu","given":"Cong-Lin"},{"family":"Shi","given":"Huwenbo"},{"family":"Shen","given":"Sipeng"},{"family":"Yang","given":"Yunqi"},{"family":"Hasegawa","given":"Kohei"},{"family":"Camargo","given":"Carlos A."},{"family":"Liang","given":"Liming"}],"issued":{"date-parts":[["2019"]]}}},{"id":3617,"uris":["http://zotero.org/users/5054820/items/2YE536BE"],"uri":["http://zotero.org/users/5054820/items/2YE536BE"],"itemData":{"id":3617,"type":"article-journal","abstract":"Linear mixed models are a powerful statistical tool for identifying genetic associations and avoiding confounding. However, existing methods are computationally intractable in large cohorts and may not optimize power. All existing methods require time cost O(MN(2)) (where N is the number of samples and M is the number of SNPs) and implicitly assume an infinitesimal genetic architecture in which effect sizes are normally distributed, which can limit power. Here we present a far more efficient mixed-model association method, BOLT-LMM, which requires only a small number of O(MN) time iterations and increases power by modeling more realistic, non-infinitesimal genetic architectures via a Bayesian mixture prior on marker effect sizes. We applied BOLT-LMM to 9 quantitative traits in 23,294 samples from the Women's Genome Health Study (WGHS) and observed significant increases in power, consistent with simulations. Theory and simulations show that the boost in power increases with cohort size, making BOLT-LMM appealing for genome-wide association studies in large cohorts.","container-title":"Nature Genetics","DOI":"10.1038/ng.3190","ISSN":"1546-1718","issue":"3","journalAbbreviation":"Nat Genet","language":"eng","note":"PMID: 25642633\nPMCID: PMC4342297","page":"284-290","source":"PubMed","title":"Efficient Bayesian mixed-model analysis increases association power in large cohorts","volume":"47","author":[{"family":"Loh","given":"Po-Ru"},{"family":"Tucker","given":"George"},{"family":"Bulik-Sullivan","given":"Brendan K."},{"family":"Vilhjálmsson","given":"Bjarni J."},{"family":"Finucane","given":"Hilary K."},{"family":"Salem","given":"Rany M."},{"family":"Chasman","given":"Daniel I."},{"family":"Ridker","given":"Paul M."},{"family":"Neale","given":"Benjamin M."},{"family":"Berger","given":"Bonnie"},{"family":"Patterson","given":"Nick"},{"family":"Price","given":"Alkes L."}],"issued":{"date-parts":[["2015",3]]}}}],"schema":"https://github.com/citation-style-language/schema/raw/master/csl-citation.json"} </w:instrText>
      </w:r>
      <w:r>
        <w:fldChar w:fldCharType="separate"/>
      </w:r>
      <w:r w:rsidR="006E20E9">
        <w:t>(11,14)</w:t>
      </w:r>
      <w:r>
        <w:fldChar w:fldCharType="end"/>
      </w:r>
      <w:r w:rsidR="004B4F93">
        <w:t>.</w:t>
      </w:r>
      <w:r>
        <w:t xml:space="preserve"> </w:t>
      </w:r>
    </w:p>
    <w:p w14:paraId="63676324" w14:textId="77777777" w:rsidR="00DE7F93" w:rsidRPr="00CE3564" w:rsidRDefault="00DE7F93" w:rsidP="004B4F93">
      <w:pPr>
        <w:pStyle w:val="BodyText"/>
        <w:spacing w:line="240" w:lineRule="auto"/>
        <w:rPr>
          <w:rFonts w:ascii="TimesNewRomanPSMT" w:hAnsi="TimesNewRomanPSMT"/>
        </w:rPr>
      </w:pPr>
    </w:p>
    <w:p w14:paraId="10535970" w14:textId="77777777" w:rsidR="00DE7F93" w:rsidRPr="00CE3564" w:rsidRDefault="00DE7F93" w:rsidP="004B4F93">
      <w:pPr>
        <w:pStyle w:val="BodyText"/>
        <w:spacing w:line="240" w:lineRule="auto"/>
        <w:rPr>
          <w:b/>
        </w:rPr>
      </w:pPr>
      <w:r w:rsidRPr="00CE3564">
        <w:rPr>
          <w:b/>
        </w:rPr>
        <w:t xml:space="preserve">Statistical </w:t>
      </w:r>
      <w:r>
        <w:rPr>
          <w:b/>
        </w:rPr>
        <w:t>A</w:t>
      </w:r>
      <w:r w:rsidRPr="00CE3564">
        <w:rPr>
          <w:b/>
        </w:rPr>
        <w:t>nalysis</w:t>
      </w:r>
    </w:p>
    <w:p w14:paraId="689ACCBE" w14:textId="6B7C64E9" w:rsidR="00DE7F93" w:rsidRDefault="00DE7F93" w:rsidP="004B4F93">
      <w:pPr>
        <w:pStyle w:val="BodyText"/>
        <w:spacing w:line="240" w:lineRule="auto"/>
        <w:ind w:firstLine="840"/>
        <w:rPr>
          <w:bCs/>
        </w:rPr>
      </w:pPr>
      <w:r>
        <w:rPr>
          <w:bCs/>
        </w:rPr>
        <w:t>As genetic instruments, w</w:t>
      </w:r>
      <w:r w:rsidRPr="00BA12EC">
        <w:rPr>
          <w:bCs/>
        </w:rPr>
        <w:t>e</w:t>
      </w:r>
      <w:r>
        <w:rPr>
          <w:bCs/>
        </w:rPr>
        <w:t xml:space="preserve"> first</w:t>
      </w:r>
      <w:r w:rsidRPr="00BA12EC">
        <w:rPr>
          <w:bCs/>
        </w:rPr>
        <w:t xml:space="preserve"> selected </w:t>
      </w:r>
      <w:r>
        <w:rPr>
          <w:bCs/>
        </w:rPr>
        <w:t xml:space="preserve">40 </w:t>
      </w:r>
      <w:r w:rsidRPr="00BA12EC">
        <w:rPr>
          <w:bCs/>
        </w:rPr>
        <w:t xml:space="preserve">independent </w:t>
      </w:r>
      <w:r w:rsidRPr="00BA12EC">
        <w:rPr>
          <w:bCs/>
          <w:i/>
          <w:iCs/>
        </w:rPr>
        <w:t>cis</w:t>
      </w:r>
      <w:r w:rsidRPr="00BA12EC">
        <w:rPr>
          <w:bCs/>
        </w:rPr>
        <w:t xml:space="preserve">-acting </w:t>
      </w:r>
      <w:r>
        <w:rPr>
          <w:bCs/>
        </w:rPr>
        <w:t>variant</w:t>
      </w:r>
      <w:r w:rsidRPr="00BA12EC">
        <w:rPr>
          <w:bCs/>
        </w:rPr>
        <w:t>s</w:t>
      </w:r>
      <w:r>
        <w:rPr>
          <w:bCs/>
        </w:rPr>
        <w:t xml:space="preserve"> </w:t>
      </w:r>
      <w:r w:rsidRPr="00BA12EC">
        <w:rPr>
          <w:bCs/>
        </w:rPr>
        <w:t xml:space="preserve">strongly associated with </w:t>
      </w:r>
      <w:r w:rsidRPr="00101F53">
        <w:rPr>
          <w:bCs/>
        </w:rPr>
        <w:t>soluble interleukin-6 receptor</w:t>
      </w:r>
      <w:r>
        <w:rPr>
          <w:bCs/>
        </w:rPr>
        <w:t xml:space="preserve"> (</w:t>
      </w:r>
      <w:r w:rsidRPr="00BA12EC">
        <w:rPr>
          <w:bCs/>
        </w:rPr>
        <w:t>sIL-6R</w:t>
      </w:r>
      <w:r>
        <w:rPr>
          <w:bCs/>
        </w:rPr>
        <w:t>)</w:t>
      </w:r>
      <w:r w:rsidRPr="00BA12EC">
        <w:rPr>
          <w:bCs/>
        </w:rPr>
        <w:t xml:space="preserve"> levels</w:t>
      </w:r>
      <w:r>
        <w:rPr>
          <w:bCs/>
        </w:rPr>
        <w:t xml:space="preserve"> (the relevance condition)</w:t>
      </w:r>
      <w:r w:rsidRPr="00BA12EC">
        <w:rPr>
          <w:bCs/>
        </w:rPr>
        <w:t xml:space="preserve"> (P</w:t>
      </w:r>
      <w:r w:rsidRPr="00BA12EC">
        <w:rPr>
          <w:bCs/>
          <w:vertAlign w:val="subscript"/>
        </w:rPr>
        <w:t>GWAS</w:t>
      </w:r>
      <m:oMath>
        <m:r>
          <w:rPr>
            <w:rFonts w:ascii="Cambria Math" w:hAnsi="Cambria Math"/>
            <w:vertAlign w:val="subscript"/>
          </w:rPr>
          <m:t>&lt;</m:t>
        </m:r>
      </m:oMath>
      <w:r w:rsidRPr="00BA12EC">
        <w:rPr>
          <w:bCs/>
        </w:rPr>
        <w:t>5</w:t>
      </w:r>
      <m:oMath>
        <m:r>
          <w:rPr>
            <w:rFonts w:ascii="Cambria Math" w:hAnsi="Cambria Math"/>
          </w:rPr>
          <m:t>×</m:t>
        </m:r>
      </m:oMath>
      <w:r w:rsidRPr="00BA12EC">
        <w:rPr>
          <w:bCs/>
        </w:rPr>
        <w:t>10</w:t>
      </w:r>
      <w:r w:rsidRPr="00BA12EC">
        <w:rPr>
          <w:bCs/>
          <w:vertAlign w:val="superscript"/>
        </w:rPr>
        <w:t>-6</w:t>
      </w:r>
      <w:r w:rsidRPr="00B477D0">
        <w:rPr>
          <w:rFonts w:ascii="MS Mincho" w:eastAsia="MS Mincho" w:hAnsi="MS Mincho" w:cs="MS Mincho"/>
          <w:bCs/>
        </w:rPr>
        <w:t>,</w:t>
      </w:r>
      <m:oMath>
        <m:r>
          <w:rPr>
            <w:rFonts w:ascii="Cambria Math" w:hAnsi="Cambria Math"/>
          </w:rPr>
          <m:t xml:space="preserve"> r</m:t>
        </m:r>
      </m:oMath>
      <w:r w:rsidRPr="00BA12EC">
        <w:rPr>
          <w:bCs/>
          <w:vertAlign w:val="superscript"/>
        </w:rPr>
        <w:t>2</w:t>
      </w:r>
      <w:r w:rsidRPr="00BA12EC">
        <w:rPr>
          <w:bCs/>
        </w:rPr>
        <w:t>&lt;0.1</w:t>
      </w:r>
      <w:r>
        <w:rPr>
          <w:bCs/>
        </w:rPr>
        <w:t>,</w:t>
      </w:r>
      <w:r w:rsidRPr="00B477D0">
        <w:rPr>
          <w:bCs/>
        </w:rPr>
        <w:t xml:space="preserve"> 250kb from </w:t>
      </w:r>
      <w:r w:rsidRPr="00B477D0">
        <w:rPr>
          <w:bCs/>
          <w:i/>
          <w:iCs/>
        </w:rPr>
        <w:t>IL6R</w:t>
      </w:r>
      <w:r>
        <w:rPr>
          <w:bCs/>
        </w:rPr>
        <w:t>)</w:t>
      </w:r>
      <w:r w:rsidRPr="00B477D0">
        <w:rPr>
          <w:bCs/>
        </w:rPr>
        <w:t xml:space="preserve"> </w:t>
      </w:r>
      <w:r>
        <w:rPr>
          <w:bCs/>
        </w:rPr>
        <w:t>in the INTERVAL study</w:t>
      </w:r>
      <w:r w:rsidRPr="00BA12EC">
        <w:rPr>
          <w:bCs/>
        </w:rPr>
        <w:t>.</w:t>
      </w:r>
      <w:r>
        <w:rPr>
          <w:bCs/>
        </w:rPr>
        <w:t xml:space="preserve"> One variant (</w:t>
      </w:r>
      <w:r w:rsidRPr="00DE7F93">
        <w:rPr>
          <w:bCs/>
        </w:rPr>
        <w:t>rs5777914</w:t>
      </w:r>
      <w:r>
        <w:rPr>
          <w:bCs/>
        </w:rPr>
        <w:t>) is missing from the outcome GWAS summary statistics. We searched LD proxy (</w:t>
      </w:r>
      <m:oMath>
        <m:r>
          <w:rPr>
            <w:rFonts w:ascii="Cambria Math" w:hAnsi="Cambria Math"/>
          </w:rPr>
          <m:t>r</m:t>
        </m:r>
      </m:oMath>
      <w:r w:rsidRPr="00BA12EC">
        <w:rPr>
          <w:bCs/>
          <w:vertAlign w:val="superscript"/>
        </w:rPr>
        <w:t>2</w:t>
      </w:r>
      <w:r>
        <w:rPr>
          <w:bCs/>
        </w:rPr>
        <w:t xml:space="preserve">&gt; 0.8) using </w:t>
      </w:r>
      <w:r w:rsidR="00D90C36" w:rsidRPr="000D0BD1">
        <w:rPr>
          <w:bCs/>
          <w:i/>
          <w:iCs/>
        </w:rPr>
        <w:t>LDlinkR</w:t>
      </w:r>
      <w:r w:rsidR="00D90C36">
        <w:rPr>
          <w:bCs/>
        </w:rPr>
        <w:t xml:space="preserve"> package</w:t>
      </w:r>
      <w:r w:rsidR="006E20E9">
        <w:rPr>
          <w:bCs/>
        </w:rPr>
        <w:fldChar w:fldCharType="begin"/>
      </w:r>
      <w:r w:rsidR="006E20E9">
        <w:rPr>
          <w:bCs/>
        </w:rPr>
        <w:instrText xml:space="preserve"> ADDIN ZOTERO_ITEM CSL_CITATION {"citationID":"EMvKWT4k","properties":{"formattedCitation":"(15)","plainCitation":"(15)","noteIndex":0},"citationItems":[{"id":3782,"uris":["http://zotero.org/users/5054820/items/QSL95Z7B"],"uri":["http://zotero.org/users/5054820/items/QSL95Z7B"],"itemData":{"id":3782,"type":"webpage","title":"CRAN - Package LDlinkR","URL":"https://cran.r-project.org/web/packages/LDlinkR/index.html","accessed":{"date-parts":[["2021",2,5]]}}}],"schema":"https://github.com/citation-style-language/schema/raw/master/csl-citation.json"} </w:instrText>
      </w:r>
      <w:r w:rsidR="006E20E9">
        <w:rPr>
          <w:bCs/>
        </w:rPr>
        <w:fldChar w:fldCharType="separate"/>
      </w:r>
      <w:r w:rsidR="006E20E9">
        <w:rPr>
          <w:bCs/>
          <w:noProof/>
        </w:rPr>
        <w:t>(15)</w:t>
      </w:r>
      <w:r w:rsidR="006E20E9">
        <w:rPr>
          <w:bCs/>
        </w:rPr>
        <w:fldChar w:fldCharType="end"/>
      </w:r>
      <w:r w:rsidR="00D90C36">
        <w:rPr>
          <w:bCs/>
        </w:rPr>
        <w:t xml:space="preserve">, but LD proxy for this variant was not identified. </w:t>
      </w:r>
      <w:r>
        <w:rPr>
          <w:bCs/>
        </w:rPr>
        <w:t xml:space="preserve">We then removed six palindromic variants because of the lack of availability of minor allele frequency data in the INTERVAL study, leaving 33 </w:t>
      </w:r>
      <w:r w:rsidRPr="00BA12EC">
        <w:rPr>
          <w:bCs/>
        </w:rPr>
        <w:t xml:space="preserve">independent </w:t>
      </w:r>
      <w:r w:rsidRPr="00BA12EC">
        <w:rPr>
          <w:bCs/>
          <w:i/>
          <w:iCs/>
        </w:rPr>
        <w:t>cis</w:t>
      </w:r>
      <w:r w:rsidRPr="00BA12EC">
        <w:rPr>
          <w:bCs/>
        </w:rPr>
        <w:t xml:space="preserve">-acting </w:t>
      </w:r>
      <w:r>
        <w:rPr>
          <w:bCs/>
        </w:rPr>
        <w:t>variant</w:t>
      </w:r>
      <w:r w:rsidRPr="00BA12EC">
        <w:rPr>
          <w:bCs/>
        </w:rPr>
        <w:t>s</w:t>
      </w:r>
      <w:r>
        <w:rPr>
          <w:bCs/>
        </w:rPr>
        <w:t xml:space="preserve"> for the current analysis (</w:t>
      </w:r>
      <w:r w:rsidR="00CE0E44" w:rsidRPr="004B4F93">
        <w:rPr>
          <w:b/>
        </w:rPr>
        <w:t>Supplementary Table</w:t>
      </w:r>
      <w:r w:rsidR="00CE0E44">
        <w:rPr>
          <w:bCs/>
        </w:rPr>
        <w:t xml:space="preserve"> </w:t>
      </w:r>
      <w:r w:rsidRPr="00CE3564">
        <w:rPr>
          <w:b/>
        </w:rPr>
        <w:t>1</w:t>
      </w:r>
      <w:r>
        <w:rPr>
          <w:bCs/>
        </w:rPr>
        <w:t xml:space="preserve">). </w:t>
      </w:r>
      <w:r w:rsidRPr="00BA12EC">
        <w:t xml:space="preserve">To ensure </w:t>
      </w:r>
      <w:r>
        <w:t>no confounding for variants (the independence condition)</w:t>
      </w:r>
      <w:r w:rsidRPr="00BA12EC">
        <w:t xml:space="preserve">, we </w:t>
      </w:r>
      <w:r>
        <w:t xml:space="preserve">investigated their </w:t>
      </w:r>
      <w:r w:rsidRPr="00BA12EC">
        <w:t xml:space="preserve">Bonferroni-corrected associations with </w:t>
      </w:r>
      <w:r>
        <w:t>potential</w:t>
      </w:r>
      <w:r w:rsidRPr="00BA12EC">
        <w:t xml:space="preserve"> confounders—education, smoking, </w:t>
      </w:r>
      <w:r>
        <w:t>and</w:t>
      </w:r>
      <w:r w:rsidRPr="00BA12EC">
        <w:t xml:space="preserve"> physical activity</w:t>
      </w:r>
      <w:r>
        <w:t>—</w:t>
      </w:r>
      <w:r w:rsidR="00BD1CC4">
        <w:t xml:space="preserve">using </w:t>
      </w:r>
      <w:r w:rsidR="00B0068A">
        <w:t>publicly available summary statistics</w:t>
      </w:r>
      <w:r w:rsidR="00B0068A" w:rsidRPr="00BA12EC">
        <w:t xml:space="preserve"> </w:t>
      </w:r>
      <w:r w:rsidRPr="00BA12EC">
        <w:t>in the UK Biobank</w:t>
      </w:r>
      <w:r w:rsidR="004B4F93">
        <w:t xml:space="preserve"> </w:t>
      </w:r>
      <w:r w:rsidR="006E20E9">
        <w:fldChar w:fldCharType="begin"/>
      </w:r>
      <w:r w:rsidR="006E20E9">
        <w:instrText xml:space="preserve"> ADDIN ZOTERO_ITEM CSL_CITATION {"citationID":"Qz0oGr1B","properties":{"formattedCitation":"(16)","plainCitation":"(16)","noteIndex":0},"citationItems":[{"id":3788,"uris":["http://zotero.org/users/5054820/items/TFLY5LY7"],"uri":["http://zotero.org/users/5054820/items/TFLY5LY7"],"itemData":{"id":3788,"type":"webpage","container-title":"Neale lab","language":"en-US","note":"source: www.nealelab.is","title":"UK Biobank","URL":"http://www.nealelab.is/uk-biobank","accessed":{"date-parts":[["2021",2,5]]}}}],"schema":"https://github.com/citation-style-language/schema/raw/master/csl-citation.json"} </w:instrText>
      </w:r>
      <w:r w:rsidR="006E20E9">
        <w:fldChar w:fldCharType="separate"/>
      </w:r>
      <w:r w:rsidR="006E20E9">
        <w:rPr>
          <w:noProof/>
        </w:rPr>
        <w:t>(16)</w:t>
      </w:r>
      <w:r w:rsidR="006E20E9">
        <w:fldChar w:fldCharType="end"/>
      </w:r>
      <w:r w:rsidR="004B4F93">
        <w:t>.</w:t>
      </w:r>
      <w:r w:rsidRPr="00BA12EC">
        <w:t xml:space="preserve"> </w:t>
      </w:r>
      <w:r>
        <w:t>We also assured that variants affect</w:t>
      </w:r>
      <w:r w:rsidRPr="00BA12EC">
        <w:t xml:space="preserve"> outcomes solely </w:t>
      </w:r>
      <w:r>
        <w:t>through</w:t>
      </w:r>
      <w:r w:rsidRPr="00BA12EC">
        <w:t xml:space="preserve"> sIL-6R</w:t>
      </w:r>
      <w:r>
        <w:t xml:space="preserve"> (the exclusion restriction condition) by examining the variants in </w:t>
      </w:r>
      <w:r w:rsidRPr="003072BC">
        <w:t>three curated genetic cross-reference systems</w:t>
      </w:r>
      <w:r>
        <w:t>—</w:t>
      </w:r>
      <w:r w:rsidRPr="00BA12EC">
        <w:t>Ensembl</w:t>
      </w:r>
      <w:r w:rsidR="004B4F93">
        <w:t xml:space="preserve"> </w:t>
      </w:r>
      <w:r>
        <w:fldChar w:fldCharType="begin"/>
      </w:r>
      <w:r w:rsidR="006E20E9">
        <w:instrText xml:space="preserve"> ADDIN ZOTERO_ITEM CSL_CITATION {"citationID":"a2dhtqab2vo","properties":{"formattedCitation":"(17)","plainCitation":"(17)","noteIndex":0},"citationItems":[{"id":3620,"uris":["http://zotero.org/users/5054820/items/2CVYGP5S"],"uri":["http://zotero.org/users/5054820/items/2CVYGP5S"],"itemData":{"id":3620,"type":"webpage","title":"Ensembl genome browser 101","URL":"https://uswest.ensembl.org/index.html","accessed":{"date-parts":[["2020",11,2]]}}}],"schema":"https://github.com/citation-style-language/schema/raw/master/csl-citation.json"} </w:instrText>
      </w:r>
      <w:r>
        <w:fldChar w:fldCharType="separate"/>
      </w:r>
      <w:r w:rsidR="006E20E9">
        <w:t>(17)</w:t>
      </w:r>
      <w:r>
        <w:fldChar w:fldCharType="end"/>
      </w:r>
      <w:r w:rsidR="004B4F93">
        <w:t>,</w:t>
      </w:r>
      <w:r w:rsidRPr="00BA12EC">
        <w:t xml:space="preserve"> GWAS catalog</w:t>
      </w:r>
      <w:r w:rsidR="004B4F93">
        <w:t xml:space="preserve"> </w:t>
      </w:r>
      <w:r>
        <w:fldChar w:fldCharType="begin"/>
      </w:r>
      <w:r w:rsidR="006E20E9">
        <w:instrText xml:space="preserve"> ADDIN ZOTERO_ITEM CSL_CITATION {"citationID":"ag8c5np28n","properties":{"formattedCitation":"(18)","plainCitation":"(18)","noteIndex":0},"citationItems":[{"id":3624,"uris":["http://zotero.org/users/5054820/items/LJV6NYHH"],"uri":["http://zotero.org/users/5054820/items/LJV6NYHH"],"itemData":{"id":3624,"type":"webpage","title":"GWAS Catalog","URL":"https://www.ebi.ac.uk/gwas/","accessed":{"date-parts":[["2020",11,2]]}}}],"schema":"https://github.com/citation-style-language/schema/raw/master/csl-citation.json"} </w:instrText>
      </w:r>
      <w:r>
        <w:fldChar w:fldCharType="separate"/>
      </w:r>
      <w:r w:rsidR="006E20E9">
        <w:t>(18)</w:t>
      </w:r>
      <w:r>
        <w:fldChar w:fldCharType="end"/>
      </w:r>
      <w:r w:rsidR="004B4F93">
        <w:t>,</w:t>
      </w:r>
      <w:r>
        <w:t xml:space="preserve"> and </w:t>
      </w:r>
      <w:r w:rsidRPr="00BA12EC">
        <w:t>PhenoScanner</w:t>
      </w:r>
      <w:r w:rsidR="004B4F93">
        <w:t xml:space="preserve"> </w:t>
      </w:r>
      <w:r>
        <w:fldChar w:fldCharType="begin"/>
      </w:r>
      <w:r w:rsidR="006E20E9">
        <w:instrText xml:space="preserve"> ADDIN ZOTERO_ITEM CSL_CITATION {"citationID":"a21g0a486qn","properties":{"formattedCitation":"(19)","plainCitation":"(19)","noteIndex":0},"citationItems":[{"id":3622,"uris":["http://zotero.org/users/5054820/items/7IAD92MN"],"uri":["http://zotero.org/users/5054820/items/7IAD92MN"],"itemData":{"id":3622,"type":"webpage","title":"PhenoScanner","URL":"http://www.phenoscanner.medschl.cam.ac.uk/","accessed":{"date-parts":[["2020",11,2]]}}}],"schema":"https://github.com/citation-style-language/schema/raw/master/csl-citation.json"} </w:instrText>
      </w:r>
      <w:r>
        <w:fldChar w:fldCharType="separate"/>
      </w:r>
      <w:r w:rsidR="006E20E9">
        <w:t>(19)</w:t>
      </w:r>
      <w:r>
        <w:fldChar w:fldCharType="end"/>
      </w:r>
      <w:r w:rsidR="004B4F93">
        <w:t>.</w:t>
      </w:r>
      <w:r>
        <w:t xml:space="preserve"> </w:t>
      </w:r>
      <w:r w:rsidRPr="00BA12EC">
        <w:t xml:space="preserve">To </w:t>
      </w:r>
      <w:r>
        <w:t xml:space="preserve">investigate </w:t>
      </w:r>
      <w:r w:rsidRPr="00BA12EC">
        <w:rPr>
          <w:color w:val="000000"/>
          <w:shd w:val="clear" w:color="auto" w:fill="FFFFFF"/>
        </w:rPr>
        <w:t xml:space="preserve">the association of </w:t>
      </w:r>
      <w:r>
        <w:t xml:space="preserve">variants </w:t>
      </w:r>
      <w:r w:rsidRPr="00BA12EC">
        <w:rPr>
          <w:color w:val="000000"/>
          <w:shd w:val="clear" w:color="auto" w:fill="FFFFFF"/>
        </w:rPr>
        <w:t xml:space="preserve">with outcomes, we used </w:t>
      </w:r>
      <w:r>
        <w:rPr>
          <w:color w:val="000000"/>
          <w:shd w:val="clear" w:color="auto" w:fill="FFFFFF"/>
        </w:rPr>
        <w:t xml:space="preserve">GWAS </w:t>
      </w:r>
      <w:r w:rsidRPr="00BA12EC">
        <w:rPr>
          <w:color w:val="000000"/>
          <w:shd w:val="clear" w:color="auto" w:fill="FFFFFF"/>
        </w:rPr>
        <w:t xml:space="preserve">summary statistics of the UK Biobank. </w:t>
      </w:r>
      <w:r>
        <w:rPr>
          <w:color w:val="000000"/>
          <w:shd w:val="clear" w:color="auto" w:fill="FFFFFF"/>
        </w:rPr>
        <w:t>We weighted t</w:t>
      </w:r>
      <w:r w:rsidRPr="00BA12EC">
        <w:rPr>
          <w:color w:val="000000"/>
          <w:shd w:val="clear" w:color="auto" w:fill="FFFFFF"/>
        </w:rPr>
        <w:t xml:space="preserve">he </w:t>
      </w:r>
      <w:r>
        <w:rPr>
          <w:color w:val="000000"/>
          <w:shd w:val="clear" w:color="auto" w:fill="FFFFFF"/>
        </w:rPr>
        <w:t xml:space="preserve">magnitude of </w:t>
      </w:r>
      <w:r w:rsidRPr="00BA12EC">
        <w:rPr>
          <w:color w:val="000000"/>
          <w:shd w:val="clear" w:color="auto" w:fill="FFFFFF"/>
        </w:rPr>
        <w:t xml:space="preserve">association of each </w:t>
      </w:r>
      <w:r>
        <w:rPr>
          <w:color w:val="000000"/>
          <w:shd w:val="clear" w:color="auto" w:fill="FFFFFF"/>
        </w:rPr>
        <w:t>variant</w:t>
      </w:r>
      <w:r w:rsidRPr="00BA12EC">
        <w:rPr>
          <w:color w:val="000000"/>
          <w:shd w:val="clear" w:color="auto" w:fill="FFFFFF"/>
        </w:rPr>
        <w:t xml:space="preserve"> with outcomes by </w:t>
      </w:r>
      <w:r>
        <w:rPr>
          <w:color w:val="000000"/>
          <w:shd w:val="clear" w:color="auto" w:fill="FFFFFF"/>
        </w:rPr>
        <w:t>that</w:t>
      </w:r>
      <w:r w:rsidRPr="00BA12EC">
        <w:rPr>
          <w:color w:val="000000"/>
          <w:shd w:val="clear" w:color="auto" w:fill="FFFFFF"/>
        </w:rPr>
        <w:t xml:space="preserve"> with sIL-6R, and </w:t>
      </w:r>
      <w:r>
        <w:rPr>
          <w:color w:val="000000"/>
          <w:shd w:val="clear" w:color="auto" w:fill="FFFFFF"/>
        </w:rPr>
        <w:t xml:space="preserve">combined causal </w:t>
      </w:r>
      <w:r w:rsidRPr="00BA12EC">
        <w:rPr>
          <w:color w:val="000000"/>
          <w:shd w:val="clear" w:color="auto" w:fill="FFFFFF"/>
        </w:rPr>
        <w:t xml:space="preserve">estimates </w:t>
      </w:r>
      <w:r>
        <w:rPr>
          <w:color w:val="000000"/>
          <w:shd w:val="clear" w:color="auto" w:fill="FFFFFF"/>
        </w:rPr>
        <w:t>of sIL-6R on each outcome by</w:t>
      </w:r>
      <w:r w:rsidRPr="00BA12EC">
        <w:rPr>
          <w:color w:val="000000"/>
          <w:shd w:val="clear" w:color="auto" w:fill="FFFFFF"/>
        </w:rPr>
        <w:t xml:space="preserve"> </w:t>
      </w:r>
      <w:r>
        <w:rPr>
          <w:color w:val="000000"/>
          <w:shd w:val="clear" w:color="auto" w:fill="FFFFFF"/>
        </w:rPr>
        <w:t xml:space="preserve">the </w:t>
      </w:r>
      <w:r w:rsidRPr="00BA12EC">
        <w:rPr>
          <w:color w:val="000000"/>
          <w:shd w:val="clear" w:color="auto" w:fill="FFFFFF"/>
        </w:rPr>
        <w:t>inverse-variance weighted meta-analysis</w:t>
      </w:r>
      <w:r>
        <w:rPr>
          <w:color w:val="000000"/>
          <w:shd w:val="clear" w:color="auto" w:fill="FFFFFF"/>
        </w:rPr>
        <w:t xml:space="preserve"> method with </w:t>
      </w:r>
      <w:r w:rsidR="00B0068A">
        <w:rPr>
          <w:color w:val="000000"/>
          <w:shd w:val="clear" w:color="auto" w:fill="FFFFFF"/>
        </w:rPr>
        <w:t xml:space="preserve">a </w:t>
      </w:r>
      <w:r w:rsidR="000D0BD1">
        <w:rPr>
          <w:color w:val="000000"/>
          <w:shd w:val="clear" w:color="auto" w:fill="FFFFFF"/>
        </w:rPr>
        <w:t>random-effects model</w:t>
      </w:r>
      <w:r w:rsidR="005F14AB">
        <w:rPr>
          <w:color w:val="000000"/>
          <w:shd w:val="clear" w:color="auto" w:fill="FFFFFF"/>
        </w:rPr>
        <w:t xml:space="preserve"> </w:t>
      </w:r>
      <w:r>
        <w:rPr>
          <w:color w:val="000000"/>
          <w:shd w:val="clear" w:color="auto" w:fill="FFFFFF"/>
        </w:rPr>
        <w:fldChar w:fldCharType="begin"/>
      </w:r>
      <w:r w:rsidR="006E20E9">
        <w:rPr>
          <w:color w:val="000000"/>
          <w:shd w:val="clear" w:color="auto" w:fill="FFFFFF"/>
        </w:rPr>
        <w:instrText xml:space="preserve"> ADDIN ZOTERO_ITEM CSL_CITATION {"citationID":"a7njmqgorm","properties":{"formattedCitation":"(20,21)","plainCitation":"(20,21)","noteIndex":0},"citationItems":[{"id":3639,"uris":["http://zotero.org/users/5054820/items/SIF3EHEW"],"uri":["http://zotero.org/users/5054820/items/SIF3EHEW"],"itemData":{"id":3639,"type":"article-journal","abstract":"Background: data furnishing a two-sample Mendelian randomization (MR) study are often visualized with the aid of a scatter plot, in which single-nucleotide polymorphism (SNP)-outcome associations are plotted against the SNP-exposure associations to provide an immediate picture of the causal-effect estimate for each individual variant. It is also convenient to overlay the standard inverse-variance weighted (IVW) estimate of causal effect as a fitted slope, to see whether an individual SNP provides evidence that supports, or conflicts with, the overall consensus. Unfortunately, the traditional scatter plot is not the most appropriate means to achieve this aim whenever SNP-outcome associations are estimated with varying degrees of precision and this is reflected in the analysis.\nMethods: We propose instead to use a small modification of the scatter plot-the Galbraith Radial plot-for the presentation of data and results from an MR study, which enjoys many advantages over the original method. On a practical level, it removes the need to recode the genetic data and enables a more straightforward detection of outliers and influential data points. Its use extends beyond the purely aesthetic, however, to suggest a more general modelling framework to operate within when conducting an MR study, including a new form of MR-Egger regression.\nResults: We illustrate the methods using data from a two-sample MR study to probe the causal effect of systolic blood pressure on coronary heart disease risk, allowing for the possible effects of pleiotropy. The Radial plot is shown to aid the detection of a single outlying variant that is responsible for large differences between IVW and MR-Egger regression estimates. Several additional plots are also proposed for informative data visualization.\nConclusions: The Radial plot should be considered in place of the scatter plot for visualizing, analysing and interpreting data from a two-sample summary data MR study. Software is provided to help facilitate its use.","container-title":"International Journal of Epidemiology","DOI":"10.1093/ije/dyy101","ISSN":"1464-3685","issue":"4","journalAbbreviation":"Int J Epidemiol","language":"eng","note":"PMID: 29961852\nPMCID: PMC6124632","page":"1264-1278","source":"PubMed","title":"Improving the visualization, interpretation and analysis of two-sample summary data Mendelian randomization via the Radial plot and Radial regression","volume":"47","author":[{"family":"Bowden","given":"Jack"},{"family":"Spiller","given":"Wesley"},{"family":"Del Greco M","given":"Fabiola"},{"family":"Sheehan","given":"Nuala"},{"family":"Thompson","given":"John"},{"family":"Minelli","given":"Cosetta"},{"family":"Davey Smith","given":"George"}],"issued":{"date-parts":[["2018"]],"season":"01"}}},{"id":3642,"uris":["http://zotero.org/users/5054820/items/VJBFDWAI"],"uri":["http://zotero.org/users/5054820/items/VJBFDWAI"],"itemData":{"id":3642,"type":"article-journal","abstract":"Mendelian randomization is the use of genetic instrumental variables to obtain causal inferences from observational data. Two recent developments for combining information on multiple uncorrelated instrumental variables (IVs) into a single causal estimate are as follows: (i) allele scores, in which individual-level data on the IVs are aggregated into a univariate score, which is used as a single IV, and (ii) a summary statistic method, in which causal estimates calculated from each IV using summarized data are combined in an inverse-variance weighted meta-analysis. To avoid bias from weak instruments, unweighted and externally weighted allele scores have been recommended. Here, we propose equivalent approaches using summarized data and also provide extensions of the methods for use with correlated IVs. We investigate the impact of different choices of weights on the bias and precision of estimates in simulation studies. We show that allele score estimates can be reproduced using summarized data on genetic associations with the risk factor and the outcome. Estimates from the summary statistic method using external weights are biased towards the null when the weights are imprecisely estimated; in contrast, allele score estimates are unbiased. With equal or external weights, both methods provide appropriate tests of the null hypothesis of no causal effect even with large numbers of potentially weak instruments. We illustrate these methods using summarized data on the causal effect of low-density lipoprotein cholesterol on coronary heart disease risk. It is shown that a more precise causal estimate can be obtained using multiple genetic variants from a single gene region, even if the variants are correlated.","container-title":"Statistics in Medicine","DOI":"10.1002/sim.6835","ISSN":"1097-0258","issue":"11","journalAbbreviation":"Stat Med","language":"eng","note":"PMID: 26661904\nPMCID: PMC4832315","page":"1880-1906","source":"PubMed","title":"Combining information on multiple instrumental variables in Mendelian randomization: comparison of allele score and summarized data methods","title-short":"Combining information on multiple instrumental variables in Mendelian randomization","volume":"35","author":[{"family":"Burgess","given":"Stephen"},{"family":"Dudbridge","given":"Frank"},{"family":"Thompson","given":"Simon G."}],"issued":{"date-parts":[["2016",5,20]]}}}],"schema":"https://github.com/citation-style-language/schema/raw/master/csl-citation.json"} </w:instrText>
      </w:r>
      <w:r>
        <w:rPr>
          <w:color w:val="000000"/>
          <w:shd w:val="clear" w:color="auto" w:fill="FFFFFF"/>
        </w:rPr>
        <w:fldChar w:fldCharType="separate"/>
      </w:r>
      <w:r w:rsidR="006E20E9">
        <w:rPr>
          <w:color w:val="000000"/>
        </w:rPr>
        <w:t>(20,21)</w:t>
      </w:r>
      <w:r>
        <w:rPr>
          <w:color w:val="000000"/>
          <w:shd w:val="clear" w:color="auto" w:fill="FFFFFF"/>
        </w:rPr>
        <w:fldChar w:fldCharType="end"/>
      </w:r>
      <w:r>
        <w:rPr>
          <w:color w:val="000000"/>
          <w:shd w:val="clear" w:color="auto" w:fill="FFFFFF"/>
        </w:rPr>
        <w:t xml:space="preserve"> </w:t>
      </w:r>
      <w:r>
        <w:rPr>
          <w:bCs/>
        </w:rPr>
        <w:t xml:space="preserve">using </w:t>
      </w:r>
      <w:r w:rsidRPr="00CE3564">
        <w:rPr>
          <w:bCs/>
          <w:i/>
          <w:iCs/>
        </w:rPr>
        <w:t xml:space="preserve">MendelianRandomization </w:t>
      </w:r>
      <w:r>
        <w:rPr>
          <w:bCs/>
        </w:rPr>
        <w:t>package</w:t>
      </w:r>
      <w:r w:rsidR="004B4F93">
        <w:rPr>
          <w:bCs/>
        </w:rPr>
        <w:t xml:space="preserve"> </w:t>
      </w:r>
      <w:r>
        <w:rPr>
          <w:bCs/>
        </w:rPr>
        <w:fldChar w:fldCharType="begin"/>
      </w:r>
      <w:r w:rsidR="006E20E9">
        <w:rPr>
          <w:bCs/>
        </w:rPr>
        <w:instrText xml:space="preserve"> ADDIN ZOTERO_ITEM CSL_CITATION {"citationID":"a17t7f9nu2a","properties":{"formattedCitation":"(22)","plainCitation":"(22)","noteIndex":0},"citationItems":[{"id":3626,"uris":["http://zotero.org/users/5054820/items/SAWSWIXN"],"uri":["http://zotero.org/users/5054820/items/SAWSWIXN"],"itemData":{"id":3626,"type":"book","abstract":"Encodes several methods for performing Mendelian randomization analyses with summarized data. Summarized data on genetic associations with the exposure and with the outcome can be obtained from large consortia. These data can be used for obtaining causal estimates using instrumental variable methods.","source":"R-Packages","title":"MendelianRandomization: Mendelian Randomization Package","title-short":"MendelianRandomization","URL":"https://CRAN.R-project.org/package=MendelianRandomization","version":"0.5.0","author":[{"family":"Staley","given":"Olena Yavorska James"}],"accessed":{"date-parts":[["2020",11,2]]},"issued":{"date-parts":[["2020",9,30]]}}}],"schema":"https://github.com/citation-style-language/schema/raw/master/csl-citation.json"} </w:instrText>
      </w:r>
      <w:r>
        <w:rPr>
          <w:bCs/>
        </w:rPr>
        <w:fldChar w:fldCharType="separate"/>
      </w:r>
      <w:r w:rsidR="006E20E9">
        <w:t>(22)</w:t>
      </w:r>
      <w:r>
        <w:rPr>
          <w:bCs/>
        </w:rPr>
        <w:fldChar w:fldCharType="end"/>
      </w:r>
      <w:r w:rsidR="004B4F93">
        <w:rPr>
          <w:bCs/>
        </w:rPr>
        <w:t>.</w:t>
      </w:r>
      <w:r>
        <w:rPr>
          <w:bCs/>
        </w:rPr>
        <w:t xml:space="preserve"> </w:t>
      </w:r>
    </w:p>
    <w:p w14:paraId="15AD7190" w14:textId="5C293FAF" w:rsidR="00DE7F93" w:rsidRPr="000B7CF6" w:rsidRDefault="002E1D56" w:rsidP="004B4F93">
      <w:pPr>
        <w:pStyle w:val="BodyText"/>
        <w:spacing w:line="240" w:lineRule="auto"/>
        <w:ind w:firstLine="840"/>
        <w:rPr>
          <w:bCs/>
        </w:rPr>
      </w:pPr>
      <w:r>
        <w:rPr>
          <w:color w:val="000000"/>
          <w:shd w:val="clear" w:color="auto" w:fill="FFFFFF"/>
        </w:rPr>
        <w:t>In</w:t>
      </w:r>
      <w:r>
        <w:rPr>
          <w:bCs/>
        </w:rPr>
        <w:t xml:space="preserve"> the</w:t>
      </w:r>
      <w:r w:rsidRPr="00BA12EC">
        <w:rPr>
          <w:bCs/>
        </w:rPr>
        <w:t xml:space="preserve"> sensitivity analyses</w:t>
      </w:r>
      <w:r>
        <w:rPr>
          <w:bCs/>
        </w:rPr>
        <w:t>,</w:t>
      </w:r>
      <w:r w:rsidRPr="00BA12EC">
        <w:rPr>
          <w:bCs/>
        </w:rPr>
        <w:t xml:space="preserve"> we </w:t>
      </w:r>
      <w:r>
        <w:rPr>
          <w:bCs/>
        </w:rPr>
        <w:t>first applied</w:t>
      </w:r>
      <w:r w:rsidRPr="00BA12EC">
        <w:rPr>
          <w:bCs/>
        </w:rPr>
        <w:t xml:space="preserve"> MR</w:t>
      </w:r>
      <w:r>
        <w:rPr>
          <w:bCs/>
        </w:rPr>
        <w:t>-</w:t>
      </w:r>
      <w:r w:rsidRPr="00BA12EC">
        <w:rPr>
          <w:bCs/>
        </w:rPr>
        <w:t>Egger regression</w:t>
      </w:r>
      <w:r w:rsidR="004B4F93">
        <w:rPr>
          <w:bCs/>
        </w:rPr>
        <w:t xml:space="preserve"> </w:t>
      </w:r>
      <w:r>
        <w:rPr>
          <w:bCs/>
        </w:rPr>
        <w:fldChar w:fldCharType="begin"/>
      </w:r>
      <w:r w:rsidR="006E20E9">
        <w:rPr>
          <w:bCs/>
        </w:rPr>
        <w:instrText xml:space="preserve"> ADDIN ZOTERO_ITEM CSL_CITATION {"citationID":"aavaq0ud93","properties":{"formattedCitation":"(23)","plainCitation":"(23)","noteIndex":0},"citationItems":[{"id":3645,"uris":["http://zotero.org/users/5054820/items/TZSF4J5F"],"uri":["http://zotero.org/users/5054820/items/TZSF4J5F"],"itemData":{"id":3645,"type":"article-journal","abstract":"Mendelian randomization-Egger (MR-Egger) is an analysis method for Mendelian randomization using summarized genetic data. MR-Egger consists of three parts: (1) a test for directional pleiotropy, (2) a test for a causal effect, and (3) an estimate of the causal effect. While conventional analysis methods for Mendelian randomization assume that all genetic variants satisfy the instrumental variable assumptions, the MR-Egger method is able to assess whether genetic variants have pleiotropic effects on the outcome that differ on average from zero (directional pleiotropy), as well as to provide a consistent estimate of the causal effect, under a weaker assumption-the InSIDE (INstrument Strength Independent of Direct Effect) assumption. In this paper, we provide a critical assessment of the MR-Egger method with regard to its implementation and interpretation. While the MR-Egger method is a worthwhile sensitivity analysis for detecting violations of the instrumental variable assumptions, there are several reasons why causal estimates from the MR-Egger method may be biased and have inflated Type 1 error rates in practice, including violations of the InSIDE assumption and the influence of outlying variants. The issues raised in this paper have potentially serious consequences for causal inferences from the MR-Egger approach. We give examples of scenarios in which the estimates from conventional Mendelian randomization methods and MR-Egger differ, and discuss how to interpret findings in such cases.","container-title":"European Journal of Epidemiology","DOI":"10.1007/s10654-017-0255-x","ISSN":"1573-7284","issue":"5","journalAbbreviation":"Eur J Epidemiol","language":"eng","note":"PMID: 28527048\nPMCID: PMC5506233","page":"377-389","source":"PubMed","title":"Interpreting findings from Mendelian randomization using the MR-Egger method","volume":"32","author":[{"family":"Burgess","given":"Stephen"},{"family":"Thompson","given":"Simon G."}],"issued":{"date-parts":[["2017"]]}}}],"schema":"https://github.com/citation-style-language/schema/raw/master/csl-citation.json"} </w:instrText>
      </w:r>
      <w:r>
        <w:rPr>
          <w:bCs/>
        </w:rPr>
        <w:fldChar w:fldCharType="separate"/>
      </w:r>
      <w:r w:rsidR="006E20E9">
        <w:t>(23)</w:t>
      </w:r>
      <w:r>
        <w:rPr>
          <w:bCs/>
        </w:rPr>
        <w:fldChar w:fldCharType="end"/>
      </w:r>
      <w:r w:rsidR="004B4F93">
        <w:rPr>
          <w:bCs/>
        </w:rPr>
        <w:t>,</w:t>
      </w:r>
      <w:r>
        <w:rPr>
          <w:bCs/>
        </w:rPr>
        <w:t xml:space="preserve"> </w:t>
      </w:r>
      <w:r w:rsidRPr="00BA12EC">
        <w:rPr>
          <w:bCs/>
        </w:rPr>
        <w:t>MR Pleiotropy RESidual Sum and Outlier (MR-PRESSO) test</w:t>
      </w:r>
      <w:r w:rsidR="004B4F93">
        <w:rPr>
          <w:bCs/>
        </w:rPr>
        <w:t xml:space="preserve"> </w:t>
      </w:r>
      <w:r>
        <w:rPr>
          <w:bCs/>
        </w:rPr>
        <w:fldChar w:fldCharType="begin"/>
      </w:r>
      <w:r w:rsidR="006E20E9">
        <w:rPr>
          <w:bCs/>
        </w:rPr>
        <w:instrText xml:space="preserve"> ADDIN ZOTERO_ITEM CSL_CITATION {"citationID":"a2i42jtoo5e","properties":{"formattedCitation":"(24)","plainCitation":"(24)","noteIndex":0},"citationItems":[{"id":3627,"uris":["http://zotero.org/users/5054820/items/4PNXNRRN"],"uri":["http://zotero.org/users/5054820/items/4PNXNRRN"],"itemData":{"id":3627,"type":"article-journal","abstract":"Horizontal pleiotropy occurs when the variant has an effect on disease outside of its effect on the exposure in Mendelian randomization (MR). Violation of the ‘no horizontal pleiotropy’ assumption can cause severe bias in MR. We developed the Mendelian randomization pleiotropy residual sum and outlier (MR-PRESSO) test to identify horizontal pleiotropic outliers in multi-instrument summary-level MR testing. We showed using simulations that the MR-PRESSO test is best suited when horizontal pleiotropy occurs in &lt;50% of instruments. Next we applied the MR-PRESSO test, along with several other MR tests, to complex traits and diseases and found that horizontal pleiotropy (i) was detectable in over 48% of significant causal relationships in MR; (ii) introduced distortions in the causal estimates in MR that ranged on average from –131% to 201%; (iii) induced false-positive causal relationships in up to 10% of relationships; and (iv) could be corrected in some but not all instances.","container-title":"Nature Genetics","DOI":"10.1038/s41588-018-0099-7","ISSN":"1546-1718","issue":"5","language":"en","note":"number: 5\npublisher: Nature Publishing Group","page":"693-698","source":"www.nature.com","title":"Detection of widespread horizontal pleiotropy in causal relationships inferred from Mendelian randomization between complex traits and diseases","volume":"50","author":[{"family":"Verbanck","given":"Marie"},{"family":"Chen","given":"Chia-Yen"},{"family":"Neale","given":"Benjamin"},{"family":"Do","given":"Ron"}],"issued":{"date-parts":[["2018",5]]}}}],"schema":"https://github.com/citation-style-language/schema/raw/master/csl-citation.json"} </w:instrText>
      </w:r>
      <w:r>
        <w:rPr>
          <w:bCs/>
        </w:rPr>
        <w:fldChar w:fldCharType="separate"/>
      </w:r>
      <w:r w:rsidR="006E20E9">
        <w:t>(24)</w:t>
      </w:r>
      <w:r>
        <w:rPr>
          <w:bCs/>
        </w:rPr>
        <w:fldChar w:fldCharType="end"/>
      </w:r>
      <w:r w:rsidR="004B4F93">
        <w:rPr>
          <w:bCs/>
        </w:rPr>
        <w:t>,</w:t>
      </w:r>
      <w:r>
        <w:rPr>
          <w:bCs/>
        </w:rPr>
        <w:t xml:space="preserve"> and MR </w:t>
      </w:r>
      <w:r w:rsidRPr="00BA12EC">
        <w:rPr>
          <w:bCs/>
        </w:rPr>
        <w:t>weighted median method</w:t>
      </w:r>
      <w:r w:rsidR="004B4F93">
        <w:rPr>
          <w:bCs/>
        </w:rPr>
        <w:t xml:space="preserve"> </w:t>
      </w:r>
      <w:r>
        <w:rPr>
          <w:bCs/>
        </w:rPr>
        <w:fldChar w:fldCharType="begin"/>
      </w:r>
      <w:r w:rsidR="006E20E9">
        <w:rPr>
          <w:bCs/>
        </w:rPr>
        <w:instrText xml:space="preserve"> ADDIN ZOTERO_ITEM CSL_CITATION {"citationID":"a1d603cc4ce","properties":{"formattedCitation":"(25)","plainCitation":"(25)","noteIndex":0},"citationItems":[{"id":3633,"uris":["http://zotero.org/users/5054820/items/NLLI7KRC"],"uri":["http://zotero.org/users/5054820/items/NLLI7KRC"],"itemData":{"id":3633,"type":"article-journal","abstract":"Developments in genome-wide association studies and the increasing availability of summary genetic association data have made application of Mendelian randomization relatively straightforward. However, obtaining reliable results from a Mendelian randomization investigation remains problematic, as the conventional inverse-variance weighted method only gives consistent estimates if all of the genetic variants in the analysis are valid instrumental variables. We present a novel weighted median estimator for combining data on multiple genetic variants into a single causal estimate. This estimator is consistent even when up to 50% of the information comes from invalid instrumental variables. In a simulation analysis, it is shown to have better finite-sample Type 1 error rates than the inverse-variance weighted method, and is complementary to the recently proposed MR-Egger (Mendelian randomization-Egger) regression method. In analyses of the causal effects of low-density lipoprotein cholesterol and high-density lipoprotein cholesterol on coronary artery disease risk, the inverse-variance weighted method suggests a causal effect of both lipid fractions, whereas the weighted median and MR-Egger regression methods suggest a null effect of high-density lipoprotein cholesterol that corresponds with the experimental evidence. Both median-based and MR-Egger regression methods should be considered as sensitivity analyses for Mendelian randomization investigations with multiple genetic variants.","container-title":"Genetic Epidemiology","DOI":"10.1002/gepi.21965","ISSN":"1098-2272","issue":"4","journalAbbreviation":"Genet Epidemiol","language":"eng","note":"PMID: 27061298\nPMCID: PMC4849733","page":"304-314","source":"PubMed","title":"Consistent Estimation in Mendelian Randomization with Some Invalid Instruments Using a Weighted Median Estimator","volume":"40","author":[{"family":"Bowden","given":"Jack"},{"family":"Davey Smith","given":"George"},{"family":"Haycock","given":"Philip C."},{"family":"Burgess","given":"Stephen"}],"issued":{"date-parts":[["2016",5]]}}}],"schema":"https://github.com/citation-style-language/schema/raw/master/csl-citation.json"} </w:instrText>
      </w:r>
      <w:r>
        <w:rPr>
          <w:bCs/>
        </w:rPr>
        <w:fldChar w:fldCharType="separate"/>
      </w:r>
      <w:r w:rsidR="006E20E9">
        <w:t>(25)</w:t>
      </w:r>
      <w:r>
        <w:rPr>
          <w:bCs/>
        </w:rPr>
        <w:fldChar w:fldCharType="end"/>
      </w:r>
      <w:r w:rsidR="004B4F93">
        <w:rPr>
          <w:bCs/>
        </w:rPr>
        <w:t>.</w:t>
      </w:r>
      <w:r>
        <w:rPr>
          <w:bCs/>
        </w:rPr>
        <w:t xml:space="preserve"> MR-Egger regression detects pleiotropy based on the assumption that the pleiotropic associations are independent from the genetic associations with the exposure (i.e., </w:t>
      </w:r>
      <w:r w:rsidRPr="004A059C">
        <w:rPr>
          <w:bCs/>
        </w:rPr>
        <w:t xml:space="preserve">the instrument strength independent of direct effect </w:t>
      </w:r>
      <w:r>
        <w:rPr>
          <w:bCs/>
        </w:rPr>
        <w:t>[</w:t>
      </w:r>
      <w:r w:rsidRPr="004A059C">
        <w:rPr>
          <w:bCs/>
        </w:rPr>
        <w:t>InSIDE</w:t>
      </w:r>
      <w:r>
        <w:rPr>
          <w:bCs/>
        </w:rPr>
        <w:t>]</w:t>
      </w:r>
      <w:r w:rsidRPr="004A059C">
        <w:rPr>
          <w:bCs/>
        </w:rPr>
        <w:t xml:space="preserve"> assumption</w:t>
      </w:r>
      <w:r>
        <w:rPr>
          <w:bCs/>
        </w:rPr>
        <w:t>) and provides corrected estimates. MR-PRESSO test</w:t>
      </w:r>
      <w:r>
        <w:rPr>
          <w:bCs/>
        </w:rPr>
        <w:fldChar w:fldCharType="begin"/>
      </w:r>
      <w:r w:rsidR="006E20E9">
        <w:rPr>
          <w:bCs/>
        </w:rPr>
        <w:instrText xml:space="preserve"> ADDIN ZOTERO_ITEM CSL_CITATION {"citationID":"a16ah2913oe","properties":{"formattedCitation":"(24)","plainCitation":"(24)","noteIndex":0},"citationItems":[{"id":3627,"uris":["http://zotero.org/users/5054820/items/4PNXNRRN"],"uri":["http://zotero.org/users/5054820/items/4PNXNRRN"],"itemData":{"id":3627,"type":"article-journal","abstract":"Horizontal pleiotropy occurs when the variant has an effect on disease outside of its effect on the exposure in Mendelian randomization (MR). Violation of the ‘no horizontal pleiotropy’ assumption can cause severe bias in MR. We developed the Mendelian randomization pleiotropy residual sum and outlier (MR-PRESSO) test to identify horizontal pleiotropic outliers in multi-instrument summary-level MR testing. We showed using simulations that the MR-PRESSO test is best suited when horizontal pleiotropy occurs in &lt;50% of instruments. Next we applied the MR-PRESSO test, along with several other MR tests, to complex traits and diseases and found that horizontal pleiotropy (i) was detectable in over 48% of significant causal relationships in MR; (ii) introduced distortions in the causal estimates in MR that ranged on average from –131% to 201%; (iii) induced false-positive causal relationships in up to 10% of relationships; and (iv) could be corrected in some but not all instances.","container-title":"Nature Genetics","DOI":"10.1038/s41588-018-0099-7","ISSN":"1546-1718","issue":"5","language":"en","note":"number: 5\npublisher: Nature Publishing Group","page":"693-698","source":"www.nature.com","title":"Detection of widespread horizontal pleiotropy in causal relationships inferred from Mendelian randomization between complex traits and diseases","volume":"50","author":[{"family":"Verbanck","given":"Marie"},{"family":"Chen","given":"Chia-Yen"},{"family":"Neale","given":"Benjamin"},{"family":"Do","given":"Ron"}],"issued":{"date-parts":[["2018",5]]}}}],"schema":"https://github.com/citation-style-language/schema/raw/master/csl-citation.json"} </w:instrText>
      </w:r>
      <w:r>
        <w:rPr>
          <w:bCs/>
        </w:rPr>
        <w:fldChar w:fldCharType="separate"/>
      </w:r>
      <w:r w:rsidR="006E20E9">
        <w:t>(24)</w:t>
      </w:r>
      <w:r>
        <w:rPr>
          <w:bCs/>
        </w:rPr>
        <w:fldChar w:fldCharType="end"/>
      </w:r>
      <w:r>
        <w:rPr>
          <w:bCs/>
        </w:rPr>
        <w:t xml:space="preserve"> detects violation of the restriction exclusion criterion assumption and provides corrected estimates by removing variants which exhibit pleiotropy. MR weighted median method provides consistent estimates even when 50% of the information comes from invalid variants. We conducted </w:t>
      </w:r>
      <w:r>
        <w:rPr>
          <w:color w:val="000000"/>
          <w:shd w:val="clear" w:color="auto" w:fill="FFFFFF"/>
        </w:rPr>
        <w:t xml:space="preserve">MR-Egger regression and weighted median method </w:t>
      </w:r>
      <w:r>
        <w:rPr>
          <w:bCs/>
        </w:rPr>
        <w:t xml:space="preserve">using </w:t>
      </w:r>
      <w:r w:rsidRPr="00CE3564">
        <w:rPr>
          <w:bCs/>
          <w:i/>
          <w:iCs/>
        </w:rPr>
        <w:t>MendelianRandomization</w:t>
      </w:r>
      <w:r>
        <w:rPr>
          <w:bCs/>
        </w:rPr>
        <w:t xml:space="preserve"> package</w:t>
      </w:r>
      <w:r>
        <w:rPr>
          <w:bCs/>
        </w:rPr>
        <w:fldChar w:fldCharType="begin"/>
      </w:r>
      <w:r w:rsidR="006E20E9">
        <w:rPr>
          <w:bCs/>
        </w:rPr>
        <w:instrText xml:space="preserve"> ADDIN ZOTERO_ITEM CSL_CITATION {"citationID":"a1r5lgrmmet","properties":{"formattedCitation":"(22)","plainCitation":"(22)","noteIndex":0},"citationItems":[{"id":3626,"uris":["http://zotero.org/users/5054820/items/SAWSWIXN"],"uri":["http://zotero.org/users/5054820/items/SAWSWIXN"],"itemData":{"id":3626,"type":"book","abstract":"Encodes several methods for performing Mendelian randomization analyses with summarized data. Summarized data on genetic associations with the exposure and with the outcome can be obtained from large consortia. These data can be used for obtaining causal estimates using instrumental variable methods.","source":"R-Packages","title":"MendelianRandomization: Mendelian Randomization Package","title-short":"MendelianRandomization","URL":"https://CRAN.R-project.org/package=MendelianRandomization","version":"0.5.0","author":[{"family":"Staley","given":"Olena Yavorska James"}],"accessed":{"date-parts":[["2020",11,2]]},"issued":{"date-parts":[["2020",9,30]]}}}],"schema":"https://github.com/citation-style-language/schema/raw/master/csl-citation.json"} </w:instrText>
      </w:r>
      <w:r>
        <w:rPr>
          <w:bCs/>
        </w:rPr>
        <w:fldChar w:fldCharType="separate"/>
      </w:r>
      <w:r w:rsidR="006E20E9">
        <w:t>(22)</w:t>
      </w:r>
      <w:r>
        <w:rPr>
          <w:bCs/>
        </w:rPr>
        <w:fldChar w:fldCharType="end"/>
      </w:r>
      <w:r>
        <w:rPr>
          <w:bCs/>
        </w:rPr>
        <w:t xml:space="preserve"> and </w:t>
      </w:r>
      <w:r w:rsidRPr="00BA12EC">
        <w:rPr>
          <w:bCs/>
        </w:rPr>
        <w:t>MR-PRESSO</w:t>
      </w:r>
      <w:r>
        <w:rPr>
          <w:bCs/>
        </w:rPr>
        <w:t xml:space="preserve"> using </w:t>
      </w:r>
      <w:r w:rsidRPr="00CE3564">
        <w:rPr>
          <w:bCs/>
          <w:i/>
          <w:iCs/>
        </w:rPr>
        <w:t>MRPRESSO</w:t>
      </w:r>
      <w:r>
        <w:rPr>
          <w:bCs/>
        </w:rPr>
        <w:t xml:space="preserve"> package</w:t>
      </w:r>
      <w:r w:rsidR="004B4F93">
        <w:rPr>
          <w:bCs/>
        </w:rPr>
        <w:t xml:space="preserve"> </w:t>
      </w:r>
      <w:r>
        <w:rPr>
          <w:bCs/>
        </w:rPr>
        <w:fldChar w:fldCharType="begin"/>
      </w:r>
      <w:r w:rsidR="006E20E9">
        <w:rPr>
          <w:bCs/>
        </w:rPr>
        <w:instrText xml:space="preserve"> ADDIN ZOTERO_ITEM CSL_CITATION {"citationID":"a123ds5in7t","properties":{"formattedCitation":"(24)","plainCitation":"(24)","noteIndex":0},"citationItems":[{"id":3627,"uris":["http://zotero.org/users/5054820/items/4PNXNRRN"],"uri":["http://zotero.org/users/5054820/items/4PNXNRRN"],"itemData":{"id":3627,"type":"article-journal","abstract":"Horizontal pleiotropy occurs when the variant has an effect on disease outside of its effect on the exposure in Mendelian randomization (MR). Violation of the ‘no horizontal pleiotropy’ assumption can cause severe bias in MR. We developed the Mendelian randomization pleiotropy residual sum and outlier (MR-PRESSO) test to identify horizontal pleiotropic outliers in multi-instrument summary-level MR testing. We showed using simulations that the MR-PRESSO test is best suited when horizontal pleiotropy occurs in &lt;50% of instruments. Next we applied the MR-PRESSO test, along with several other MR tests, to complex traits and diseases and found that horizontal pleiotropy (i) was detectable in over 48% of significant causal relationships in MR; (ii) introduced distortions in the causal estimates in MR that ranged on average from –131% to 201%; (iii) induced false-positive causal relationships in up to 10% of relationships; and (iv) could be corrected in some but not all instances.","container-title":"Nature Genetics","DOI":"10.1038/s41588-018-0099-7","ISSN":"1546-1718","issue":"5","language":"en","note":"number: 5\npublisher: Nature Publishing Group","page":"693-698","source":"www.nature.com","title":"Detection of widespread horizontal pleiotropy in causal relationships inferred from Mendelian randomization between complex traits and diseases","volume":"50","author":[{"family":"Verbanck","given":"Marie"},{"family":"Chen","given":"Chia-Yen"},{"family":"Neale","given":"Benjamin"},{"family":"Do","given":"Ron"}],"issued":{"date-parts":[["2018",5]]}}}],"schema":"https://github.com/citation-style-language/schema/raw/master/csl-citation.json"} </w:instrText>
      </w:r>
      <w:r>
        <w:rPr>
          <w:bCs/>
        </w:rPr>
        <w:fldChar w:fldCharType="separate"/>
      </w:r>
      <w:r w:rsidR="006E20E9">
        <w:t>(24)</w:t>
      </w:r>
      <w:r>
        <w:rPr>
          <w:bCs/>
        </w:rPr>
        <w:fldChar w:fldCharType="end"/>
      </w:r>
      <w:r w:rsidR="004B4F93">
        <w:rPr>
          <w:bCs/>
        </w:rPr>
        <w:t>.</w:t>
      </w:r>
      <w:r>
        <w:rPr>
          <w:bCs/>
        </w:rPr>
        <w:t xml:space="preserve"> </w:t>
      </w:r>
      <w:r w:rsidR="00DE7F93">
        <w:rPr>
          <w:bCs/>
        </w:rPr>
        <w:t xml:space="preserve">Second, we also </w:t>
      </w:r>
      <w:r w:rsidR="00DE7F93" w:rsidRPr="00BA12EC">
        <w:rPr>
          <w:bCs/>
        </w:rPr>
        <w:t xml:space="preserve">used </w:t>
      </w:r>
      <w:r w:rsidR="00DE7F93">
        <w:rPr>
          <w:bCs/>
        </w:rPr>
        <w:t>more-</w:t>
      </w:r>
      <w:r w:rsidR="00DE7F93" w:rsidRPr="00BA12EC">
        <w:rPr>
          <w:bCs/>
        </w:rPr>
        <w:t>stringent P</w:t>
      </w:r>
      <w:r w:rsidR="00DE7F93" w:rsidRPr="00BA12EC">
        <w:rPr>
          <w:bCs/>
          <w:vertAlign w:val="subscript"/>
        </w:rPr>
        <w:t>GWAS</w:t>
      </w:r>
      <w:r w:rsidR="00DE7F93" w:rsidRPr="00BA12EC">
        <w:rPr>
          <w:bCs/>
        </w:rPr>
        <w:t xml:space="preserve"> (P</w:t>
      </w:r>
      <w:r w:rsidR="00DE7F93" w:rsidRPr="00BA12EC">
        <w:rPr>
          <w:bCs/>
          <w:vertAlign w:val="subscript"/>
        </w:rPr>
        <w:t>GWA</w:t>
      </w:r>
      <w:r w:rsidR="00DE7F93">
        <w:rPr>
          <w:bCs/>
          <w:vertAlign w:val="subscript"/>
        </w:rPr>
        <w:t>S</w:t>
      </w:r>
      <m:oMath>
        <m:r>
          <w:rPr>
            <w:rFonts w:ascii="Cambria Math" w:hAnsi="Cambria Math"/>
            <w:vertAlign w:val="subscript"/>
          </w:rPr>
          <m:t>&lt;</m:t>
        </m:r>
      </m:oMath>
      <w:r w:rsidR="00DE7F93" w:rsidRPr="00BA12EC">
        <w:rPr>
          <w:bCs/>
        </w:rPr>
        <w:t>5</w:t>
      </w:r>
      <m:oMath>
        <m:r>
          <w:rPr>
            <w:rFonts w:ascii="Cambria Math" w:hAnsi="Cambria Math"/>
          </w:rPr>
          <m:t>×</m:t>
        </m:r>
      </m:oMath>
      <w:r w:rsidR="00DE7F93" w:rsidRPr="00BA12EC">
        <w:rPr>
          <w:bCs/>
        </w:rPr>
        <w:t>10</w:t>
      </w:r>
      <w:r w:rsidR="00DE7F93" w:rsidRPr="00BA12EC">
        <w:rPr>
          <w:bCs/>
          <w:vertAlign w:val="superscript"/>
        </w:rPr>
        <w:t>-</w:t>
      </w:r>
      <w:r w:rsidR="00DE7F93" w:rsidRPr="002D2E3D">
        <w:rPr>
          <w:rFonts w:eastAsia="MS Mincho"/>
          <w:bCs/>
          <w:vertAlign w:val="superscript"/>
        </w:rPr>
        <w:t>8</w:t>
      </w:r>
      <w:r w:rsidR="00DE7F93" w:rsidRPr="00BA12EC">
        <w:rPr>
          <w:bCs/>
        </w:rPr>
        <w:t>) and linkage disequilibrium</w:t>
      </w:r>
      <w:r w:rsidR="00DE7F93" w:rsidRPr="00344AAE">
        <w:rPr>
          <w:bCs/>
        </w:rPr>
        <w:t xml:space="preserve"> (</w:t>
      </w:r>
      <m:oMath>
        <m:sSup>
          <m:sSupPr>
            <m:ctrlPr>
              <w:rPr>
                <w:rFonts w:ascii="Cambria Math" w:hAnsi="Cambria Math"/>
                <w:bCs/>
                <w:i/>
              </w:rPr>
            </m:ctrlPr>
          </m:sSupPr>
          <m:e>
            <m:r>
              <w:rPr>
                <w:rFonts w:ascii="Cambria Math" w:hAnsi="Cambria Math"/>
              </w:rPr>
              <m:t>r</m:t>
            </m:r>
          </m:e>
          <m:sup>
            <m:r>
              <w:rPr>
                <w:rFonts w:ascii="Cambria Math" w:hAnsi="Cambria Math"/>
              </w:rPr>
              <m:t>2</m:t>
            </m:r>
          </m:sup>
        </m:sSup>
        <m:r>
          <w:rPr>
            <w:rFonts w:ascii="Cambria Math" w:hAnsi="Cambria Math"/>
            <w:vertAlign w:val="superscript"/>
          </w:rPr>
          <m:t>&lt;</m:t>
        </m:r>
      </m:oMath>
      <w:r w:rsidR="00DE7F93">
        <w:rPr>
          <w:bCs/>
        </w:rPr>
        <w:t>0.</w:t>
      </w:r>
      <w:r w:rsidR="00DE7F93" w:rsidRPr="00344AAE">
        <w:rPr>
          <w:bCs/>
        </w:rPr>
        <w:t>0</w:t>
      </w:r>
      <w:r w:rsidR="00FC43CE">
        <w:rPr>
          <w:bCs/>
        </w:rPr>
        <w:t>2</w:t>
      </w:r>
      <w:r w:rsidR="00DE7F93" w:rsidRPr="00344AAE">
        <w:rPr>
          <w:bCs/>
        </w:rPr>
        <w:t>)</w:t>
      </w:r>
      <w:r w:rsidR="00DE7F93" w:rsidRPr="00BA12EC">
        <w:rPr>
          <w:bCs/>
        </w:rPr>
        <w:t xml:space="preserve"> threshold</w:t>
      </w:r>
      <w:r w:rsidR="00DE7F93">
        <w:rPr>
          <w:bCs/>
        </w:rPr>
        <w:t xml:space="preserve">s </w:t>
      </w:r>
      <w:r w:rsidR="00DE7F93" w:rsidRPr="004B675E">
        <w:rPr>
          <w:bCs/>
        </w:rPr>
        <w:t>to examine the robustn</w:t>
      </w:r>
      <w:r w:rsidR="00DE7F93" w:rsidRPr="00BA12EC">
        <w:rPr>
          <w:bCs/>
        </w:rPr>
        <w:t>ess of</w:t>
      </w:r>
      <w:r w:rsidR="00DE7F93">
        <w:rPr>
          <w:bCs/>
        </w:rPr>
        <w:t xml:space="preserve"> the</w:t>
      </w:r>
      <w:r w:rsidR="00DE7F93" w:rsidRPr="00BA12EC">
        <w:rPr>
          <w:bCs/>
        </w:rPr>
        <w:t xml:space="preserve"> </w:t>
      </w:r>
      <w:r w:rsidR="00DE7F93">
        <w:rPr>
          <w:bCs/>
        </w:rPr>
        <w:t xml:space="preserve">inferences. </w:t>
      </w:r>
      <w:r w:rsidR="00DE7F93">
        <w:t xml:space="preserve">We analyzed the data </w:t>
      </w:r>
      <w:r w:rsidR="00DE7F93" w:rsidRPr="00932B06">
        <w:t>u</w:t>
      </w:r>
      <w:r w:rsidR="00DE7F93">
        <w:t>sing</w:t>
      </w:r>
      <w:r w:rsidR="00DE7F93" w:rsidRPr="00932B06">
        <w:t xml:space="preserve"> </w:t>
      </w:r>
      <w:r w:rsidR="00DE7F93" w:rsidRPr="00932B06">
        <w:rPr>
          <w:bCs/>
        </w:rPr>
        <w:t>R</w:t>
      </w:r>
      <w:r w:rsidR="00DE7F93" w:rsidRPr="00932B06">
        <w:t xml:space="preserve"> version 3.</w:t>
      </w:r>
      <w:r w:rsidR="00CB0573">
        <w:t>6</w:t>
      </w:r>
      <w:r w:rsidR="00DE7F93" w:rsidRPr="00932B06">
        <w:t>.</w:t>
      </w:r>
      <w:r w:rsidR="00CB0573">
        <w:t>3</w:t>
      </w:r>
      <w:r w:rsidR="00DE7F93">
        <w:t xml:space="preserve"> (R foundation for Statistical Computing, Vienna, Austria).</w:t>
      </w:r>
    </w:p>
    <w:p w14:paraId="746072C8" w14:textId="77777777" w:rsidR="004134C5" w:rsidRDefault="004134C5" w:rsidP="00B669E4">
      <w:pPr>
        <w:rPr>
          <w:b/>
        </w:rPr>
      </w:pPr>
      <w:r>
        <w:rPr>
          <w:b/>
        </w:rPr>
        <w:br w:type="page"/>
      </w:r>
    </w:p>
    <w:p w14:paraId="259DD868" w14:textId="77777777" w:rsidR="004134C5" w:rsidRDefault="004134C5" w:rsidP="00B669E4">
      <w:pPr>
        <w:pStyle w:val="Default"/>
        <w:spacing w:line="480" w:lineRule="auto"/>
        <w:jc w:val="center"/>
        <w:rPr>
          <w:bCs/>
          <w:i/>
          <w:iCs/>
        </w:rPr>
      </w:pPr>
    </w:p>
    <w:p w14:paraId="7218B62C" w14:textId="5950EF2F" w:rsidR="004134C5" w:rsidRPr="00DC59D8" w:rsidRDefault="004134C5" w:rsidP="004134C5">
      <w:pPr>
        <w:pStyle w:val="BodyText"/>
        <w:spacing w:line="240" w:lineRule="auto"/>
        <w:rPr>
          <w:b/>
          <w:bCs/>
        </w:rPr>
      </w:pPr>
      <w:r w:rsidRPr="00DC59D8">
        <w:rPr>
          <w:b/>
          <w:bCs/>
        </w:rPr>
        <w:t>SUPPLEMENTA</w:t>
      </w:r>
      <w:r w:rsidR="006652F7">
        <w:rPr>
          <w:b/>
          <w:bCs/>
        </w:rPr>
        <w:t>RY</w:t>
      </w:r>
      <w:r w:rsidRPr="00DC59D8">
        <w:rPr>
          <w:b/>
          <w:bCs/>
        </w:rPr>
        <w:t xml:space="preserve"> REFERENCES</w:t>
      </w:r>
    </w:p>
    <w:p w14:paraId="39119A77" w14:textId="77777777" w:rsidR="004134C5" w:rsidRDefault="004134C5" w:rsidP="004134C5">
      <w:pPr>
        <w:autoSpaceDE w:val="0"/>
        <w:autoSpaceDN w:val="0"/>
        <w:adjustRightInd w:val="0"/>
        <w:spacing w:line="480" w:lineRule="auto"/>
        <w:ind w:left="566" w:hangingChars="235" w:hanging="566"/>
        <w:rPr>
          <w:b/>
          <w:bCs/>
        </w:rPr>
      </w:pPr>
    </w:p>
    <w:p w14:paraId="49D357AC" w14:textId="77777777" w:rsidR="006E20E9" w:rsidRPr="006E20E9" w:rsidRDefault="004134C5" w:rsidP="006E20E9">
      <w:pPr>
        <w:pStyle w:val="1"/>
      </w:pPr>
      <w:r>
        <w:rPr>
          <w:b/>
          <w:bCs/>
          <w:szCs w:val="22"/>
        </w:rPr>
        <w:fldChar w:fldCharType="begin"/>
      </w:r>
      <w:r w:rsidR="006E20E9">
        <w:rPr>
          <w:b/>
          <w:bCs/>
        </w:rPr>
        <w:instrText xml:space="preserve"> ADDIN ZOTERO_BIBL {"uncited":[],"omitted":[],"custom":[]} CSL_BIBLIOGRAPHY </w:instrText>
      </w:r>
      <w:r>
        <w:rPr>
          <w:b/>
          <w:bCs/>
          <w:szCs w:val="22"/>
        </w:rPr>
        <w:fldChar w:fldCharType="separate"/>
      </w:r>
      <w:r w:rsidR="006E20E9" w:rsidRPr="006E20E9">
        <w:t xml:space="preserve">1. </w:t>
      </w:r>
      <w:r w:rsidR="006E20E9" w:rsidRPr="006E20E9">
        <w:tab/>
        <w:t xml:space="preserve">Sun BB, Maranville JC, Peters JE, Stacey D, Staley JR, Blackshaw J, Burgess S, Jiang T, Paige E, Surendran P, et al. Genomic atlas of the human plasma proteome. </w:t>
      </w:r>
      <w:r w:rsidR="006E20E9" w:rsidRPr="006E20E9">
        <w:rPr>
          <w:i/>
          <w:iCs/>
        </w:rPr>
        <w:t>Nature</w:t>
      </w:r>
      <w:r w:rsidR="006E20E9" w:rsidRPr="006E20E9">
        <w:t xml:space="preserve"> (2018) </w:t>
      </w:r>
      <w:r w:rsidR="006E20E9" w:rsidRPr="006E20E9">
        <w:rPr>
          <w:b/>
          <w:bCs/>
        </w:rPr>
        <w:t>558</w:t>
      </w:r>
      <w:r w:rsidR="006E20E9" w:rsidRPr="006E20E9">
        <w:t>:73–79. doi:10.1038/s41586-018-0175-2</w:t>
      </w:r>
    </w:p>
    <w:p w14:paraId="4BD73448" w14:textId="49C96E94" w:rsidR="006E20E9" w:rsidRPr="006E20E9" w:rsidRDefault="006E20E9" w:rsidP="006E20E9">
      <w:pPr>
        <w:pStyle w:val="1"/>
      </w:pPr>
      <w:r w:rsidRPr="006E20E9">
        <w:t xml:space="preserve">2. </w:t>
      </w:r>
      <w:r w:rsidRPr="006E20E9">
        <w:tab/>
        <w:t>Ngo D, Sinha S, Shen D, Kuhn EW, Keyes MJ, Shi X, Benson MD, O’Sullivan JF, Keshishian H, Farrell LA, et al. Aptamer-</w:t>
      </w:r>
      <w:r w:rsidR="004B4F93">
        <w:t>b</w:t>
      </w:r>
      <w:r w:rsidRPr="006E20E9">
        <w:t xml:space="preserve">ased </w:t>
      </w:r>
      <w:r w:rsidR="004B4F93">
        <w:t>p</w:t>
      </w:r>
      <w:r w:rsidRPr="006E20E9">
        <w:t xml:space="preserve">roteomic </w:t>
      </w:r>
      <w:r w:rsidR="004B4F93">
        <w:t>p</w:t>
      </w:r>
      <w:r w:rsidRPr="006E20E9">
        <w:t xml:space="preserve">rofiling </w:t>
      </w:r>
      <w:r w:rsidR="004B4F93">
        <w:t>r</w:t>
      </w:r>
      <w:r w:rsidRPr="006E20E9">
        <w:t xml:space="preserve">eveals </w:t>
      </w:r>
      <w:r w:rsidR="004B4F93">
        <w:t>n</w:t>
      </w:r>
      <w:r w:rsidRPr="006E20E9">
        <w:t xml:space="preserve">ovel </w:t>
      </w:r>
      <w:r w:rsidR="004B4F93">
        <w:t>c</w:t>
      </w:r>
      <w:r w:rsidRPr="006E20E9">
        <w:t xml:space="preserve">andidate </w:t>
      </w:r>
      <w:r w:rsidR="004B4F93">
        <w:t>b</w:t>
      </w:r>
      <w:r w:rsidRPr="006E20E9">
        <w:t xml:space="preserve">iomarkers and </w:t>
      </w:r>
      <w:r w:rsidR="004B4F93">
        <w:t>p</w:t>
      </w:r>
      <w:r w:rsidRPr="006E20E9">
        <w:t xml:space="preserve">athways in </w:t>
      </w:r>
      <w:r w:rsidR="004B4F93">
        <w:t>c</w:t>
      </w:r>
      <w:r w:rsidRPr="006E20E9">
        <w:t xml:space="preserve">ardiovascular </w:t>
      </w:r>
      <w:r w:rsidR="004B4F93">
        <w:t>d</w:t>
      </w:r>
      <w:r w:rsidRPr="006E20E9">
        <w:t xml:space="preserve">isease. </w:t>
      </w:r>
      <w:r w:rsidRPr="006E20E9">
        <w:rPr>
          <w:i/>
          <w:iCs/>
        </w:rPr>
        <w:t>Circulation</w:t>
      </w:r>
      <w:r w:rsidRPr="006E20E9">
        <w:t xml:space="preserve"> (2016) </w:t>
      </w:r>
      <w:r w:rsidRPr="006E20E9">
        <w:rPr>
          <w:b/>
          <w:bCs/>
        </w:rPr>
        <w:t>134</w:t>
      </w:r>
      <w:r w:rsidRPr="006E20E9">
        <w:t>:270–285. doi:10.1161/CIRCULATIONAHA.116.021803</w:t>
      </w:r>
    </w:p>
    <w:p w14:paraId="19FD7CFC" w14:textId="77777777" w:rsidR="006E20E9" w:rsidRPr="006E20E9" w:rsidRDefault="006E20E9" w:rsidP="006E20E9">
      <w:pPr>
        <w:pStyle w:val="1"/>
      </w:pPr>
      <w:r w:rsidRPr="006E20E9">
        <w:t xml:space="preserve">3. </w:t>
      </w:r>
      <w:r w:rsidRPr="006E20E9">
        <w:tab/>
        <w:t xml:space="preserve">Kraemer S, Vaught JD, Bock C, Gold L, Katilius E, Keeney TR, Kim N, Saccomano NA, Wilcox SK, Zichi D, et al. From SOMAmer-based biomarker discovery to diagnostic and clinical applications: a SOMAmer-based, streamlined multiplex proteomic assay. </w:t>
      </w:r>
      <w:r w:rsidRPr="006E20E9">
        <w:rPr>
          <w:i/>
          <w:iCs/>
        </w:rPr>
        <w:t>PLoS ONE</w:t>
      </w:r>
      <w:r w:rsidRPr="006E20E9">
        <w:t xml:space="preserve"> (2011) </w:t>
      </w:r>
      <w:r w:rsidRPr="006E20E9">
        <w:rPr>
          <w:b/>
          <w:bCs/>
        </w:rPr>
        <w:t>6</w:t>
      </w:r>
      <w:r w:rsidRPr="006E20E9">
        <w:t>:e26332. doi:10.1371/journal.pone.0026332</w:t>
      </w:r>
    </w:p>
    <w:p w14:paraId="2CB08652" w14:textId="1EF25AB5" w:rsidR="006E20E9" w:rsidRPr="006E20E9" w:rsidRDefault="006E20E9" w:rsidP="006E20E9">
      <w:pPr>
        <w:pStyle w:val="1"/>
      </w:pPr>
      <w:r w:rsidRPr="006E20E9">
        <w:t xml:space="preserve">4. </w:t>
      </w:r>
      <w:r w:rsidRPr="006E20E9">
        <w:tab/>
        <w:t xml:space="preserve">Hensley P. SOMAmers and SOMAscan – A </w:t>
      </w:r>
      <w:r w:rsidR="004B4F93">
        <w:t>p</w:t>
      </w:r>
      <w:r w:rsidRPr="006E20E9">
        <w:t xml:space="preserve">rotein </w:t>
      </w:r>
      <w:r w:rsidR="004B4F93">
        <w:t>b</w:t>
      </w:r>
      <w:r w:rsidRPr="006E20E9">
        <w:t xml:space="preserve">iomarker </w:t>
      </w:r>
      <w:r w:rsidR="004B4F93">
        <w:t>d</w:t>
      </w:r>
      <w:r w:rsidRPr="006E20E9">
        <w:t xml:space="preserve">iscovery </w:t>
      </w:r>
      <w:r w:rsidR="004B4F93">
        <w:t>p</w:t>
      </w:r>
      <w:r w:rsidRPr="006E20E9">
        <w:t xml:space="preserve">latform for </w:t>
      </w:r>
      <w:r w:rsidR="004B4F93">
        <w:t>r</w:t>
      </w:r>
      <w:r w:rsidRPr="006E20E9">
        <w:t xml:space="preserve">apid </w:t>
      </w:r>
      <w:r w:rsidR="004B4F93">
        <w:t>a</w:t>
      </w:r>
      <w:r w:rsidRPr="006E20E9">
        <w:t xml:space="preserve">nalysis of </w:t>
      </w:r>
      <w:r w:rsidR="004B4F93">
        <w:t>s</w:t>
      </w:r>
      <w:r w:rsidRPr="006E20E9">
        <w:t xml:space="preserve">ample </w:t>
      </w:r>
      <w:r w:rsidR="004B4F93">
        <w:t>c</w:t>
      </w:r>
      <w:r w:rsidRPr="006E20E9">
        <w:t xml:space="preserve">ollections </w:t>
      </w:r>
      <w:r w:rsidR="004B4F93">
        <w:t>f</w:t>
      </w:r>
      <w:r w:rsidRPr="006E20E9">
        <w:t xml:space="preserve">rom </w:t>
      </w:r>
      <w:r w:rsidR="004B4F93">
        <w:t>b</w:t>
      </w:r>
      <w:r w:rsidRPr="006E20E9">
        <w:t xml:space="preserve">ench </w:t>
      </w:r>
      <w:r w:rsidR="004B4F93">
        <w:t>t</w:t>
      </w:r>
      <w:r w:rsidRPr="006E20E9">
        <w:t xml:space="preserve">op to the </w:t>
      </w:r>
      <w:r w:rsidR="004B4F93">
        <w:t>c</w:t>
      </w:r>
      <w:r w:rsidRPr="006E20E9">
        <w:t xml:space="preserve">linic. </w:t>
      </w:r>
      <w:r w:rsidRPr="006E20E9">
        <w:rPr>
          <w:i/>
          <w:iCs/>
        </w:rPr>
        <w:t>J Biomol Tech</w:t>
      </w:r>
      <w:r w:rsidRPr="006E20E9">
        <w:t xml:space="preserve"> (2013) </w:t>
      </w:r>
      <w:r w:rsidRPr="006E20E9">
        <w:rPr>
          <w:b/>
          <w:bCs/>
        </w:rPr>
        <w:t>24</w:t>
      </w:r>
      <w:r w:rsidRPr="006E20E9">
        <w:t>:S5.</w:t>
      </w:r>
    </w:p>
    <w:p w14:paraId="0B1DC92A" w14:textId="77777777" w:rsidR="006E20E9" w:rsidRPr="006E20E9" w:rsidRDefault="006E20E9" w:rsidP="006E20E9">
      <w:pPr>
        <w:pStyle w:val="1"/>
      </w:pPr>
      <w:r w:rsidRPr="006E20E9">
        <w:t xml:space="preserve">5. </w:t>
      </w:r>
      <w:r w:rsidRPr="006E20E9">
        <w:tab/>
        <w:t xml:space="preserve">Marchini J, Howie B, Myers S, McVean G, Donnelly P. A new multipoint method for genome-wide association studies by imputation of genotypes. </w:t>
      </w:r>
      <w:r w:rsidRPr="006E20E9">
        <w:rPr>
          <w:i/>
          <w:iCs/>
        </w:rPr>
        <w:t>Nat Genet</w:t>
      </w:r>
      <w:r w:rsidRPr="006E20E9">
        <w:t xml:space="preserve"> (2007) </w:t>
      </w:r>
      <w:r w:rsidRPr="006E20E9">
        <w:rPr>
          <w:b/>
          <w:bCs/>
        </w:rPr>
        <w:t>39</w:t>
      </w:r>
      <w:r w:rsidRPr="006E20E9">
        <w:t>:906–913. doi:10.1038/ng2088</w:t>
      </w:r>
    </w:p>
    <w:p w14:paraId="10BB0DC7" w14:textId="77777777" w:rsidR="006E20E9" w:rsidRPr="006E20E9" w:rsidRDefault="006E20E9" w:rsidP="006E20E9">
      <w:pPr>
        <w:pStyle w:val="1"/>
      </w:pPr>
      <w:r w:rsidRPr="006E20E9">
        <w:t xml:space="preserve">6. </w:t>
      </w:r>
      <w:r w:rsidRPr="006E20E9">
        <w:tab/>
        <w:t xml:space="preserve">Sudlow C, Gallacher J, Allen N, Beral V, Burton P, Danesh J, Downey P, Elliott P, Green J, Landray M, et al. UK biobank: an open access resource for identifying the causes of a wide range of complex diseases of middle and old age. </w:t>
      </w:r>
      <w:r w:rsidRPr="006E20E9">
        <w:rPr>
          <w:i/>
          <w:iCs/>
        </w:rPr>
        <w:t>PLoS Med</w:t>
      </w:r>
      <w:r w:rsidRPr="006E20E9">
        <w:t xml:space="preserve"> (2015) </w:t>
      </w:r>
      <w:r w:rsidRPr="006E20E9">
        <w:rPr>
          <w:b/>
          <w:bCs/>
        </w:rPr>
        <w:t>12</w:t>
      </w:r>
      <w:r w:rsidRPr="006E20E9">
        <w:t>:e1001779. doi:10.1371/journal.pmed.1001779</w:t>
      </w:r>
    </w:p>
    <w:p w14:paraId="730C43A3" w14:textId="77777777" w:rsidR="006E20E9" w:rsidRPr="006E20E9" w:rsidRDefault="006E20E9" w:rsidP="006E20E9">
      <w:pPr>
        <w:pStyle w:val="1"/>
      </w:pPr>
      <w:r w:rsidRPr="006E20E9">
        <w:t xml:space="preserve">7. </w:t>
      </w:r>
      <w:r w:rsidRPr="006E20E9">
        <w:tab/>
        <w:t xml:space="preserve">Zhu Z, Lee PH, Chaffin MD, Chung W, Loh P-R, Lu Q, Christiani DC, Liang L. A genome-wide cross-trait analysis from UK Biobank highlights the shared genetic architecture of asthma and allergic diseases. </w:t>
      </w:r>
      <w:r w:rsidRPr="006E20E9">
        <w:rPr>
          <w:i/>
          <w:iCs/>
        </w:rPr>
        <w:t>Nat Genet</w:t>
      </w:r>
      <w:r w:rsidRPr="006E20E9">
        <w:t xml:space="preserve"> (2018) </w:t>
      </w:r>
      <w:r w:rsidRPr="006E20E9">
        <w:rPr>
          <w:b/>
          <w:bCs/>
        </w:rPr>
        <w:t>50</w:t>
      </w:r>
      <w:r w:rsidRPr="006E20E9">
        <w:t>:857–864. doi:10.1038/s41588-018-0121-0</w:t>
      </w:r>
    </w:p>
    <w:p w14:paraId="388BB4D5" w14:textId="77777777" w:rsidR="006E20E9" w:rsidRPr="006E20E9" w:rsidRDefault="006E20E9" w:rsidP="006E20E9">
      <w:pPr>
        <w:pStyle w:val="1"/>
      </w:pPr>
      <w:r w:rsidRPr="006E20E9">
        <w:t xml:space="preserve">8. </w:t>
      </w:r>
      <w:r w:rsidRPr="006E20E9">
        <w:tab/>
        <w:t xml:space="preserve">1000 Genomes Project Consortium, Auton A, Brooks LD, Durbin RM, Garrison EP, Kang HM, Korbel JO, Marchini JL, McCarthy S, McVean GA, et al. A global reference for human genetic variation. </w:t>
      </w:r>
      <w:r w:rsidRPr="006E20E9">
        <w:rPr>
          <w:i/>
          <w:iCs/>
        </w:rPr>
        <w:t>Nature</w:t>
      </w:r>
      <w:r w:rsidRPr="006E20E9">
        <w:t xml:space="preserve"> (2015) </w:t>
      </w:r>
      <w:r w:rsidRPr="006E20E9">
        <w:rPr>
          <w:b/>
          <w:bCs/>
        </w:rPr>
        <w:t>526</w:t>
      </w:r>
      <w:r w:rsidRPr="006E20E9">
        <w:t>:68–74. doi:10.1038/nature15393</w:t>
      </w:r>
    </w:p>
    <w:p w14:paraId="62A52984" w14:textId="77777777" w:rsidR="006E20E9" w:rsidRPr="006E20E9" w:rsidRDefault="006E20E9" w:rsidP="006E20E9">
      <w:pPr>
        <w:pStyle w:val="1"/>
      </w:pPr>
      <w:r w:rsidRPr="006E20E9">
        <w:t xml:space="preserve">9. </w:t>
      </w:r>
      <w:r w:rsidRPr="006E20E9">
        <w:tab/>
        <w:t xml:space="preserve">UK10K Consortium, Walter K, Min JL, Huang J, Crooks L, Memari Y, McCarthy S, Perry JRB, Xu C, Futema M, et al. The UK10K project identifies rare variants in health and disease. </w:t>
      </w:r>
      <w:r w:rsidRPr="006E20E9">
        <w:rPr>
          <w:i/>
          <w:iCs/>
        </w:rPr>
        <w:t>Nature</w:t>
      </w:r>
      <w:r w:rsidRPr="006E20E9">
        <w:t xml:space="preserve"> (2015) </w:t>
      </w:r>
      <w:r w:rsidRPr="006E20E9">
        <w:rPr>
          <w:b/>
          <w:bCs/>
        </w:rPr>
        <w:t>526</w:t>
      </w:r>
      <w:r w:rsidRPr="006E20E9">
        <w:t>:82–90. doi:10.1038/nature14962</w:t>
      </w:r>
    </w:p>
    <w:p w14:paraId="75369A7F" w14:textId="77777777" w:rsidR="006E20E9" w:rsidRPr="006E20E9" w:rsidRDefault="006E20E9" w:rsidP="006E20E9">
      <w:pPr>
        <w:pStyle w:val="1"/>
      </w:pPr>
      <w:r w:rsidRPr="006E20E9">
        <w:t xml:space="preserve">10. </w:t>
      </w:r>
      <w:r w:rsidRPr="006E20E9">
        <w:tab/>
        <w:t xml:space="preserve">Zhu Z, Guo Y, Shi H, Liu C-L, Panganiban RA, Chung W, O’Connor LJ, Himes BE, Gazal S, Hasegawa K, et al. Shared genetic and experimental links between obesity-related traits and asthma subtypes in UK Biobank. </w:t>
      </w:r>
      <w:r w:rsidRPr="006E20E9">
        <w:rPr>
          <w:i/>
          <w:iCs/>
        </w:rPr>
        <w:t>J Allergy Clin Immunol</w:t>
      </w:r>
      <w:r w:rsidRPr="006E20E9">
        <w:t xml:space="preserve"> (2020) </w:t>
      </w:r>
      <w:r w:rsidRPr="006E20E9">
        <w:rPr>
          <w:b/>
          <w:bCs/>
        </w:rPr>
        <w:t>145</w:t>
      </w:r>
      <w:r w:rsidRPr="006E20E9">
        <w:t>:537–549. doi:10.1016/j.jaci.2019.09.035</w:t>
      </w:r>
    </w:p>
    <w:p w14:paraId="4AD1E968" w14:textId="77777777" w:rsidR="006E20E9" w:rsidRPr="006E20E9" w:rsidRDefault="006E20E9" w:rsidP="006E20E9">
      <w:pPr>
        <w:pStyle w:val="1"/>
      </w:pPr>
      <w:r w:rsidRPr="006E20E9">
        <w:t xml:space="preserve">11. </w:t>
      </w:r>
      <w:r w:rsidRPr="006E20E9">
        <w:tab/>
        <w:t xml:space="preserve">Zhu Z, Zhu X, Liu C-L, Shi H, Shen S, Yang Y, Hasegawa K, Camargo CA, Liang L. Shared genetics of asthma and mental health disorders: a large-scale genome-wide cross-trait analysis. </w:t>
      </w:r>
      <w:r w:rsidRPr="006E20E9">
        <w:rPr>
          <w:i/>
          <w:iCs/>
        </w:rPr>
        <w:t>Eur Respir J</w:t>
      </w:r>
      <w:r w:rsidRPr="006E20E9">
        <w:t xml:space="preserve"> (2019) </w:t>
      </w:r>
      <w:r w:rsidRPr="006E20E9">
        <w:rPr>
          <w:b/>
          <w:bCs/>
        </w:rPr>
        <w:t>54</w:t>
      </w:r>
      <w:r w:rsidRPr="006E20E9">
        <w:t>: doi:10.1183/13993003.01507-2019</w:t>
      </w:r>
    </w:p>
    <w:p w14:paraId="71F40A94" w14:textId="77777777" w:rsidR="006E20E9" w:rsidRPr="006E20E9" w:rsidRDefault="006E20E9" w:rsidP="006E20E9">
      <w:pPr>
        <w:pStyle w:val="1"/>
      </w:pPr>
      <w:r w:rsidRPr="006E20E9">
        <w:t xml:space="preserve">12. </w:t>
      </w:r>
      <w:r w:rsidRPr="006E20E9">
        <w:tab/>
        <w:t xml:space="preserve">Pividori M, Schoettler N, Nicolae DL, Ober C, Im HK. Shared and distinct genetic risk factors for childhood-onset and adult-onset asthma: genome-wide and transcriptome-wide studies. </w:t>
      </w:r>
      <w:r w:rsidRPr="006E20E9">
        <w:rPr>
          <w:i/>
          <w:iCs/>
        </w:rPr>
        <w:t>Lancet Respir Med</w:t>
      </w:r>
      <w:r w:rsidRPr="006E20E9">
        <w:t xml:space="preserve"> (2019) </w:t>
      </w:r>
      <w:r w:rsidRPr="006E20E9">
        <w:rPr>
          <w:b/>
          <w:bCs/>
        </w:rPr>
        <w:t>7</w:t>
      </w:r>
      <w:r w:rsidRPr="006E20E9">
        <w:t>:509–522. doi:10.1016/S2213-2600(19)30055-4</w:t>
      </w:r>
    </w:p>
    <w:p w14:paraId="3A46BAC4" w14:textId="6F80E5B3" w:rsidR="006E20E9" w:rsidRPr="006E20E9" w:rsidRDefault="006E20E9" w:rsidP="006E20E9">
      <w:pPr>
        <w:pStyle w:val="1"/>
      </w:pPr>
      <w:r w:rsidRPr="006E20E9">
        <w:t xml:space="preserve">13. </w:t>
      </w:r>
      <w:r w:rsidRPr="006E20E9">
        <w:tab/>
        <w:t xml:space="preserve">Ferreira MAR, Mathur R, Vonk JM, Szwajda A, Brumpton B, Granell R, Brew BK, Ullemar V, Lu Y, Jiang Y, et al. Genetic </w:t>
      </w:r>
      <w:r w:rsidR="004B4F93">
        <w:t>a</w:t>
      </w:r>
      <w:r w:rsidRPr="006E20E9">
        <w:t xml:space="preserve">rchitectures of </w:t>
      </w:r>
      <w:r w:rsidR="004B4F93">
        <w:t>c</w:t>
      </w:r>
      <w:r w:rsidRPr="006E20E9">
        <w:t xml:space="preserve">hildhood- and </w:t>
      </w:r>
      <w:r w:rsidR="004B4F93">
        <w:t>a</w:t>
      </w:r>
      <w:r w:rsidRPr="006E20E9">
        <w:t>dult-</w:t>
      </w:r>
      <w:r w:rsidR="004B4F93">
        <w:t>o</w:t>
      </w:r>
      <w:r w:rsidRPr="006E20E9">
        <w:t xml:space="preserve">nset </w:t>
      </w:r>
      <w:r w:rsidR="004B4F93">
        <w:t>a</w:t>
      </w:r>
      <w:r w:rsidRPr="006E20E9">
        <w:t xml:space="preserve">sthma </w:t>
      </w:r>
      <w:r w:rsidR="004B4F93">
        <w:t>a</w:t>
      </w:r>
      <w:r w:rsidRPr="006E20E9">
        <w:t xml:space="preserve">re </w:t>
      </w:r>
      <w:r w:rsidR="004B4F93">
        <w:t>p</w:t>
      </w:r>
      <w:r w:rsidRPr="006E20E9">
        <w:t xml:space="preserve">artly </w:t>
      </w:r>
      <w:r w:rsidR="004B4F93">
        <w:t>d</w:t>
      </w:r>
      <w:r w:rsidRPr="006E20E9">
        <w:t xml:space="preserve">istinct. </w:t>
      </w:r>
      <w:r w:rsidRPr="006E20E9">
        <w:rPr>
          <w:i/>
          <w:iCs/>
        </w:rPr>
        <w:t>Am J Hum Genet</w:t>
      </w:r>
      <w:r w:rsidRPr="006E20E9">
        <w:t xml:space="preserve"> (2019) </w:t>
      </w:r>
      <w:r w:rsidRPr="006E20E9">
        <w:rPr>
          <w:b/>
          <w:bCs/>
        </w:rPr>
        <w:t>104</w:t>
      </w:r>
      <w:r w:rsidRPr="006E20E9">
        <w:t>:665–684. doi:10.1016/j.ajhg.2019.02.022</w:t>
      </w:r>
    </w:p>
    <w:p w14:paraId="4677B35D" w14:textId="77777777" w:rsidR="006E20E9" w:rsidRPr="006E20E9" w:rsidRDefault="006E20E9" w:rsidP="006E20E9">
      <w:pPr>
        <w:pStyle w:val="1"/>
      </w:pPr>
      <w:r w:rsidRPr="006E20E9">
        <w:t xml:space="preserve">14. </w:t>
      </w:r>
      <w:r w:rsidRPr="006E20E9">
        <w:tab/>
        <w:t xml:space="preserve">Loh P-R, Tucker G, Bulik-Sullivan BK, Vilhjálmsson BJ, Finucane HK, Salem RM, Chasman DI, Ridker PM, Neale BM, Berger B, et al. Efficient Bayesian mixed-model analysis increases association power in large cohorts. </w:t>
      </w:r>
      <w:r w:rsidRPr="006E20E9">
        <w:rPr>
          <w:i/>
          <w:iCs/>
        </w:rPr>
        <w:t>Nat Genet</w:t>
      </w:r>
      <w:r w:rsidRPr="006E20E9">
        <w:t xml:space="preserve"> (2015) </w:t>
      </w:r>
      <w:r w:rsidRPr="006E20E9">
        <w:rPr>
          <w:b/>
          <w:bCs/>
        </w:rPr>
        <w:t>47</w:t>
      </w:r>
      <w:r w:rsidRPr="006E20E9">
        <w:t>:284–290. doi:10.1038/ng.3190</w:t>
      </w:r>
    </w:p>
    <w:p w14:paraId="7928DF88" w14:textId="77777777" w:rsidR="006E20E9" w:rsidRPr="006E20E9" w:rsidRDefault="006E20E9" w:rsidP="006E20E9">
      <w:pPr>
        <w:pStyle w:val="1"/>
      </w:pPr>
      <w:r w:rsidRPr="006E20E9">
        <w:t xml:space="preserve">15. </w:t>
      </w:r>
      <w:r w:rsidRPr="006E20E9">
        <w:tab/>
        <w:t>CRAN - Package LDlinkR. Available at: https://cran.r-project.org/web/packages/LDlinkR/index.html [Accessed February 5, 2021]</w:t>
      </w:r>
    </w:p>
    <w:p w14:paraId="30146210" w14:textId="77777777" w:rsidR="006E20E9" w:rsidRPr="006E20E9" w:rsidRDefault="006E20E9" w:rsidP="006E20E9">
      <w:pPr>
        <w:pStyle w:val="1"/>
      </w:pPr>
      <w:r w:rsidRPr="006E20E9">
        <w:t xml:space="preserve">16. </w:t>
      </w:r>
      <w:r w:rsidRPr="006E20E9">
        <w:tab/>
        <w:t xml:space="preserve">UK Biobank. </w:t>
      </w:r>
      <w:r w:rsidRPr="006E20E9">
        <w:rPr>
          <w:i/>
          <w:iCs/>
        </w:rPr>
        <w:t>Neale lab</w:t>
      </w:r>
      <w:r w:rsidRPr="006E20E9">
        <w:t xml:space="preserve"> Available at: http://www.nealelab.is/uk-biobank [Accessed February 5, 2021]</w:t>
      </w:r>
    </w:p>
    <w:p w14:paraId="1902CAD2" w14:textId="77777777" w:rsidR="006E20E9" w:rsidRPr="006E20E9" w:rsidRDefault="006E20E9" w:rsidP="006E20E9">
      <w:pPr>
        <w:pStyle w:val="1"/>
      </w:pPr>
      <w:r w:rsidRPr="006E20E9">
        <w:t xml:space="preserve">17. </w:t>
      </w:r>
      <w:r w:rsidRPr="006E20E9">
        <w:tab/>
        <w:t>Ensembl genome browser 101. Available at: https://uswest.ensembl.org/index.html [Accessed November 2, 2020]</w:t>
      </w:r>
    </w:p>
    <w:p w14:paraId="1B2B86F3" w14:textId="77777777" w:rsidR="006E20E9" w:rsidRPr="006E20E9" w:rsidRDefault="006E20E9" w:rsidP="006E20E9">
      <w:pPr>
        <w:pStyle w:val="1"/>
      </w:pPr>
      <w:r w:rsidRPr="006E20E9">
        <w:t xml:space="preserve">18. </w:t>
      </w:r>
      <w:r w:rsidRPr="006E20E9">
        <w:tab/>
        <w:t>GWAS Catalog. Available at: https://www.ebi.ac.uk/gwas/ [Accessed November 2, 2020]</w:t>
      </w:r>
    </w:p>
    <w:p w14:paraId="6FE4D5A4" w14:textId="77777777" w:rsidR="006E20E9" w:rsidRPr="006E20E9" w:rsidRDefault="006E20E9" w:rsidP="006E20E9">
      <w:pPr>
        <w:pStyle w:val="1"/>
      </w:pPr>
      <w:r w:rsidRPr="006E20E9">
        <w:t xml:space="preserve">19. </w:t>
      </w:r>
      <w:r w:rsidRPr="006E20E9">
        <w:tab/>
        <w:t>PhenoScanner. Available at: http://www.phenoscanner.medschl.cam.ac.uk/ [Accessed November 2, 2020]</w:t>
      </w:r>
    </w:p>
    <w:p w14:paraId="38E4EBB7" w14:textId="77777777" w:rsidR="006E20E9" w:rsidRPr="006E20E9" w:rsidRDefault="006E20E9" w:rsidP="006E20E9">
      <w:pPr>
        <w:pStyle w:val="1"/>
      </w:pPr>
      <w:r w:rsidRPr="006E20E9">
        <w:t xml:space="preserve">20. </w:t>
      </w:r>
      <w:r w:rsidRPr="006E20E9">
        <w:tab/>
        <w:t xml:space="preserve">Bowden J, Spiller W, Del Greco M F, Sheehan N, Thompson J, Minelli C, Davey Smith G. Improving the visualization, interpretation and analysis of two-sample summary data Mendelian randomization via the Radial plot and Radial regression. </w:t>
      </w:r>
      <w:r w:rsidRPr="006E20E9">
        <w:rPr>
          <w:i/>
          <w:iCs/>
        </w:rPr>
        <w:t>Int J Epidemiol</w:t>
      </w:r>
      <w:r w:rsidRPr="006E20E9">
        <w:t xml:space="preserve"> (2018) </w:t>
      </w:r>
      <w:r w:rsidRPr="006E20E9">
        <w:rPr>
          <w:b/>
          <w:bCs/>
        </w:rPr>
        <w:t>47</w:t>
      </w:r>
      <w:r w:rsidRPr="006E20E9">
        <w:t>:1264–1278. doi:10.1093/ije/dyy101</w:t>
      </w:r>
    </w:p>
    <w:p w14:paraId="41339E20" w14:textId="77777777" w:rsidR="006E20E9" w:rsidRPr="006E20E9" w:rsidRDefault="006E20E9" w:rsidP="006E20E9">
      <w:pPr>
        <w:pStyle w:val="1"/>
      </w:pPr>
      <w:r w:rsidRPr="006E20E9">
        <w:t xml:space="preserve">21. </w:t>
      </w:r>
      <w:r w:rsidRPr="006E20E9">
        <w:tab/>
        <w:t xml:space="preserve">Burgess S, Dudbridge F, Thompson SG. Combining information on multiple instrumental variables in Mendelian randomization: comparison of allele score and summarized data methods. </w:t>
      </w:r>
      <w:r w:rsidRPr="006E20E9">
        <w:rPr>
          <w:i/>
          <w:iCs/>
        </w:rPr>
        <w:t>Stat Med</w:t>
      </w:r>
      <w:r w:rsidRPr="006E20E9">
        <w:t xml:space="preserve"> (2016) </w:t>
      </w:r>
      <w:r w:rsidRPr="006E20E9">
        <w:rPr>
          <w:b/>
          <w:bCs/>
        </w:rPr>
        <w:t>35</w:t>
      </w:r>
      <w:r w:rsidRPr="006E20E9">
        <w:t>:1880–1906. doi:10.1002/sim.6835</w:t>
      </w:r>
    </w:p>
    <w:p w14:paraId="744618E0" w14:textId="77777777" w:rsidR="006E20E9" w:rsidRPr="006E20E9" w:rsidRDefault="006E20E9" w:rsidP="006E20E9">
      <w:pPr>
        <w:pStyle w:val="1"/>
      </w:pPr>
      <w:r w:rsidRPr="006E20E9">
        <w:t xml:space="preserve">22. </w:t>
      </w:r>
      <w:r w:rsidRPr="006E20E9">
        <w:tab/>
        <w:t xml:space="preserve">Staley OYJ. </w:t>
      </w:r>
      <w:r w:rsidRPr="006E20E9">
        <w:rPr>
          <w:i/>
          <w:iCs/>
        </w:rPr>
        <w:t>MendelianRandomization: Mendelian Randomization Package</w:t>
      </w:r>
      <w:r w:rsidRPr="006E20E9">
        <w:t>. (2020). Available at: https://CRAN.R-project.org/package=MendelianRandomization [Accessed November 2, 2020]</w:t>
      </w:r>
    </w:p>
    <w:p w14:paraId="40352EC1" w14:textId="77777777" w:rsidR="006E20E9" w:rsidRPr="006E20E9" w:rsidRDefault="006E20E9" w:rsidP="006E20E9">
      <w:pPr>
        <w:pStyle w:val="1"/>
      </w:pPr>
      <w:r w:rsidRPr="006E20E9">
        <w:t xml:space="preserve">23. </w:t>
      </w:r>
      <w:r w:rsidRPr="006E20E9">
        <w:tab/>
        <w:t xml:space="preserve">Burgess S, Thompson SG. Interpreting findings from Mendelian randomization using the MR-Egger method. </w:t>
      </w:r>
      <w:r w:rsidRPr="006E20E9">
        <w:rPr>
          <w:i/>
          <w:iCs/>
        </w:rPr>
        <w:t>Eur J Epidemiol</w:t>
      </w:r>
      <w:r w:rsidRPr="006E20E9">
        <w:t xml:space="preserve"> (2017) </w:t>
      </w:r>
      <w:r w:rsidRPr="006E20E9">
        <w:rPr>
          <w:b/>
          <w:bCs/>
        </w:rPr>
        <w:t>32</w:t>
      </w:r>
      <w:r w:rsidRPr="006E20E9">
        <w:t>:377–389. doi:10.1007/s10654-017-0255-x</w:t>
      </w:r>
    </w:p>
    <w:p w14:paraId="534F72CF" w14:textId="77777777" w:rsidR="006E20E9" w:rsidRPr="006E20E9" w:rsidRDefault="006E20E9" w:rsidP="006E20E9">
      <w:pPr>
        <w:pStyle w:val="1"/>
      </w:pPr>
      <w:r w:rsidRPr="006E20E9">
        <w:t xml:space="preserve">24. </w:t>
      </w:r>
      <w:r w:rsidRPr="006E20E9">
        <w:tab/>
        <w:t xml:space="preserve">Verbanck M, Chen C-Y, Neale B, Do R. Detection of widespread horizontal pleiotropy in causal relationships inferred from Mendelian randomization between complex traits and diseases. </w:t>
      </w:r>
      <w:r w:rsidRPr="006E20E9">
        <w:rPr>
          <w:i/>
          <w:iCs/>
        </w:rPr>
        <w:t>Nature Genetics</w:t>
      </w:r>
      <w:r w:rsidRPr="006E20E9">
        <w:t xml:space="preserve"> (2018) </w:t>
      </w:r>
      <w:r w:rsidRPr="006E20E9">
        <w:rPr>
          <w:b/>
          <w:bCs/>
        </w:rPr>
        <w:t>50</w:t>
      </w:r>
      <w:r w:rsidRPr="006E20E9">
        <w:t>:693–698. doi:10.1038/s41588-018-0099-7</w:t>
      </w:r>
    </w:p>
    <w:p w14:paraId="29F46118" w14:textId="7FFA28F7" w:rsidR="006E20E9" w:rsidRPr="006E20E9" w:rsidRDefault="006E20E9" w:rsidP="006E20E9">
      <w:pPr>
        <w:pStyle w:val="1"/>
      </w:pPr>
      <w:r w:rsidRPr="006E20E9">
        <w:t xml:space="preserve">25. </w:t>
      </w:r>
      <w:r w:rsidRPr="006E20E9">
        <w:tab/>
        <w:t xml:space="preserve">Bowden J, Davey Smith G, Haycock PC, Burgess S. Consistent </w:t>
      </w:r>
      <w:r w:rsidR="004B4F93">
        <w:t>e</w:t>
      </w:r>
      <w:r w:rsidRPr="006E20E9">
        <w:t xml:space="preserve">stimation in Mendelian </w:t>
      </w:r>
      <w:r w:rsidR="004B4F93">
        <w:t>r</w:t>
      </w:r>
      <w:r w:rsidRPr="006E20E9">
        <w:t xml:space="preserve">andomization with </w:t>
      </w:r>
      <w:r w:rsidR="004B4F93">
        <w:t>s</w:t>
      </w:r>
      <w:r w:rsidRPr="006E20E9">
        <w:t xml:space="preserve">ome </w:t>
      </w:r>
      <w:r w:rsidR="004B4F93">
        <w:t>i</w:t>
      </w:r>
      <w:r w:rsidRPr="006E20E9">
        <w:t xml:space="preserve">nvalid </w:t>
      </w:r>
      <w:r w:rsidR="004B4F93">
        <w:t>i</w:t>
      </w:r>
      <w:r w:rsidRPr="006E20E9">
        <w:t xml:space="preserve">nstruments </w:t>
      </w:r>
      <w:r w:rsidR="004B4F93">
        <w:t>u</w:t>
      </w:r>
      <w:r w:rsidRPr="006E20E9">
        <w:t xml:space="preserve">sing a </w:t>
      </w:r>
      <w:r w:rsidR="004B4F93">
        <w:t>w</w:t>
      </w:r>
      <w:r w:rsidRPr="006E20E9">
        <w:t xml:space="preserve">eighted </w:t>
      </w:r>
      <w:r w:rsidR="004B4F93">
        <w:t>m</w:t>
      </w:r>
      <w:r w:rsidRPr="006E20E9">
        <w:t xml:space="preserve">edian </w:t>
      </w:r>
      <w:r w:rsidR="004B4F93">
        <w:t>e</w:t>
      </w:r>
      <w:r w:rsidRPr="006E20E9">
        <w:t xml:space="preserve">stimator. </w:t>
      </w:r>
      <w:r w:rsidRPr="006E20E9">
        <w:rPr>
          <w:i/>
          <w:iCs/>
        </w:rPr>
        <w:t>Genet Epidemiol</w:t>
      </w:r>
      <w:r w:rsidRPr="006E20E9">
        <w:t xml:space="preserve"> (2016) </w:t>
      </w:r>
      <w:r w:rsidRPr="006E20E9">
        <w:rPr>
          <w:b/>
          <w:bCs/>
        </w:rPr>
        <w:t>40</w:t>
      </w:r>
      <w:r w:rsidRPr="006E20E9">
        <w:t>:304–314. doi:10.1002/gepi.21965</w:t>
      </w:r>
    </w:p>
    <w:p w14:paraId="06CDA31A" w14:textId="5873736D" w:rsidR="00500D81" w:rsidRDefault="004134C5" w:rsidP="004134C5">
      <w:pPr>
        <w:pStyle w:val="CommentText"/>
        <w:spacing w:line="480" w:lineRule="auto"/>
        <w:rPr>
          <w:b/>
          <w:bCs/>
          <w:sz w:val="24"/>
          <w:szCs w:val="22"/>
        </w:rPr>
        <w:sectPr w:rsidR="00500D81" w:rsidSect="00725025">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titlePg/>
          <w:docGrid w:linePitch="360"/>
        </w:sectPr>
      </w:pPr>
      <w:r>
        <w:rPr>
          <w:b/>
          <w:bCs/>
        </w:rPr>
        <w:fldChar w:fldCharType="end"/>
      </w:r>
      <w:r>
        <w:rPr>
          <w:b/>
          <w:bCs/>
          <w:sz w:val="24"/>
          <w:szCs w:val="22"/>
        </w:rPr>
        <w:br w:type="page"/>
      </w:r>
    </w:p>
    <w:p w14:paraId="7172E84F" w14:textId="47868125" w:rsidR="00867C1C" w:rsidRPr="00BE6EB9" w:rsidRDefault="00CE0E44" w:rsidP="00867C1C">
      <w:pPr>
        <w:pStyle w:val="BodyText"/>
        <w:spacing w:line="240" w:lineRule="auto"/>
      </w:pPr>
      <w:r>
        <w:rPr>
          <w:b/>
          <w:bCs/>
        </w:rPr>
        <w:t>Supplementary T</w:t>
      </w:r>
      <w:r w:rsidR="00867C1C" w:rsidRPr="009D02B1">
        <w:rPr>
          <w:b/>
          <w:bCs/>
        </w:rPr>
        <w:t>able 1</w:t>
      </w:r>
      <w:r w:rsidR="00867C1C">
        <w:rPr>
          <w:b/>
          <w:bCs/>
        </w:rPr>
        <w:t xml:space="preserve">. </w:t>
      </w:r>
      <w:r w:rsidR="00867C1C" w:rsidRPr="009D02B1">
        <w:rPr>
          <w:b/>
          <w:bCs/>
        </w:rPr>
        <w:t xml:space="preserve">Characteristics of </w:t>
      </w:r>
      <w:r w:rsidR="00867C1C">
        <w:rPr>
          <w:b/>
          <w:bCs/>
        </w:rPr>
        <w:t xml:space="preserve">the selected 33 variants strongly associated with </w:t>
      </w:r>
      <w:r w:rsidR="00867C1C" w:rsidRPr="002D2E3D">
        <w:rPr>
          <w:b/>
        </w:rPr>
        <w:t>soluble interleukin-6 receptors</w:t>
      </w:r>
      <w:r w:rsidR="00867C1C">
        <w:rPr>
          <w:b/>
          <w:bCs/>
        </w:rPr>
        <w:t xml:space="preserve"> level (</w:t>
      </w:r>
      <w:r w:rsidR="00867C1C" w:rsidRPr="000D033F">
        <w:rPr>
          <w:b/>
          <w:bCs/>
        </w:rPr>
        <w:t>P</w:t>
      </w:r>
      <w:r w:rsidR="00867C1C" w:rsidRPr="000D033F">
        <w:rPr>
          <w:b/>
          <w:bCs/>
          <w:vertAlign w:val="subscript"/>
        </w:rPr>
        <w:t>GWAS</w:t>
      </w:r>
      <m:oMath>
        <m:r>
          <m:rPr>
            <m:sty m:val="bi"/>
          </m:rPr>
          <w:rPr>
            <w:rFonts w:ascii="Cambria Math" w:hAnsi="Cambria Math"/>
            <w:vertAlign w:val="subscript"/>
          </w:rPr>
          <m:t>&lt;</m:t>
        </m:r>
      </m:oMath>
      <w:r w:rsidR="00867C1C" w:rsidRPr="000D033F">
        <w:rPr>
          <w:b/>
          <w:bCs/>
        </w:rPr>
        <w:t>5</w:t>
      </w:r>
      <m:oMath>
        <m:r>
          <m:rPr>
            <m:sty m:val="bi"/>
          </m:rPr>
          <w:rPr>
            <w:rFonts w:ascii="Cambria Math" w:hAnsi="Cambria Math"/>
          </w:rPr>
          <m:t>×</m:t>
        </m:r>
      </m:oMath>
      <w:r w:rsidR="00867C1C" w:rsidRPr="000D033F">
        <w:rPr>
          <w:b/>
          <w:bCs/>
        </w:rPr>
        <w:t>10</w:t>
      </w:r>
      <w:r w:rsidR="00867C1C" w:rsidRPr="000D033F">
        <w:rPr>
          <w:b/>
          <w:bCs/>
          <w:vertAlign w:val="superscript"/>
        </w:rPr>
        <w:t>-</w:t>
      </w:r>
      <w:r w:rsidR="00867C1C">
        <w:rPr>
          <w:b/>
          <w:bCs/>
          <w:vertAlign w:val="superscript"/>
        </w:rPr>
        <w:t>6</w:t>
      </w:r>
      <w:r w:rsidR="00867C1C">
        <w:rPr>
          <w:b/>
          <w:bCs/>
        </w:rPr>
        <w:t xml:space="preserve">,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vertAlign w:val="superscript"/>
          </w:rPr>
          <m:t>&lt;</m:t>
        </m:r>
      </m:oMath>
      <w:r w:rsidR="00867C1C" w:rsidRPr="000D033F">
        <w:rPr>
          <w:b/>
          <w:bCs/>
        </w:rPr>
        <w:t>0.</w:t>
      </w:r>
      <w:r w:rsidR="00867C1C">
        <w:rPr>
          <w:b/>
          <w:bCs/>
        </w:rPr>
        <w:t>1)</w:t>
      </w:r>
    </w:p>
    <w:tbl>
      <w:tblPr>
        <w:tblW w:w="14175" w:type="dxa"/>
        <w:tblLayout w:type="fixed"/>
        <w:tblCellMar>
          <w:left w:w="99" w:type="dxa"/>
          <w:right w:w="99" w:type="dxa"/>
        </w:tblCellMar>
        <w:tblLook w:val="04A0" w:firstRow="1" w:lastRow="0" w:firstColumn="1" w:lastColumn="0" w:noHBand="0" w:noVBand="1"/>
      </w:tblPr>
      <w:tblGrid>
        <w:gridCol w:w="1701"/>
        <w:gridCol w:w="1985"/>
        <w:gridCol w:w="1134"/>
        <w:gridCol w:w="1559"/>
        <w:gridCol w:w="1559"/>
        <w:gridCol w:w="1418"/>
        <w:gridCol w:w="1843"/>
        <w:gridCol w:w="1275"/>
        <w:gridCol w:w="1701"/>
      </w:tblGrid>
      <w:tr w:rsidR="00500D81" w:rsidRPr="000D0BD1" w14:paraId="411AB2D0" w14:textId="77777777" w:rsidTr="000D0BD1">
        <w:trPr>
          <w:trHeight w:val="440"/>
        </w:trPr>
        <w:tc>
          <w:tcPr>
            <w:tcW w:w="1701" w:type="dxa"/>
            <w:vMerge w:val="restart"/>
            <w:tcBorders>
              <w:top w:val="single" w:sz="12" w:space="0" w:color="auto"/>
              <w:left w:val="nil"/>
              <w:bottom w:val="single" w:sz="12" w:space="0" w:color="000000"/>
              <w:right w:val="nil"/>
            </w:tcBorders>
            <w:shd w:val="clear" w:color="auto" w:fill="auto"/>
            <w:noWrap/>
            <w:vAlign w:val="center"/>
            <w:hideMark/>
          </w:tcPr>
          <w:p w14:paraId="5ADBB94D"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Variant</w:t>
            </w:r>
          </w:p>
        </w:tc>
        <w:tc>
          <w:tcPr>
            <w:tcW w:w="1985" w:type="dxa"/>
            <w:vMerge w:val="restart"/>
            <w:tcBorders>
              <w:top w:val="single" w:sz="12" w:space="0" w:color="auto"/>
              <w:left w:val="nil"/>
              <w:bottom w:val="single" w:sz="12" w:space="0" w:color="000000"/>
              <w:right w:val="nil"/>
            </w:tcBorders>
            <w:shd w:val="clear" w:color="auto" w:fill="auto"/>
            <w:noWrap/>
            <w:vAlign w:val="center"/>
            <w:hideMark/>
          </w:tcPr>
          <w:p w14:paraId="3A60A553"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Consequence</w:t>
            </w:r>
          </w:p>
        </w:tc>
        <w:tc>
          <w:tcPr>
            <w:tcW w:w="1134" w:type="dxa"/>
            <w:vMerge w:val="restart"/>
            <w:tcBorders>
              <w:top w:val="single" w:sz="12" w:space="0" w:color="auto"/>
              <w:left w:val="nil"/>
              <w:bottom w:val="single" w:sz="12" w:space="0" w:color="000000"/>
              <w:right w:val="nil"/>
            </w:tcBorders>
            <w:shd w:val="clear" w:color="auto" w:fill="auto"/>
            <w:noWrap/>
            <w:vAlign w:val="center"/>
            <w:hideMark/>
          </w:tcPr>
          <w:p w14:paraId="28B33FA3"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Effect allele</w:t>
            </w:r>
          </w:p>
        </w:tc>
        <w:tc>
          <w:tcPr>
            <w:tcW w:w="3118" w:type="dxa"/>
            <w:gridSpan w:val="2"/>
            <w:tcBorders>
              <w:top w:val="single" w:sz="12" w:space="0" w:color="auto"/>
              <w:left w:val="nil"/>
              <w:bottom w:val="single" w:sz="8" w:space="0" w:color="auto"/>
              <w:right w:val="nil"/>
            </w:tcBorders>
            <w:shd w:val="clear" w:color="auto" w:fill="auto"/>
            <w:noWrap/>
            <w:vAlign w:val="center"/>
            <w:hideMark/>
          </w:tcPr>
          <w:p w14:paraId="7F9D2BEC"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 xml:space="preserve">Association with </w:t>
            </w:r>
            <w:bookmarkStart w:id="0" w:name="OLE_LINK71"/>
            <w:bookmarkStart w:id="1" w:name="OLE_LINK72"/>
            <w:bookmarkStart w:id="2" w:name="OLE_LINK73"/>
            <w:r w:rsidRPr="000D0BD1">
              <w:rPr>
                <w:rFonts w:eastAsia="Yu Gothic" w:cs="Times New Roman"/>
                <w:color w:val="000033"/>
                <w:szCs w:val="24"/>
                <w:lang w:val="en-GB"/>
              </w:rPr>
              <w:t>sIL-6R</w:t>
            </w:r>
            <w:bookmarkEnd w:id="0"/>
            <w:bookmarkEnd w:id="1"/>
            <w:bookmarkEnd w:id="2"/>
          </w:p>
        </w:tc>
        <w:tc>
          <w:tcPr>
            <w:tcW w:w="1418" w:type="dxa"/>
            <w:vMerge w:val="restart"/>
            <w:tcBorders>
              <w:top w:val="single" w:sz="12" w:space="0" w:color="auto"/>
              <w:left w:val="nil"/>
              <w:bottom w:val="single" w:sz="12" w:space="0" w:color="000000"/>
              <w:right w:val="nil"/>
            </w:tcBorders>
            <w:shd w:val="clear" w:color="auto" w:fill="auto"/>
            <w:noWrap/>
            <w:vAlign w:val="center"/>
            <w:hideMark/>
          </w:tcPr>
          <w:p w14:paraId="4BAB0986" w14:textId="77777777" w:rsidR="00500D81" w:rsidRPr="000D0BD1" w:rsidRDefault="00500D81" w:rsidP="00500D81">
            <w:pPr>
              <w:jc w:val="center"/>
              <w:rPr>
                <w:rFonts w:eastAsia="Yu Gothic" w:cs="Times New Roman"/>
                <w:color w:val="000033"/>
                <w:szCs w:val="24"/>
              </w:rPr>
            </w:pPr>
            <w:r w:rsidRPr="000D0BD1">
              <w:rPr>
                <w:rFonts w:eastAsia="Yu Gothic" w:cs="Times New Roman"/>
                <w:i/>
                <w:iCs/>
                <w:color w:val="000033"/>
                <w:szCs w:val="24"/>
                <w:lang w:val="en-GB"/>
              </w:rPr>
              <w:t>F</w:t>
            </w:r>
            <w:r w:rsidRPr="000D0BD1">
              <w:rPr>
                <w:rFonts w:eastAsia="Yu Gothic" w:cs="Times New Roman"/>
                <w:color w:val="000033"/>
                <w:szCs w:val="24"/>
                <w:lang w:val="en-GB"/>
              </w:rPr>
              <w:t>-statistic</w:t>
            </w:r>
          </w:p>
        </w:tc>
        <w:tc>
          <w:tcPr>
            <w:tcW w:w="4819" w:type="dxa"/>
            <w:gridSpan w:val="3"/>
            <w:tcBorders>
              <w:top w:val="single" w:sz="12" w:space="0" w:color="auto"/>
              <w:left w:val="nil"/>
              <w:bottom w:val="single" w:sz="8" w:space="0" w:color="auto"/>
              <w:right w:val="nil"/>
            </w:tcBorders>
            <w:shd w:val="clear" w:color="auto" w:fill="auto"/>
            <w:noWrap/>
            <w:vAlign w:val="center"/>
            <w:hideMark/>
          </w:tcPr>
          <w:p w14:paraId="7B993F34"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Association with three potential confounders in the UK Biobank (Bonferroni-corrected P-value)</w:t>
            </w:r>
          </w:p>
        </w:tc>
      </w:tr>
      <w:tr w:rsidR="005B2595" w:rsidRPr="000D0BD1" w14:paraId="576FFB04" w14:textId="77777777" w:rsidTr="000D0BD1">
        <w:trPr>
          <w:trHeight w:val="204"/>
        </w:trPr>
        <w:tc>
          <w:tcPr>
            <w:tcW w:w="1701" w:type="dxa"/>
            <w:vMerge/>
            <w:tcBorders>
              <w:top w:val="single" w:sz="12" w:space="0" w:color="auto"/>
              <w:left w:val="nil"/>
              <w:bottom w:val="single" w:sz="12" w:space="0" w:color="000000"/>
              <w:right w:val="nil"/>
            </w:tcBorders>
            <w:vAlign w:val="center"/>
            <w:hideMark/>
          </w:tcPr>
          <w:p w14:paraId="384AB865" w14:textId="77777777" w:rsidR="00500D81" w:rsidRPr="000D0BD1" w:rsidRDefault="00500D81" w:rsidP="00500D81">
            <w:pPr>
              <w:rPr>
                <w:rFonts w:eastAsia="Yu Gothic" w:cs="Times New Roman"/>
                <w:color w:val="000033"/>
                <w:szCs w:val="24"/>
              </w:rPr>
            </w:pPr>
          </w:p>
        </w:tc>
        <w:tc>
          <w:tcPr>
            <w:tcW w:w="1985" w:type="dxa"/>
            <w:vMerge/>
            <w:tcBorders>
              <w:top w:val="single" w:sz="12" w:space="0" w:color="auto"/>
              <w:left w:val="nil"/>
              <w:bottom w:val="single" w:sz="12" w:space="0" w:color="000000"/>
              <w:right w:val="nil"/>
            </w:tcBorders>
            <w:vAlign w:val="center"/>
            <w:hideMark/>
          </w:tcPr>
          <w:p w14:paraId="2590C493" w14:textId="77777777" w:rsidR="00500D81" w:rsidRPr="000D0BD1" w:rsidRDefault="00500D81" w:rsidP="00500D81">
            <w:pPr>
              <w:jc w:val="center"/>
              <w:rPr>
                <w:rFonts w:eastAsia="Yu Gothic" w:cs="Times New Roman"/>
                <w:color w:val="000033"/>
                <w:szCs w:val="24"/>
              </w:rPr>
            </w:pPr>
          </w:p>
        </w:tc>
        <w:tc>
          <w:tcPr>
            <w:tcW w:w="1134" w:type="dxa"/>
            <w:vMerge/>
            <w:tcBorders>
              <w:top w:val="single" w:sz="12" w:space="0" w:color="auto"/>
              <w:left w:val="nil"/>
              <w:bottom w:val="single" w:sz="12" w:space="0" w:color="000000"/>
              <w:right w:val="nil"/>
            </w:tcBorders>
            <w:vAlign w:val="center"/>
            <w:hideMark/>
          </w:tcPr>
          <w:p w14:paraId="3DD1F2A0" w14:textId="77777777" w:rsidR="00500D81" w:rsidRPr="000D0BD1" w:rsidRDefault="00500D81" w:rsidP="00500D81">
            <w:pPr>
              <w:jc w:val="center"/>
              <w:rPr>
                <w:rFonts w:eastAsia="Yu Gothic" w:cs="Times New Roman"/>
                <w:color w:val="000033"/>
                <w:szCs w:val="24"/>
              </w:rPr>
            </w:pPr>
          </w:p>
        </w:tc>
        <w:tc>
          <w:tcPr>
            <w:tcW w:w="1559" w:type="dxa"/>
            <w:tcBorders>
              <w:top w:val="nil"/>
              <w:left w:val="nil"/>
              <w:bottom w:val="single" w:sz="12" w:space="0" w:color="auto"/>
              <w:right w:val="nil"/>
            </w:tcBorders>
            <w:shd w:val="clear" w:color="auto" w:fill="auto"/>
            <w:noWrap/>
            <w:vAlign w:val="center"/>
            <w:hideMark/>
          </w:tcPr>
          <w:p w14:paraId="3A55B8F2"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coefficient</w:t>
            </w:r>
          </w:p>
        </w:tc>
        <w:tc>
          <w:tcPr>
            <w:tcW w:w="1559" w:type="dxa"/>
            <w:tcBorders>
              <w:top w:val="nil"/>
              <w:left w:val="nil"/>
              <w:bottom w:val="single" w:sz="12" w:space="0" w:color="auto"/>
              <w:right w:val="nil"/>
            </w:tcBorders>
            <w:shd w:val="clear" w:color="auto" w:fill="auto"/>
            <w:noWrap/>
            <w:vAlign w:val="center"/>
            <w:hideMark/>
          </w:tcPr>
          <w:p w14:paraId="05A4E712"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log</w:t>
            </w:r>
            <w:r w:rsidRPr="000D0BD1">
              <w:rPr>
                <w:rFonts w:eastAsia="Yu Gothic" w:cs="Times New Roman"/>
                <w:color w:val="000033"/>
                <w:szCs w:val="24"/>
                <w:vertAlign w:val="subscript"/>
                <w:lang w:val="en-GB"/>
              </w:rPr>
              <w:t>10</w:t>
            </w:r>
            <w:r w:rsidRPr="000D0BD1">
              <w:rPr>
                <w:rFonts w:eastAsia="Yu Gothic" w:cs="Times New Roman"/>
                <w:color w:val="000033"/>
                <w:szCs w:val="24"/>
                <w:lang w:val="en-GB"/>
              </w:rPr>
              <w:t>(P-value)</w:t>
            </w:r>
          </w:p>
        </w:tc>
        <w:tc>
          <w:tcPr>
            <w:tcW w:w="1418" w:type="dxa"/>
            <w:vMerge/>
            <w:tcBorders>
              <w:top w:val="single" w:sz="12" w:space="0" w:color="auto"/>
              <w:left w:val="nil"/>
              <w:bottom w:val="single" w:sz="12" w:space="0" w:color="000000"/>
              <w:right w:val="nil"/>
            </w:tcBorders>
            <w:vAlign w:val="center"/>
            <w:hideMark/>
          </w:tcPr>
          <w:p w14:paraId="22415823" w14:textId="77777777" w:rsidR="00500D81" w:rsidRPr="000D0BD1" w:rsidRDefault="00500D81" w:rsidP="00500D81">
            <w:pPr>
              <w:jc w:val="center"/>
              <w:rPr>
                <w:rFonts w:eastAsia="Yu Gothic" w:cs="Times New Roman"/>
                <w:color w:val="000033"/>
                <w:szCs w:val="24"/>
              </w:rPr>
            </w:pPr>
          </w:p>
        </w:tc>
        <w:tc>
          <w:tcPr>
            <w:tcW w:w="1843" w:type="dxa"/>
            <w:tcBorders>
              <w:top w:val="nil"/>
              <w:left w:val="nil"/>
              <w:bottom w:val="single" w:sz="12" w:space="0" w:color="auto"/>
              <w:right w:val="nil"/>
            </w:tcBorders>
            <w:shd w:val="clear" w:color="auto" w:fill="auto"/>
            <w:noWrap/>
            <w:vAlign w:val="center"/>
            <w:hideMark/>
          </w:tcPr>
          <w:p w14:paraId="3FDEEBD7"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Education</w:t>
            </w:r>
          </w:p>
        </w:tc>
        <w:tc>
          <w:tcPr>
            <w:tcW w:w="1275" w:type="dxa"/>
            <w:tcBorders>
              <w:top w:val="nil"/>
              <w:left w:val="nil"/>
              <w:bottom w:val="single" w:sz="12" w:space="0" w:color="auto"/>
              <w:right w:val="nil"/>
            </w:tcBorders>
            <w:shd w:val="clear" w:color="auto" w:fill="auto"/>
            <w:noWrap/>
            <w:vAlign w:val="center"/>
            <w:hideMark/>
          </w:tcPr>
          <w:p w14:paraId="660A68A0"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rPr>
              <w:t>Smoking status</w:t>
            </w:r>
          </w:p>
        </w:tc>
        <w:tc>
          <w:tcPr>
            <w:tcW w:w="1701" w:type="dxa"/>
            <w:tcBorders>
              <w:top w:val="nil"/>
              <w:left w:val="nil"/>
              <w:bottom w:val="single" w:sz="12" w:space="0" w:color="auto"/>
              <w:right w:val="nil"/>
            </w:tcBorders>
            <w:shd w:val="clear" w:color="auto" w:fill="auto"/>
            <w:noWrap/>
            <w:vAlign w:val="center"/>
            <w:hideMark/>
          </w:tcPr>
          <w:p w14:paraId="385CB3F1" w14:textId="77777777" w:rsidR="00500D81" w:rsidRPr="000D0BD1" w:rsidRDefault="00500D81" w:rsidP="00500D81">
            <w:pPr>
              <w:jc w:val="center"/>
              <w:rPr>
                <w:rFonts w:eastAsia="Yu Gothic" w:cs="Times New Roman"/>
                <w:color w:val="000033"/>
                <w:szCs w:val="24"/>
              </w:rPr>
            </w:pPr>
            <w:r w:rsidRPr="000D0BD1">
              <w:rPr>
                <w:rFonts w:eastAsia="Yu Gothic" w:cs="Times New Roman"/>
                <w:color w:val="000033"/>
                <w:szCs w:val="24"/>
                <w:lang w:val="en-GB"/>
              </w:rPr>
              <w:t>Physical activity</w:t>
            </w:r>
          </w:p>
        </w:tc>
      </w:tr>
      <w:tr w:rsidR="001C685A" w:rsidRPr="000D0BD1" w14:paraId="19AB5278" w14:textId="77777777" w:rsidTr="001C685A">
        <w:trPr>
          <w:trHeight w:hRule="exact" w:val="397"/>
        </w:trPr>
        <w:tc>
          <w:tcPr>
            <w:tcW w:w="1701" w:type="dxa"/>
            <w:tcBorders>
              <w:top w:val="nil"/>
              <w:left w:val="nil"/>
              <w:bottom w:val="nil"/>
              <w:right w:val="nil"/>
            </w:tcBorders>
            <w:shd w:val="clear" w:color="auto" w:fill="auto"/>
            <w:noWrap/>
            <w:vAlign w:val="center"/>
            <w:hideMark/>
          </w:tcPr>
          <w:p w14:paraId="7DFDB9D1" w14:textId="045984D4"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rs61806853</w:t>
            </w:r>
          </w:p>
        </w:tc>
        <w:tc>
          <w:tcPr>
            <w:tcW w:w="1985" w:type="dxa"/>
            <w:tcBorders>
              <w:top w:val="nil"/>
              <w:left w:val="nil"/>
              <w:bottom w:val="nil"/>
              <w:right w:val="nil"/>
            </w:tcBorders>
            <w:shd w:val="clear" w:color="auto" w:fill="auto"/>
            <w:noWrap/>
            <w:vAlign w:val="center"/>
            <w:hideMark/>
          </w:tcPr>
          <w:p w14:paraId="09CE8050" w14:textId="75B64FF2"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521D3A6E" w14:textId="62B60EC7"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T</w:t>
            </w:r>
          </w:p>
        </w:tc>
        <w:tc>
          <w:tcPr>
            <w:tcW w:w="1559" w:type="dxa"/>
            <w:tcBorders>
              <w:top w:val="nil"/>
              <w:left w:val="nil"/>
              <w:bottom w:val="nil"/>
              <w:right w:val="nil"/>
            </w:tcBorders>
            <w:shd w:val="clear" w:color="auto" w:fill="auto"/>
            <w:noWrap/>
            <w:vAlign w:val="center"/>
            <w:hideMark/>
          </w:tcPr>
          <w:p w14:paraId="46575EBC" w14:textId="3F910B3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-0.50</w:t>
            </w:r>
          </w:p>
        </w:tc>
        <w:tc>
          <w:tcPr>
            <w:tcW w:w="1559" w:type="dxa"/>
            <w:tcBorders>
              <w:top w:val="nil"/>
              <w:left w:val="nil"/>
              <w:bottom w:val="nil"/>
              <w:right w:val="nil"/>
            </w:tcBorders>
            <w:shd w:val="clear" w:color="auto" w:fill="auto"/>
            <w:noWrap/>
            <w:vAlign w:val="center"/>
            <w:hideMark/>
          </w:tcPr>
          <w:p w14:paraId="20DA24CC" w14:textId="7500F3CB"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-17.3</w:t>
            </w:r>
          </w:p>
        </w:tc>
        <w:tc>
          <w:tcPr>
            <w:tcW w:w="1418" w:type="dxa"/>
            <w:tcBorders>
              <w:top w:val="nil"/>
              <w:left w:val="nil"/>
              <w:bottom w:val="nil"/>
              <w:right w:val="nil"/>
            </w:tcBorders>
            <w:shd w:val="clear" w:color="auto" w:fill="auto"/>
            <w:noWrap/>
            <w:vAlign w:val="center"/>
            <w:hideMark/>
          </w:tcPr>
          <w:p w14:paraId="6BC2590F" w14:textId="3A68FF19"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74.84</w:t>
            </w:r>
          </w:p>
        </w:tc>
        <w:tc>
          <w:tcPr>
            <w:tcW w:w="1843" w:type="dxa"/>
            <w:tcBorders>
              <w:top w:val="nil"/>
              <w:left w:val="nil"/>
              <w:bottom w:val="nil"/>
              <w:right w:val="nil"/>
            </w:tcBorders>
            <w:shd w:val="clear" w:color="auto" w:fill="auto"/>
            <w:noWrap/>
            <w:vAlign w:val="center"/>
            <w:hideMark/>
          </w:tcPr>
          <w:p w14:paraId="19DF8212" w14:textId="69D12C3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E8DBC7D" w14:textId="4FB3BF7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E84D9FC" w14:textId="3C80E46E"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0771E300" w14:textId="77777777" w:rsidTr="000D0BD1">
        <w:trPr>
          <w:trHeight w:hRule="exact" w:val="397"/>
        </w:trPr>
        <w:tc>
          <w:tcPr>
            <w:tcW w:w="1701" w:type="dxa"/>
            <w:tcBorders>
              <w:top w:val="nil"/>
              <w:left w:val="nil"/>
              <w:bottom w:val="nil"/>
              <w:right w:val="nil"/>
            </w:tcBorders>
            <w:shd w:val="clear" w:color="auto" w:fill="auto"/>
            <w:noWrap/>
            <w:vAlign w:val="center"/>
            <w:hideMark/>
          </w:tcPr>
          <w:p w14:paraId="5C8788BA" w14:textId="129CFAE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rs3103309</w:t>
            </w:r>
          </w:p>
        </w:tc>
        <w:tc>
          <w:tcPr>
            <w:tcW w:w="1985" w:type="dxa"/>
            <w:tcBorders>
              <w:top w:val="nil"/>
              <w:left w:val="nil"/>
              <w:bottom w:val="nil"/>
              <w:right w:val="nil"/>
            </w:tcBorders>
            <w:shd w:val="clear" w:color="auto" w:fill="auto"/>
            <w:noWrap/>
            <w:vAlign w:val="center"/>
            <w:hideMark/>
          </w:tcPr>
          <w:p w14:paraId="56953E2E" w14:textId="40D99368"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67F5928" w14:textId="2F384C49"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4E8C2354" w14:textId="690F370C"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-0.16</w:t>
            </w:r>
          </w:p>
        </w:tc>
        <w:tc>
          <w:tcPr>
            <w:tcW w:w="1559" w:type="dxa"/>
            <w:tcBorders>
              <w:top w:val="nil"/>
              <w:left w:val="nil"/>
              <w:bottom w:val="nil"/>
              <w:right w:val="nil"/>
            </w:tcBorders>
            <w:shd w:val="clear" w:color="auto" w:fill="auto"/>
            <w:noWrap/>
            <w:vAlign w:val="center"/>
            <w:hideMark/>
          </w:tcPr>
          <w:p w14:paraId="71343883" w14:textId="48B1750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-9.07</w:t>
            </w:r>
          </w:p>
        </w:tc>
        <w:tc>
          <w:tcPr>
            <w:tcW w:w="1418" w:type="dxa"/>
            <w:tcBorders>
              <w:top w:val="nil"/>
              <w:left w:val="nil"/>
              <w:bottom w:val="nil"/>
              <w:right w:val="nil"/>
            </w:tcBorders>
            <w:shd w:val="clear" w:color="auto" w:fill="auto"/>
            <w:noWrap/>
            <w:vAlign w:val="center"/>
            <w:hideMark/>
          </w:tcPr>
          <w:p w14:paraId="7B68E21D" w14:textId="07BFC6D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37.58</w:t>
            </w:r>
          </w:p>
        </w:tc>
        <w:tc>
          <w:tcPr>
            <w:tcW w:w="1843" w:type="dxa"/>
            <w:tcBorders>
              <w:top w:val="nil"/>
              <w:left w:val="nil"/>
              <w:bottom w:val="nil"/>
              <w:right w:val="nil"/>
            </w:tcBorders>
            <w:shd w:val="clear" w:color="auto" w:fill="auto"/>
            <w:noWrap/>
            <w:vAlign w:val="center"/>
            <w:hideMark/>
          </w:tcPr>
          <w:p w14:paraId="01B75B5D" w14:textId="16F5384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7238B6C1" w14:textId="2578A87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4C7FE42" w14:textId="0567763C"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19D0C9A7" w14:textId="77777777" w:rsidTr="000D0BD1">
        <w:trPr>
          <w:trHeight w:hRule="exact" w:val="397"/>
        </w:trPr>
        <w:tc>
          <w:tcPr>
            <w:tcW w:w="1701" w:type="dxa"/>
            <w:tcBorders>
              <w:top w:val="nil"/>
              <w:left w:val="nil"/>
              <w:bottom w:val="nil"/>
              <w:right w:val="nil"/>
            </w:tcBorders>
            <w:shd w:val="clear" w:color="auto" w:fill="auto"/>
            <w:noWrap/>
            <w:vAlign w:val="center"/>
            <w:hideMark/>
          </w:tcPr>
          <w:p w14:paraId="371E333E" w14:textId="71A17A2B"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rs12145000</w:t>
            </w:r>
          </w:p>
        </w:tc>
        <w:tc>
          <w:tcPr>
            <w:tcW w:w="1985" w:type="dxa"/>
            <w:tcBorders>
              <w:top w:val="nil"/>
              <w:left w:val="nil"/>
              <w:bottom w:val="nil"/>
              <w:right w:val="nil"/>
            </w:tcBorders>
            <w:shd w:val="clear" w:color="auto" w:fill="auto"/>
            <w:noWrap/>
            <w:vAlign w:val="center"/>
            <w:hideMark/>
          </w:tcPr>
          <w:p w14:paraId="1CA0ACDD" w14:textId="641AFCC8"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5B145DDF" w14:textId="50447D87"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376207B5" w14:textId="633AF24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-0.48</w:t>
            </w:r>
          </w:p>
        </w:tc>
        <w:tc>
          <w:tcPr>
            <w:tcW w:w="1559" w:type="dxa"/>
            <w:tcBorders>
              <w:top w:val="nil"/>
              <w:left w:val="nil"/>
              <w:bottom w:val="nil"/>
              <w:right w:val="nil"/>
            </w:tcBorders>
            <w:shd w:val="clear" w:color="auto" w:fill="auto"/>
            <w:noWrap/>
            <w:vAlign w:val="center"/>
            <w:hideMark/>
          </w:tcPr>
          <w:p w14:paraId="46CE8079" w14:textId="5EE2A4B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-7.68</w:t>
            </w:r>
          </w:p>
        </w:tc>
        <w:tc>
          <w:tcPr>
            <w:tcW w:w="1418" w:type="dxa"/>
            <w:tcBorders>
              <w:top w:val="nil"/>
              <w:left w:val="nil"/>
              <w:bottom w:val="nil"/>
              <w:right w:val="nil"/>
            </w:tcBorders>
            <w:shd w:val="clear" w:color="auto" w:fill="auto"/>
            <w:noWrap/>
            <w:vAlign w:val="center"/>
            <w:hideMark/>
          </w:tcPr>
          <w:p w14:paraId="7B237400" w14:textId="676D6A0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31.36</w:t>
            </w:r>
          </w:p>
        </w:tc>
        <w:tc>
          <w:tcPr>
            <w:tcW w:w="1843" w:type="dxa"/>
            <w:tcBorders>
              <w:top w:val="nil"/>
              <w:left w:val="nil"/>
              <w:bottom w:val="nil"/>
              <w:right w:val="nil"/>
            </w:tcBorders>
            <w:shd w:val="clear" w:color="auto" w:fill="auto"/>
            <w:noWrap/>
            <w:vAlign w:val="center"/>
            <w:hideMark/>
          </w:tcPr>
          <w:p w14:paraId="1A26203C" w14:textId="53986D9C"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43AF5791" w14:textId="5936B5CA"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38BF313D" w14:textId="5EEE0E56" w:rsidR="005B2595" w:rsidRPr="000D0BD1" w:rsidRDefault="005B2595" w:rsidP="000D0BD1">
            <w:pPr>
              <w:jc w:val="center"/>
              <w:rPr>
                <w:rFonts w:eastAsia="Yu Gothic" w:cs="Times New Roman"/>
                <w:color w:val="000000"/>
                <w:szCs w:val="24"/>
                <w:lang w:eastAsia="ja-JP"/>
              </w:rPr>
            </w:pPr>
            <w:r w:rsidRPr="000D0BD1">
              <w:rPr>
                <w:rFonts w:eastAsia="Yu Gothic" w:cs="Times New Roman"/>
                <w:color w:val="000000"/>
                <w:szCs w:val="24"/>
              </w:rPr>
              <w:t>0.99</w:t>
            </w:r>
          </w:p>
        </w:tc>
      </w:tr>
      <w:tr w:rsidR="005B2595" w:rsidRPr="000D0BD1" w14:paraId="307FB8CE" w14:textId="77777777" w:rsidTr="000D0BD1">
        <w:trPr>
          <w:trHeight w:hRule="exact" w:val="397"/>
        </w:trPr>
        <w:tc>
          <w:tcPr>
            <w:tcW w:w="1701" w:type="dxa"/>
            <w:tcBorders>
              <w:top w:val="nil"/>
              <w:left w:val="nil"/>
              <w:bottom w:val="nil"/>
              <w:right w:val="nil"/>
            </w:tcBorders>
            <w:shd w:val="clear" w:color="auto" w:fill="auto"/>
            <w:noWrap/>
            <w:vAlign w:val="center"/>
            <w:hideMark/>
          </w:tcPr>
          <w:p w14:paraId="79D4D2FF" w14:textId="4875CC0E"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rs12727865</w:t>
            </w:r>
          </w:p>
        </w:tc>
        <w:tc>
          <w:tcPr>
            <w:tcW w:w="1985" w:type="dxa"/>
            <w:tcBorders>
              <w:top w:val="nil"/>
              <w:left w:val="nil"/>
              <w:bottom w:val="nil"/>
              <w:right w:val="nil"/>
            </w:tcBorders>
            <w:shd w:val="clear" w:color="auto" w:fill="auto"/>
            <w:noWrap/>
            <w:vAlign w:val="center"/>
            <w:hideMark/>
          </w:tcPr>
          <w:p w14:paraId="74AF7DD7" w14:textId="5E5AFCB4"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0B7B8F07" w14:textId="38009B5C"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1E2AC501" w14:textId="6B897F6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0.19</w:t>
            </w:r>
          </w:p>
        </w:tc>
        <w:tc>
          <w:tcPr>
            <w:tcW w:w="1559" w:type="dxa"/>
            <w:tcBorders>
              <w:top w:val="nil"/>
              <w:left w:val="nil"/>
              <w:bottom w:val="nil"/>
              <w:right w:val="nil"/>
            </w:tcBorders>
            <w:shd w:val="clear" w:color="auto" w:fill="auto"/>
            <w:noWrap/>
            <w:vAlign w:val="center"/>
            <w:hideMark/>
          </w:tcPr>
          <w:p w14:paraId="69D47973" w14:textId="23D19A3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-12.05</w:t>
            </w:r>
          </w:p>
        </w:tc>
        <w:tc>
          <w:tcPr>
            <w:tcW w:w="1418" w:type="dxa"/>
            <w:tcBorders>
              <w:top w:val="nil"/>
              <w:left w:val="nil"/>
              <w:bottom w:val="nil"/>
              <w:right w:val="nil"/>
            </w:tcBorders>
            <w:shd w:val="clear" w:color="auto" w:fill="auto"/>
            <w:noWrap/>
            <w:vAlign w:val="center"/>
            <w:hideMark/>
          </w:tcPr>
          <w:p w14:paraId="17441290" w14:textId="14E8C19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51.08</w:t>
            </w:r>
          </w:p>
        </w:tc>
        <w:tc>
          <w:tcPr>
            <w:tcW w:w="1843" w:type="dxa"/>
            <w:tcBorders>
              <w:top w:val="nil"/>
              <w:left w:val="nil"/>
              <w:bottom w:val="nil"/>
              <w:right w:val="nil"/>
            </w:tcBorders>
            <w:shd w:val="clear" w:color="auto" w:fill="auto"/>
            <w:noWrap/>
            <w:vAlign w:val="center"/>
            <w:hideMark/>
          </w:tcPr>
          <w:p w14:paraId="2988D35D" w14:textId="0500ACE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01216158" w14:textId="41907078"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78A0162D" w14:textId="3388A1B5"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DC6E30D" w14:textId="77777777" w:rsidTr="000D0BD1">
        <w:trPr>
          <w:trHeight w:hRule="exact" w:val="397"/>
        </w:trPr>
        <w:tc>
          <w:tcPr>
            <w:tcW w:w="1701" w:type="dxa"/>
            <w:tcBorders>
              <w:top w:val="nil"/>
              <w:left w:val="nil"/>
              <w:bottom w:val="nil"/>
              <w:right w:val="nil"/>
            </w:tcBorders>
            <w:shd w:val="clear" w:color="auto" w:fill="auto"/>
            <w:noWrap/>
            <w:vAlign w:val="center"/>
            <w:hideMark/>
          </w:tcPr>
          <w:p w14:paraId="2EE190FA" w14:textId="37DA0950"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rs147889978</w:t>
            </w:r>
          </w:p>
        </w:tc>
        <w:tc>
          <w:tcPr>
            <w:tcW w:w="1985" w:type="dxa"/>
            <w:tcBorders>
              <w:top w:val="nil"/>
              <w:left w:val="nil"/>
              <w:bottom w:val="nil"/>
              <w:right w:val="nil"/>
            </w:tcBorders>
            <w:shd w:val="clear" w:color="auto" w:fill="auto"/>
            <w:noWrap/>
            <w:vAlign w:val="center"/>
            <w:hideMark/>
          </w:tcPr>
          <w:p w14:paraId="1E838E01" w14:textId="29BC90B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7EB8545" w14:textId="78ADBCB2"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616477CA" w14:textId="4056D85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0.56</w:t>
            </w:r>
          </w:p>
        </w:tc>
        <w:tc>
          <w:tcPr>
            <w:tcW w:w="1559" w:type="dxa"/>
            <w:tcBorders>
              <w:top w:val="nil"/>
              <w:left w:val="nil"/>
              <w:bottom w:val="nil"/>
              <w:right w:val="nil"/>
            </w:tcBorders>
            <w:shd w:val="clear" w:color="auto" w:fill="auto"/>
            <w:noWrap/>
            <w:vAlign w:val="center"/>
            <w:hideMark/>
          </w:tcPr>
          <w:p w14:paraId="66546469" w14:textId="3F9FE3A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-12.73</w:t>
            </w:r>
          </w:p>
        </w:tc>
        <w:tc>
          <w:tcPr>
            <w:tcW w:w="1418" w:type="dxa"/>
            <w:tcBorders>
              <w:top w:val="nil"/>
              <w:left w:val="nil"/>
              <w:bottom w:val="nil"/>
              <w:right w:val="nil"/>
            </w:tcBorders>
            <w:shd w:val="clear" w:color="auto" w:fill="auto"/>
            <w:noWrap/>
            <w:vAlign w:val="center"/>
            <w:hideMark/>
          </w:tcPr>
          <w:p w14:paraId="4E9CFCCA" w14:textId="5EB5E3A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54.17</w:t>
            </w:r>
          </w:p>
        </w:tc>
        <w:tc>
          <w:tcPr>
            <w:tcW w:w="1843" w:type="dxa"/>
            <w:tcBorders>
              <w:top w:val="nil"/>
              <w:left w:val="nil"/>
              <w:bottom w:val="nil"/>
              <w:right w:val="nil"/>
            </w:tcBorders>
            <w:shd w:val="clear" w:color="auto" w:fill="auto"/>
            <w:noWrap/>
            <w:vAlign w:val="center"/>
            <w:hideMark/>
          </w:tcPr>
          <w:p w14:paraId="779AB9C1" w14:textId="5AD101C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05D5224B" w14:textId="0783FB8A"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0.76</w:t>
            </w:r>
          </w:p>
        </w:tc>
        <w:tc>
          <w:tcPr>
            <w:tcW w:w="1701" w:type="dxa"/>
            <w:tcBorders>
              <w:top w:val="nil"/>
              <w:left w:val="nil"/>
              <w:bottom w:val="nil"/>
              <w:right w:val="nil"/>
            </w:tcBorders>
            <w:shd w:val="clear" w:color="auto" w:fill="auto"/>
            <w:noWrap/>
            <w:vAlign w:val="center"/>
            <w:hideMark/>
          </w:tcPr>
          <w:p w14:paraId="5C91506A" w14:textId="08936B96"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50C3EF33" w14:textId="77777777" w:rsidTr="000D0BD1">
        <w:trPr>
          <w:trHeight w:hRule="exact" w:val="397"/>
        </w:trPr>
        <w:tc>
          <w:tcPr>
            <w:tcW w:w="1701" w:type="dxa"/>
            <w:tcBorders>
              <w:top w:val="nil"/>
              <w:left w:val="nil"/>
              <w:bottom w:val="nil"/>
              <w:right w:val="nil"/>
            </w:tcBorders>
            <w:shd w:val="clear" w:color="auto" w:fill="auto"/>
            <w:noWrap/>
            <w:vAlign w:val="center"/>
            <w:hideMark/>
          </w:tcPr>
          <w:p w14:paraId="62013CD1" w14:textId="2C81A215"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rs2297607</w:t>
            </w:r>
          </w:p>
        </w:tc>
        <w:tc>
          <w:tcPr>
            <w:tcW w:w="1985" w:type="dxa"/>
            <w:tcBorders>
              <w:top w:val="nil"/>
              <w:left w:val="nil"/>
              <w:bottom w:val="nil"/>
              <w:right w:val="nil"/>
            </w:tcBorders>
            <w:shd w:val="clear" w:color="auto" w:fill="auto"/>
            <w:noWrap/>
            <w:vAlign w:val="center"/>
            <w:hideMark/>
          </w:tcPr>
          <w:p w14:paraId="6487089F" w14:textId="37799ABD"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synonymous</w:t>
            </w:r>
          </w:p>
        </w:tc>
        <w:tc>
          <w:tcPr>
            <w:tcW w:w="1134" w:type="dxa"/>
            <w:tcBorders>
              <w:top w:val="nil"/>
              <w:left w:val="nil"/>
              <w:bottom w:val="nil"/>
              <w:right w:val="nil"/>
            </w:tcBorders>
            <w:shd w:val="clear" w:color="auto" w:fill="auto"/>
            <w:noWrap/>
            <w:vAlign w:val="center"/>
            <w:hideMark/>
          </w:tcPr>
          <w:p w14:paraId="2B62AEC7" w14:textId="25C9DD96"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A</w:t>
            </w:r>
          </w:p>
        </w:tc>
        <w:tc>
          <w:tcPr>
            <w:tcW w:w="1559" w:type="dxa"/>
            <w:tcBorders>
              <w:top w:val="nil"/>
              <w:left w:val="nil"/>
              <w:bottom w:val="nil"/>
              <w:right w:val="nil"/>
            </w:tcBorders>
            <w:shd w:val="clear" w:color="auto" w:fill="auto"/>
            <w:noWrap/>
            <w:vAlign w:val="center"/>
            <w:hideMark/>
          </w:tcPr>
          <w:p w14:paraId="03D7DB2B" w14:textId="02EAA4E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0.18</w:t>
            </w:r>
          </w:p>
        </w:tc>
        <w:tc>
          <w:tcPr>
            <w:tcW w:w="1559" w:type="dxa"/>
            <w:tcBorders>
              <w:top w:val="nil"/>
              <w:left w:val="nil"/>
              <w:bottom w:val="nil"/>
              <w:right w:val="nil"/>
            </w:tcBorders>
            <w:shd w:val="clear" w:color="auto" w:fill="auto"/>
            <w:noWrap/>
            <w:vAlign w:val="center"/>
            <w:hideMark/>
          </w:tcPr>
          <w:p w14:paraId="0AFFB00E" w14:textId="48C5D14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-8.78</w:t>
            </w:r>
          </w:p>
        </w:tc>
        <w:tc>
          <w:tcPr>
            <w:tcW w:w="1418" w:type="dxa"/>
            <w:tcBorders>
              <w:top w:val="nil"/>
              <w:left w:val="nil"/>
              <w:bottom w:val="nil"/>
              <w:right w:val="nil"/>
            </w:tcBorders>
            <w:shd w:val="clear" w:color="auto" w:fill="auto"/>
            <w:noWrap/>
            <w:vAlign w:val="center"/>
            <w:hideMark/>
          </w:tcPr>
          <w:p w14:paraId="0E11BBBE" w14:textId="7EC41C3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36.41</w:t>
            </w:r>
          </w:p>
        </w:tc>
        <w:tc>
          <w:tcPr>
            <w:tcW w:w="1843" w:type="dxa"/>
            <w:tcBorders>
              <w:top w:val="nil"/>
              <w:left w:val="nil"/>
              <w:bottom w:val="nil"/>
              <w:right w:val="nil"/>
            </w:tcBorders>
            <w:shd w:val="clear" w:color="auto" w:fill="auto"/>
            <w:noWrap/>
            <w:vAlign w:val="center"/>
            <w:hideMark/>
          </w:tcPr>
          <w:p w14:paraId="595C1368" w14:textId="16E3D21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3C615D24" w14:textId="1EB4055E"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7E3EF82E" w14:textId="2F28967C"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715384C3" w14:textId="77777777" w:rsidTr="000D0BD1">
        <w:trPr>
          <w:trHeight w:hRule="exact" w:val="397"/>
        </w:trPr>
        <w:tc>
          <w:tcPr>
            <w:tcW w:w="1701" w:type="dxa"/>
            <w:tcBorders>
              <w:top w:val="nil"/>
              <w:left w:val="nil"/>
              <w:bottom w:val="nil"/>
              <w:right w:val="nil"/>
            </w:tcBorders>
            <w:shd w:val="clear" w:color="auto" w:fill="auto"/>
            <w:noWrap/>
            <w:vAlign w:val="center"/>
            <w:hideMark/>
          </w:tcPr>
          <w:p w14:paraId="07BC665A" w14:textId="5386C9A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rs79438587</w:t>
            </w:r>
          </w:p>
        </w:tc>
        <w:tc>
          <w:tcPr>
            <w:tcW w:w="1985" w:type="dxa"/>
            <w:tcBorders>
              <w:top w:val="nil"/>
              <w:left w:val="nil"/>
              <w:bottom w:val="nil"/>
              <w:right w:val="nil"/>
            </w:tcBorders>
            <w:shd w:val="clear" w:color="auto" w:fill="auto"/>
            <w:noWrap/>
            <w:vAlign w:val="center"/>
            <w:hideMark/>
          </w:tcPr>
          <w:p w14:paraId="61AF309B" w14:textId="51C5DACA"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18E8A711" w14:textId="477CAC30"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305DFB36" w14:textId="447B209B"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-0.41</w:t>
            </w:r>
          </w:p>
        </w:tc>
        <w:tc>
          <w:tcPr>
            <w:tcW w:w="1559" w:type="dxa"/>
            <w:tcBorders>
              <w:top w:val="nil"/>
              <w:left w:val="nil"/>
              <w:bottom w:val="nil"/>
              <w:right w:val="nil"/>
            </w:tcBorders>
            <w:shd w:val="clear" w:color="auto" w:fill="auto"/>
            <w:noWrap/>
            <w:vAlign w:val="center"/>
            <w:hideMark/>
          </w:tcPr>
          <w:p w14:paraId="207B1DC3" w14:textId="7E57C19C"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-32.39</w:t>
            </w:r>
          </w:p>
        </w:tc>
        <w:tc>
          <w:tcPr>
            <w:tcW w:w="1418" w:type="dxa"/>
            <w:tcBorders>
              <w:top w:val="nil"/>
              <w:left w:val="nil"/>
              <w:bottom w:val="nil"/>
              <w:right w:val="nil"/>
            </w:tcBorders>
            <w:shd w:val="clear" w:color="auto" w:fill="auto"/>
            <w:noWrap/>
            <w:vAlign w:val="center"/>
            <w:hideMark/>
          </w:tcPr>
          <w:p w14:paraId="2E317ED5" w14:textId="429EB4B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143.57</w:t>
            </w:r>
          </w:p>
        </w:tc>
        <w:tc>
          <w:tcPr>
            <w:tcW w:w="1843" w:type="dxa"/>
            <w:tcBorders>
              <w:top w:val="nil"/>
              <w:left w:val="nil"/>
              <w:bottom w:val="nil"/>
              <w:right w:val="nil"/>
            </w:tcBorders>
            <w:shd w:val="clear" w:color="auto" w:fill="auto"/>
            <w:noWrap/>
            <w:vAlign w:val="center"/>
            <w:hideMark/>
          </w:tcPr>
          <w:p w14:paraId="3BDB85AC" w14:textId="03B83E1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0.51</w:t>
            </w:r>
          </w:p>
        </w:tc>
        <w:tc>
          <w:tcPr>
            <w:tcW w:w="1275" w:type="dxa"/>
            <w:tcBorders>
              <w:top w:val="nil"/>
              <w:left w:val="nil"/>
              <w:bottom w:val="nil"/>
              <w:right w:val="nil"/>
            </w:tcBorders>
            <w:shd w:val="clear" w:color="auto" w:fill="auto"/>
            <w:noWrap/>
            <w:vAlign w:val="center"/>
            <w:hideMark/>
          </w:tcPr>
          <w:p w14:paraId="6FA3FE95" w14:textId="28A6AF18"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16A97F0" w14:textId="6B341AF7"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542F8C5B" w14:textId="77777777" w:rsidTr="000D0BD1">
        <w:trPr>
          <w:trHeight w:hRule="exact" w:val="397"/>
        </w:trPr>
        <w:tc>
          <w:tcPr>
            <w:tcW w:w="1701" w:type="dxa"/>
            <w:tcBorders>
              <w:top w:val="nil"/>
              <w:left w:val="nil"/>
              <w:bottom w:val="nil"/>
              <w:right w:val="nil"/>
            </w:tcBorders>
            <w:shd w:val="clear" w:color="auto" w:fill="auto"/>
            <w:noWrap/>
            <w:vAlign w:val="center"/>
            <w:hideMark/>
          </w:tcPr>
          <w:p w14:paraId="2C191DFC" w14:textId="0F005F64"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rs9803896</w:t>
            </w:r>
          </w:p>
        </w:tc>
        <w:tc>
          <w:tcPr>
            <w:tcW w:w="1985" w:type="dxa"/>
            <w:tcBorders>
              <w:top w:val="nil"/>
              <w:left w:val="nil"/>
              <w:bottom w:val="nil"/>
              <w:right w:val="nil"/>
            </w:tcBorders>
            <w:shd w:val="clear" w:color="auto" w:fill="auto"/>
            <w:noWrap/>
            <w:vAlign w:val="center"/>
            <w:hideMark/>
          </w:tcPr>
          <w:p w14:paraId="5AA01633" w14:textId="4FB765F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4A809192" w14:textId="693433BB"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415D6F39" w14:textId="5D88E67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-0.33</w:t>
            </w:r>
          </w:p>
        </w:tc>
        <w:tc>
          <w:tcPr>
            <w:tcW w:w="1559" w:type="dxa"/>
            <w:tcBorders>
              <w:top w:val="nil"/>
              <w:left w:val="nil"/>
              <w:bottom w:val="nil"/>
              <w:right w:val="nil"/>
            </w:tcBorders>
            <w:shd w:val="clear" w:color="auto" w:fill="auto"/>
            <w:noWrap/>
            <w:vAlign w:val="center"/>
            <w:hideMark/>
          </w:tcPr>
          <w:p w14:paraId="3880A7BD" w14:textId="57C11AD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-22.46</w:t>
            </w:r>
          </w:p>
        </w:tc>
        <w:tc>
          <w:tcPr>
            <w:tcW w:w="1418" w:type="dxa"/>
            <w:tcBorders>
              <w:top w:val="nil"/>
              <w:left w:val="nil"/>
              <w:bottom w:val="nil"/>
              <w:right w:val="nil"/>
            </w:tcBorders>
            <w:shd w:val="clear" w:color="auto" w:fill="auto"/>
            <w:noWrap/>
            <w:vAlign w:val="center"/>
            <w:hideMark/>
          </w:tcPr>
          <w:p w14:paraId="3AAFC2D2" w14:textId="67FD5BD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98.40</w:t>
            </w:r>
          </w:p>
        </w:tc>
        <w:tc>
          <w:tcPr>
            <w:tcW w:w="1843" w:type="dxa"/>
            <w:tcBorders>
              <w:top w:val="nil"/>
              <w:left w:val="nil"/>
              <w:bottom w:val="nil"/>
              <w:right w:val="nil"/>
            </w:tcBorders>
            <w:shd w:val="clear" w:color="auto" w:fill="auto"/>
            <w:noWrap/>
            <w:vAlign w:val="center"/>
            <w:hideMark/>
          </w:tcPr>
          <w:p w14:paraId="03D1BEDF" w14:textId="6F80FF3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094168E" w14:textId="4BB19FC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6C31F922" w14:textId="715A90A8"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D1100DC" w14:textId="77777777" w:rsidTr="000D0BD1">
        <w:trPr>
          <w:trHeight w:hRule="exact" w:val="397"/>
        </w:trPr>
        <w:tc>
          <w:tcPr>
            <w:tcW w:w="1701" w:type="dxa"/>
            <w:tcBorders>
              <w:top w:val="nil"/>
              <w:left w:val="nil"/>
              <w:bottom w:val="nil"/>
              <w:right w:val="nil"/>
            </w:tcBorders>
            <w:shd w:val="clear" w:color="auto" w:fill="auto"/>
            <w:noWrap/>
            <w:vAlign w:val="center"/>
            <w:hideMark/>
          </w:tcPr>
          <w:p w14:paraId="3F285467" w14:textId="7DDE634C"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rs7525477</w:t>
            </w:r>
          </w:p>
        </w:tc>
        <w:tc>
          <w:tcPr>
            <w:tcW w:w="1985" w:type="dxa"/>
            <w:tcBorders>
              <w:top w:val="nil"/>
              <w:left w:val="nil"/>
              <w:bottom w:val="nil"/>
              <w:right w:val="nil"/>
            </w:tcBorders>
            <w:shd w:val="clear" w:color="auto" w:fill="auto"/>
            <w:noWrap/>
            <w:vAlign w:val="center"/>
            <w:hideMark/>
          </w:tcPr>
          <w:p w14:paraId="093AC8FD" w14:textId="1B4F3146"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2F3D5605" w14:textId="4077A9C6"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5F19DBED" w14:textId="7DB8F1F6"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0.35</w:t>
            </w:r>
          </w:p>
        </w:tc>
        <w:tc>
          <w:tcPr>
            <w:tcW w:w="1559" w:type="dxa"/>
            <w:tcBorders>
              <w:top w:val="nil"/>
              <w:left w:val="nil"/>
              <w:bottom w:val="nil"/>
              <w:right w:val="nil"/>
            </w:tcBorders>
            <w:shd w:val="clear" w:color="auto" w:fill="auto"/>
            <w:noWrap/>
            <w:vAlign w:val="center"/>
            <w:hideMark/>
          </w:tcPr>
          <w:p w14:paraId="7E16F254" w14:textId="2CC863C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-40.32</w:t>
            </w:r>
          </w:p>
        </w:tc>
        <w:tc>
          <w:tcPr>
            <w:tcW w:w="1418" w:type="dxa"/>
            <w:tcBorders>
              <w:top w:val="nil"/>
              <w:left w:val="nil"/>
              <w:bottom w:val="nil"/>
              <w:right w:val="nil"/>
            </w:tcBorders>
            <w:shd w:val="clear" w:color="auto" w:fill="auto"/>
            <w:noWrap/>
            <w:vAlign w:val="center"/>
            <w:hideMark/>
          </w:tcPr>
          <w:p w14:paraId="515B7B8C" w14:textId="3B2766A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180.03</w:t>
            </w:r>
          </w:p>
        </w:tc>
        <w:tc>
          <w:tcPr>
            <w:tcW w:w="1843" w:type="dxa"/>
            <w:tcBorders>
              <w:top w:val="nil"/>
              <w:left w:val="nil"/>
              <w:bottom w:val="nil"/>
              <w:right w:val="nil"/>
            </w:tcBorders>
            <w:shd w:val="clear" w:color="auto" w:fill="auto"/>
            <w:noWrap/>
            <w:vAlign w:val="center"/>
            <w:hideMark/>
          </w:tcPr>
          <w:p w14:paraId="3D9F8D97" w14:textId="6A72AD9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D07AAA1" w14:textId="6AA4848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1A29B4FD" w14:textId="0D65A549"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224E6667" w14:textId="77777777" w:rsidTr="000D0BD1">
        <w:trPr>
          <w:trHeight w:hRule="exact" w:val="397"/>
        </w:trPr>
        <w:tc>
          <w:tcPr>
            <w:tcW w:w="1701" w:type="dxa"/>
            <w:tcBorders>
              <w:top w:val="nil"/>
              <w:left w:val="nil"/>
              <w:bottom w:val="nil"/>
              <w:right w:val="nil"/>
            </w:tcBorders>
            <w:shd w:val="clear" w:color="auto" w:fill="auto"/>
            <w:noWrap/>
            <w:vAlign w:val="center"/>
            <w:hideMark/>
          </w:tcPr>
          <w:p w14:paraId="205AE58B" w14:textId="731BDBE8"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rs145262901</w:t>
            </w:r>
          </w:p>
        </w:tc>
        <w:tc>
          <w:tcPr>
            <w:tcW w:w="1985" w:type="dxa"/>
            <w:tcBorders>
              <w:top w:val="nil"/>
              <w:left w:val="nil"/>
              <w:bottom w:val="nil"/>
              <w:right w:val="nil"/>
            </w:tcBorders>
            <w:shd w:val="clear" w:color="auto" w:fill="auto"/>
            <w:noWrap/>
            <w:vAlign w:val="center"/>
            <w:hideMark/>
          </w:tcPr>
          <w:p w14:paraId="5A24D55E" w14:textId="407D1E1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non_codi</w:t>
            </w:r>
            <w:r w:rsidR="001C685A">
              <w:rPr>
                <w:rFonts w:eastAsia="Yu Gothic" w:cs="Times New Roman"/>
                <w:color w:val="000000"/>
                <w:szCs w:val="24"/>
              </w:rPr>
              <w:t>ng</w:t>
            </w:r>
          </w:p>
        </w:tc>
        <w:tc>
          <w:tcPr>
            <w:tcW w:w="1134" w:type="dxa"/>
            <w:tcBorders>
              <w:top w:val="nil"/>
              <w:left w:val="nil"/>
              <w:bottom w:val="nil"/>
              <w:right w:val="nil"/>
            </w:tcBorders>
            <w:shd w:val="clear" w:color="auto" w:fill="auto"/>
            <w:noWrap/>
            <w:vAlign w:val="center"/>
            <w:hideMark/>
          </w:tcPr>
          <w:p w14:paraId="521A691D" w14:textId="57DC64AD"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5A3F61F0" w14:textId="719ABB82"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-0.72</w:t>
            </w:r>
          </w:p>
        </w:tc>
        <w:tc>
          <w:tcPr>
            <w:tcW w:w="1559" w:type="dxa"/>
            <w:tcBorders>
              <w:top w:val="nil"/>
              <w:left w:val="nil"/>
              <w:bottom w:val="nil"/>
              <w:right w:val="nil"/>
            </w:tcBorders>
            <w:shd w:val="clear" w:color="auto" w:fill="auto"/>
            <w:noWrap/>
            <w:vAlign w:val="center"/>
            <w:hideMark/>
          </w:tcPr>
          <w:p w14:paraId="4C9D1D50" w14:textId="1EE7096B"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-11.01</w:t>
            </w:r>
          </w:p>
        </w:tc>
        <w:tc>
          <w:tcPr>
            <w:tcW w:w="1418" w:type="dxa"/>
            <w:tcBorders>
              <w:top w:val="nil"/>
              <w:left w:val="nil"/>
              <w:bottom w:val="nil"/>
              <w:right w:val="nil"/>
            </w:tcBorders>
            <w:shd w:val="clear" w:color="auto" w:fill="auto"/>
            <w:noWrap/>
            <w:vAlign w:val="center"/>
            <w:hideMark/>
          </w:tcPr>
          <w:p w14:paraId="427A59D5" w14:textId="58186110"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46.33</w:t>
            </w:r>
          </w:p>
        </w:tc>
        <w:tc>
          <w:tcPr>
            <w:tcW w:w="1843" w:type="dxa"/>
            <w:tcBorders>
              <w:top w:val="nil"/>
              <w:left w:val="nil"/>
              <w:bottom w:val="nil"/>
              <w:right w:val="nil"/>
            </w:tcBorders>
            <w:shd w:val="clear" w:color="auto" w:fill="auto"/>
            <w:noWrap/>
            <w:vAlign w:val="center"/>
            <w:hideMark/>
          </w:tcPr>
          <w:p w14:paraId="6AD51D10" w14:textId="1D75C50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NA</w:t>
            </w:r>
          </w:p>
        </w:tc>
        <w:tc>
          <w:tcPr>
            <w:tcW w:w="1275" w:type="dxa"/>
            <w:tcBorders>
              <w:top w:val="nil"/>
              <w:left w:val="nil"/>
              <w:bottom w:val="nil"/>
              <w:right w:val="nil"/>
            </w:tcBorders>
            <w:shd w:val="clear" w:color="auto" w:fill="auto"/>
            <w:noWrap/>
            <w:vAlign w:val="center"/>
            <w:hideMark/>
          </w:tcPr>
          <w:p w14:paraId="0CC8E31B" w14:textId="745E85D9"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NA</w:t>
            </w:r>
          </w:p>
        </w:tc>
        <w:tc>
          <w:tcPr>
            <w:tcW w:w="1701" w:type="dxa"/>
            <w:tcBorders>
              <w:top w:val="nil"/>
              <w:left w:val="nil"/>
              <w:bottom w:val="nil"/>
              <w:right w:val="nil"/>
            </w:tcBorders>
            <w:shd w:val="clear" w:color="auto" w:fill="auto"/>
            <w:noWrap/>
            <w:vAlign w:val="center"/>
            <w:hideMark/>
          </w:tcPr>
          <w:p w14:paraId="11BD32B1" w14:textId="1EB13DF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NA</w:t>
            </w:r>
          </w:p>
        </w:tc>
      </w:tr>
      <w:tr w:rsidR="005B2595" w:rsidRPr="000D0BD1" w14:paraId="20F3B191" w14:textId="77777777" w:rsidTr="000D0BD1">
        <w:trPr>
          <w:trHeight w:hRule="exact" w:val="397"/>
        </w:trPr>
        <w:tc>
          <w:tcPr>
            <w:tcW w:w="1701" w:type="dxa"/>
            <w:tcBorders>
              <w:top w:val="nil"/>
              <w:left w:val="nil"/>
              <w:bottom w:val="nil"/>
              <w:right w:val="nil"/>
            </w:tcBorders>
            <w:shd w:val="clear" w:color="auto" w:fill="auto"/>
            <w:noWrap/>
            <w:vAlign w:val="center"/>
            <w:hideMark/>
          </w:tcPr>
          <w:p w14:paraId="34BB3670" w14:textId="6972E9F7"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rs116037345</w:t>
            </w:r>
          </w:p>
        </w:tc>
        <w:tc>
          <w:tcPr>
            <w:tcW w:w="1985" w:type="dxa"/>
            <w:tcBorders>
              <w:top w:val="nil"/>
              <w:left w:val="nil"/>
              <w:bottom w:val="nil"/>
              <w:right w:val="nil"/>
            </w:tcBorders>
            <w:shd w:val="clear" w:color="auto" w:fill="auto"/>
            <w:noWrap/>
            <w:vAlign w:val="center"/>
            <w:hideMark/>
          </w:tcPr>
          <w:p w14:paraId="0D24494C" w14:textId="1EC18304"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441C9D95" w14:textId="06F889B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18D64715" w14:textId="3A507FF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0.58</w:t>
            </w:r>
          </w:p>
        </w:tc>
        <w:tc>
          <w:tcPr>
            <w:tcW w:w="1559" w:type="dxa"/>
            <w:tcBorders>
              <w:top w:val="nil"/>
              <w:left w:val="nil"/>
              <w:bottom w:val="nil"/>
              <w:right w:val="nil"/>
            </w:tcBorders>
            <w:shd w:val="clear" w:color="auto" w:fill="auto"/>
            <w:noWrap/>
            <w:vAlign w:val="center"/>
            <w:hideMark/>
          </w:tcPr>
          <w:p w14:paraId="6F719DF5" w14:textId="44F35FB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-15.15</w:t>
            </w:r>
          </w:p>
        </w:tc>
        <w:tc>
          <w:tcPr>
            <w:tcW w:w="1418" w:type="dxa"/>
            <w:tcBorders>
              <w:top w:val="nil"/>
              <w:left w:val="nil"/>
              <w:bottom w:val="nil"/>
              <w:right w:val="nil"/>
            </w:tcBorders>
            <w:shd w:val="clear" w:color="auto" w:fill="auto"/>
            <w:noWrap/>
            <w:vAlign w:val="center"/>
            <w:hideMark/>
          </w:tcPr>
          <w:p w14:paraId="74C5BC15" w14:textId="3D495EA6"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65.17</w:t>
            </w:r>
          </w:p>
        </w:tc>
        <w:tc>
          <w:tcPr>
            <w:tcW w:w="1843" w:type="dxa"/>
            <w:tcBorders>
              <w:top w:val="nil"/>
              <w:left w:val="nil"/>
              <w:bottom w:val="nil"/>
              <w:right w:val="nil"/>
            </w:tcBorders>
            <w:shd w:val="clear" w:color="auto" w:fill="auto"/>
            <w:noWrap/>
            <w:vAlign w:val="center"/>
            <w:hideMark/>
          </w:tcPr>
          <w:p w14:paraId="60CD6A09" w14:textId="416F130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4369D793" w14:textId="758FEE6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4E80095A" w14:textId="2F17EDC2"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641D5170" w14:textId="77777777" w:rsidTr="000D0BD1">
        <w:trPr>
          <w:trHeight w:hRule="exact" w:val="397"/>
        </w:trPr>
        <w:tc>
          <w:tcPr>
            <w:tcW w:w="1701" w:type="dxa"/>
            <w:tcBorders>
              <w:top w:val="nil"/>
              <w:left w:val="nil"/>
              <w:bottom w:val="nil"/>
              <w:right w:val="nil"/>
            </w:tcBorders>
            <w:shd w:val="clear" w:color="auto" w:fill="auto"/>
            <w:noWrap/>
            <w:vAlign w:val="center"/>
            <w:hideMark/>
          </w:tcPr>
          <w:p w14:paraId="3FEFC26B" w14:textId="6050D2E7"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rs79778789</w:t>
            </w:r>
          </w:p>
        </w:tc>
        <w:tc>
          <w:tcPr>
            <w:tcW w:w="1985" w:type="dxa"/>
            <w:tcBorders>
              <w:top w:val="nil"/>
              <w:left w:val="nil"/>
              <w:bottom w:val="nil"/>
              <w:right w:val="nil"/>
            </w:tcBorders>
            <w:shd w:val="clear" w:color="auto" w:fill="auto"/>
            <w:noWrap/>
            <w:vAlign w:val="center"/>
            <w:hideMark/>
          </w:tcPr>
          <w:p w14:paraId="6C026C4B" w14:textId="293EBB46"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40168E4" w14:textId="785F878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A</w:t>
            </w:r>
          </w:p>
        </w:tc>
        <w:tc>
          <w:tcPr>
            <w:tcW w:w="1559" w:type="dxa"/>
            <w:tcBorders>
              <w:top w:val="nil"/>
              <w:left w:val="nil"/>
              <w:bottom w:val="nil"/>
              <w:right w:val="nil"/>
            </w:tcBorders>
            <w:shd w:val="clear" w:color="auto" w:fill="auto"/>
            <w:noWrap/>
            <w:vAlign w:val="center"/>
            <w:hideMark/>
          </w:tcPr>
          <w:p w14:paraId="3521BF2E" w14:textId="42C0EA2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-0.79</w:t>
            </w:r>
          </w:p>
        </w:tc>
        <w:tc>
          <w:tcPr>
            <w:tcW w:w="1559" w:type="dxa"/>
            <w:tcBorders>
              <w:top w:val="nil"/>
              <w:left w:val="nil"/>
              <w:bottom w:val="nil"/>
              <w:right w:val="nil"/>
            </w:tcBorders>
            <w:shd w:val="clear" w:color="auto" w:fill="auto"/>
            <w:noWrap/>
            <w:vAlign w:val="center"/>
            <w:hideMark/>
          </w:tcPr>
          <w:p w14:paraId="6AB02512" w14:textId="10B3A2A8"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-18.08</w:t>
            </w:r>
          </w:p>
        </w:tc>
        <w:tc>
          <w:tcPr>
            <w:tcW w:w="1418" w:type="dxa"/>
            <w:tcBorders>
              <w:top w:val="nil"/>
              <w:left w:val="nil"/>
              <w:bottom w:val="nil"/>
              <w:right w:val="nil"/>
            </w:tcBorders>
            <w:shd w:val="clear" w:color="auto" w:fill="auto"/>
            <w:noWrap/>
            <w:vAlign w:val="center"/>
            <w:hideMark/>
          </w:tcPr>
          <w:p w14:paraId="028B09D2" w14:textId="7DE4EBC8"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78.36</w:t>
            </w:r>
          </w:p>
        </w:tc>
        <w:tc>
          <w:tcPr>
            <w:tcW w:w="1843" w:type="dxa"/>
            <w:tcBorders>
              <w:top w:val="nil"/>
              <w:left w:val="nil"/>
              <w:bottom w:val="nil"/>
              <w:right w:val="nil"/>
            </w:tcBorders>
            <w:shd w:val="clear" w:color="auto" w:fill="auto"/>
            <w:noWrap/>
            <w:vAlign w:val="center"/>
            <w:hideMark/>
          </w:tcPr>
          <w:p w14:paraId="2B046E72" w14:textId="2903E74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640DC4E2" w14:textId="4695CC5B"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7F470F27" w14:textId="1C1302D6"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BD98B4C" w14:textId="77777777" w:rsidTr="000D0BD1">
        <w:trPr>
          <w:trHeight w:hRule="exact" w:val="397"/>
        </w:trPr>
        <w:tc>
          <w:tcPr>
            <w:tcW w:w="1701" w:type="dxa"/>
            <w:tcBorders>
              <w:top w:val="nil"/>
              <w:left w:val="nil"/>
              <w:bottom w:val="nil"/>
              <w:right w:val="nil"/>
            </w:tcBorders>
            <w:shd w:val="clear" w:color="auto" w:fill="auto"/>
            <w:noWrap/>
            <w:vAlign w:val="center"/>
            <w:hideMark/>
          </w:tcPr>
          <w:p w14:paraId="53CA22B5" w14:textId="7F68C2F5"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rs79219014</w:t>
            </w:r>
          </w:p>
        </w:tc>
        <w:tc>
          <w:tcPr>
            <w:tcW w:w="1985" w:type="dxa"/>
            <w:tcBorders>
              <w:top w:val="nil"/>
              <w:left w:val="nil"/>
              <w:bottom w:val="nil"/>
              <w:right w:val="nil"/>
            </w:tcBorders>
            <w:shd w:val="clear" w:color="auto" w:fill="auto"/>
            <w:noWrap/>
            <w:vAlign w:val="center"/>
            <w:hideMark/>
          </w:tcPr>
          <w:p w14:paraId="0CA25E9C" w14:textId="1E5D4E3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4C144CE1" w14:textId="04CAA158"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41D63525" w14:textId="52364846"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-0.76</w:t>
            </w:r>
          </w:p>
        </w:tc>
        <w:tc>
          <w:tcPr>
            <w:tcW w:w="1559" w:type="dxa"/>
            <w:tcBorders>
              <w:top w:val="nil"/>
              <w:left w:val="nil"/>
              <w:bottom w:val="nil"/>
              <w:right w:val="nil"/>
            </w:tcBorders>
            <w:shd w:val="clear" w:color="auto" w:fill="auto"/>
            <w:noWrap/>
            <w:vAlign w:val="center"/>
            <w:hideMark/>
          </w:tcPr>
          <w:p w14:paraId="51C1AB60" w14:textId="3006479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-22.34</w:t>
            </w:r>
          </w:p>
        </w:tc>
        <w:tc>
          <w:tcPr>
            <w:tcW w:w="1418" w:type="dxa"/>
            <w:tcBorders>
              <w:top w:val="nil"/>
              <w:left w:val="nil"/>
              <w:bottom w:val="nil"/>
              <w:right w:val="nil"/>
            </w:tcBorders>
            <w:shd w:val="clear" w:color="auto" w:fill="auto"/>
            <w:noWrap/>
            <w:vAlign w:val="center"/>
            <w:hideMark/>
          </w:tcPr>
          <w:p w14:paraId="0DD8610A" w14:textId="077F7F9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97.72</w:t>
            </w:r>
          </w:p>
        </w:tc>
        <w:tc>
          <w:tcPr>
            <w:tcW w:w="1843" w:type="dxa"/>
            <w:tcBorders>
              <w:top w:val="nil"/>
              <w:left w:val="nil"/>
              <w:bottom w:val="nil"/>
              <w:right w:val="nil"/>
            </w:tcBorders>
            <w:shd w:val="clear" w:color="auto" w:fill="auto"/>
            <w:noWrap/>
            <w:vAlign w:val="center"/>
            <w:hideMark/>
          </w:tcPr>
          <w:p w14:paraId="410F63F8" w14:textId="3547679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067B08CC" w14:textId="427B252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390D3C92" w14:textId="6CC6B21B"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E36D607" w14:textId="77777777" w:rsidTr="000D0BD1">
        <w:trPr>
          <w:trHeight w:hRule="exact" w:val="397"/>
        </w:trPr>
        <w:tc>
          <w:tcPr>
            <w:tcW w:w="1701" w:type="dxa"/>
            <w:tcBorders>
              <w:top w:val="nil"/>
              <w:left w:val="nil"/>
              <w:bottom w:val="nil"/>
              <w:right w:val="nil"/>
            </w:tcBorders>
            <w:shd w:val="clear" w:color="auto" w:fill="auto"/>
            <w:noWrap/>
            <w:vAlign w:val="center"/>
            <w:hideMark/>
          </w:tcPr>
          <w:p w14:paraId="73C1CFC7" w14:textId="78DD319F"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rs116141616</w:t>
            </w:r>
          </w:p>
        </w:tc>
        <w:tc>
          <w:tcPr>
            <w:tcW w:w="1985" w:type="dxa"/>
            <w:tcBorders>
              <w:top w:val="nil"/>
              <w:left w:val="nil"/>
              <w:bottom w:val="nil"/>
              <w:right w:val="nil"/>
            </w:tcBorders>
            <w:shd w:val="clear" w:color="auto" w:fill="auto"/>
            <w:noWrap/>
            <w:vAlign w:val="center"/>
            <w:hideMark/>
          </w:tcPr>
          <w:p w14:paraId="6D4CF815" w14:textId="22512D45"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CD621F5" w14:textId="4588EE75"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7DE1963B" w14:textId="414DCB39"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0.45</w:t>
            </w:r>
          </w:p>
        </w:tc>
        <w:tc>
          <w:tcPr>
            <w:tcW w:w="1559" w:type="dxa"/>
            <w:tcBorders>
              <w:top w:val="nil"/>
              <w:left w:val="nil"/>
              <w:bottom w:val="nil"/>
              <w:right w:val="nil"/>
            </w:tcBorders>
            <w:shd w:val="clear" w:color="auto" w:fill="auto"/>
            <w:noWrap/>
            <w:vAlign w:val="center"/>
            <w:hideMark/>
          </w:tcPr>
          <w:p w14:paraId="524D5AA8" w14:textId="6452728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-9.34</w:t>
            </w:r>
          </w:p>
        </w:tc>
        <w:tc>
          <w:tcPr>
            <w:tcW w:w="1418" w:type="dxa"/>
            <w:tcBorders>
              <w:top w:val="nil"/>
              <w:left w:val="nil"/>
              <w:bottom w:val="nil"/>
              <w:right w:val="nil"/>
            </w:tcBorders>
            <w:shd w:val="clear" w:color="auto" w:fill="auto"/>
            <w:noWrap/>
            <w:vAlign w:val="center"/>
            <w:hideMark/>
          </w:tcPr>
          <w:p w14:paraId="7C9BB75E" w14:textId="607A129C"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38.81</w:t>
            </w:r>
          </w:p>
        </w:tc>
        <w:tc>
          <w:tcPr>
            <w:tcW w:w="1843" w:type="dxa"/>
            <w:tcBorders>
              <w:top w:val="nil"/>
              <w:left w:val="nil"/>
              <w:bottom w:val="nil"/>
              <w:right w:val="nil"/>
            </w:tcBorders>
            <w:shd w:val="clear" w:color="auto" w:fill="auto"/>
            <w:noWrap/>
            <w:vAlign w:val="center"/>
            <w:hideMark/>
          </w:tcPr>
          <w:p w14:paraId="7CD69744" w14:textId="5E80EDB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4F76114D" w14:textId="126F3A8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7F828BB7" w14:textId="2D1A8D0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10CF9AAF" w14:textId="77777777" w:rsidTr="000D0BD1">
        <w:trPr>
          <w:trHeight w:hRule="exact" w:val="397"/>
        </w:trPr>
        <w:tc>
          <w:tcPr>
            <w:tcW w:w="1701" w:type="dxa"/>
            <w:tcBorders>
              <w:top w:val="nil"/>
              <w:left w:val="nil"/>
              <w:bottom w:val="nil"/>
              <w:right w:val="nil"/>
            </w:tcBorders>
            <w:shd w:val="clear" w:color="auto" w:fill="auto"/>
            <w:noWrap/>
            <w:vAlign w:val="center"/>
            <w:hideMark/>
          </w:tcPr>
          <w:p w14:paraId="28BDAFC6" w14:textId="31526EC1"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rs139952834</w:t>
            </w:r>
          </w:p>
        </w:tc>
        <w:tc>
          <w:tcPr>
            <w:tcW w:w="1985" w:type="dxa"/>
            <w:tcBorders>
              <w:top w:val="nil"/>
              <w:left w:val="nil"/>
              <w:bottom w:val="nil"/>
              <w:right w:val="nil"/>
            </w:tcBorders>
            <w:shd w:val="clear" w:color="auto" w:fill="auto"/>
            <w:noWrap/>
            <w:vAlign w:val="center"/>
            <w:hideMark/>
          </w:tcPr>
          <w:p w14:paraId="100D019E" w14:textId="50FD1CA6"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5E03D733" w14:textId="3A8F3224"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5463A055" w14:textId="4628E0C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0.65</w:t>
            </w:r>
          </w:p>
        </w:tc>
        <w:tc>
          <w:tcPr>
            <w:tcW w:w="1559" w:type="dxa"/>
            <w:tcBorders>
              <w:top w:val="nil"/>
              <w:left w:val="nil"/>
              <w:bottom w:val="nil"/>
              <w:right w:val="nil"/>
            </w:tcBorders>
            <w:shd w:val="clear" w:color="auto" w:fill="auto"/>
            <w:noWrap/>
            <w:vAlign w:val="center"/>
            <w:hideMark/>
          </w:tcPr>
          <w:p w14:paraId="0D0AD0CC" w14:textId="3712747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-8.89</w:t>
            </w:r>
          </w:p>
        </w:tc>
        <w:tc>
          <w:tcPr>
            <w:tcW w:w="1418" w:type="dxa"/>
            <w:tcBorders>
              <w:top w:val="nil"/>
              <w:left w:val="nil"/>
              <w:bottom w:val="nil"/>
              <w:right w:val="nil"/>
            </w:tcBorders>
            <w:shd w:val="clear" w:color="auto" w:fill="auto"/>
            <w:noWrap/>
            <w:vAlign w:val="center"/>
            <w:hideMark/>
          </w:tcPr>
          <w:p w14:paraId="72F8D582" w14:textId="2943568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36.83</w:t>
            </w:r>
          </w:p>
        </w:tc>
        <w:tc>
          <w:tcPr>
            <w:tcW w:w="1843" w:type="dxa"/>
            <w:tcBorders>
              <w:top w:val="nil"/>
              <w:left w:val="nil"/>
              <w:bottom w:val="nil"/>
              <w:right w:val="nil"/>
            </w:tcBorders>
            <w:shd w:val="clear" w:color="auto" w:fill="auto"/>
            <w:noWrap/>
            <w:vAlign w:val="center"/>
            <w:hideMark/>
          </w:tcPr>
          <w:p w14:paraId="4F23CD4B" w14:textId="1CA10B4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B8793D5" w14:textId="72A9A9D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B3F2734" w14:textId="3E50256B"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2EA1D621" w14:textId="77777777" w:rsidTr="000D0BD1">
        <w:trPr>
          <w:trHeight w:hRule="exact" w:val="397"/>
        </w:trPr>
        <w:tc>
          <w:tcPr>
            <w:tcW w:w="1701" w:type="dxa"/>
            <w:tcBorders>
              <w:top w:val="nil"/>
              <w:left w:val="nil"/>
              <w:bottom w:val="nil"/>
              <w:right w:val="nil"/>
            </w:tcBorders>
            <w:shd w:val="clear" w:color="auto" w:fill="auto"/>
            <w:noWrap/>
            <w:vAlign w:val="center"/>
            <w:hideMark/>
          </w:tcPr>
          <w:p w14:paraId="076DE62C" w14:textId="51260CDC"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rs113580743</w:t>
            </w:r>
          </w:p>
        </w:tc>
        <w:tc>
          <w:tcPr>
            <w:tcW w:w="1985" w:type="dxa"/>
            <w:tcBorders>
              <w:top w:val="nil"/>
              <w:left w:val="nil"/>
              <w:bottom w:val="nil"/>
              <w:right w:val="nil"/>
            </w:tcBorders>
            <w:shd w:val="clear" w:color="auto" w:fill="auto"/>
            <w:noWrap/>
            <w:vAlign w:val="center"/>
            <w:hideMark/>
          </w:tcPr>
          <w:p w14:paraId="1E23DB1C" w14:textId="6D000620"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609992B1" w14:textId="24F86115"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7E9D821D" w14:textId="175A7F8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0.51</w:t>
            </w:r>
          </w:p>
        </w:tc>
        <w:tc>
          <w:tcPr>
            <w:tcW w:w="1559" w:type="dxa"/>
            <w:tcBorders>
              <w:top w:val="nil"/>
              <w:left w:val="nil"/>
              <w:bottom w:val="nil"/>
              <w:right w:val="nil"/>
            </w:tcBorders>
            <w:shd w:val="clear" w:color="auto" w:fill="auto"/>
            <w:noWrap/>
            <w:vAlign w:val="center"/>
            <w:hideMark/>
          </w:tcPr>
          <w:p w14:paraId="7B958F5D" w14:textId="192EA66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-16.71</w:t>
            </w:r>
          </w:p>
        </w:tc>
        <w:tc>
          <w:tcPr>
            <w:tcW w:w="1418" w:type="dxa"/>
            <w:tcBorders>
              <w:top w:val="nil"/>
              <w:left w:val="nil"/>
              <w:bottom w:val="nil"/>
              <w:right w:val="nil"/>
            </w:tcBorders>
            <w:shd w:val="clear" w:color="auto" w:fill="auto"/>
            <w:noWrap/>
            <w:vAlign w:val="center"/>
            <w:hideMark/>
          </w:tcPr>
          <w:p w14:paraId="33A9D44D" w14:textId="05DA869B"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72.21</w:t>
            </w:r>
          </w:p>
        </w:tc>
        <w:tc>
          <w:tcPr>
            <w:tcW w:w="1843" w:type="dxa"/>
            <w:tcBorders>
              <w:top w:val="nil"/>
              <w:left w:val="nil"/>
              <w:bottom w:val="nil"/>
              <w:right w:val="nil"/>
            </w:tcBorders>
            <w:shd w:val="clear" w:color="auto" w:fill="auto"/>
            <w:noWrap/>
            <w:vAlign w:val="center"/>
            <w:hideMark/>
          </w:tcPr>
          <w:p w14:paraId="15426F02" w14:textId="70DAC58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30A95BD2" w14:textId="65AEC3A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6C3454B0" w14:textId="21AFEF41"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3E16DCD3" w14:textId="77777777" w:rsidTr="000D0BD1">
        <w:trPr>
          <w:trHeight w:hRule="exact" w:val="397"/>
        </w:trPr>
        <w:tc>
          <w:tcPr>
            <w:tcW w:w="1701" w:type="dxa"/>
            <w:tcBorders>
              <w:top w:val="nil"/>
              <w:left w:val="nil"/>
              <w:bottom w:val="nil"/>
              <w:right w:val="nil"/>
            </w:tcBorders>
            <w:shd w:val="clear" w:color="auto" w:fill="auto"/>
            <w:noWrap/>
            <w:vAlign w:val="center"/>
            <w:hideMark/>
          </w:tcPr>
          <w:p w14:paraId="11A082F0" w14:textId="08CFCC2E"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rs4129267</w:t>
            </w:r>
          </w:p>
        </w:tc>
        <w:tc>
          <w:tcPr>
            <w:tcW w:w="1985" w:type="dxa"/>
            <w:tcBorders>
              <w:top w:val="nil"/>
              <w:left w:val="nil"/>
              <w:bottom w:val="nil"/>
              <w:right w:val="nil"/>
            </w:tcBorders>
            <w:shd w:val="clear" w:color="auto" w:fill="auto"/>
            <w:noWrap/>
            <w:vAlign w:val="center"/>
            <w:hideMark/>
          </w:tcPr>
          <w:p w14:paraId="55CBE796" w14:textId="23FF3C64"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0A803A64" w14:textId="1170070D"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744CBA15" w14:textId="2B6A9CC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-1.11</w:t>
            </w:r>
          </w:p>
        </w:tc>
        <w:tc>
          <w:tcPr>
            <w:tcW w:w="1559" w:type="dxa"/>
            <w:tcBorders>
              <w:top w:val="nil"/>
              <w:left w:val="nil"/>
              <w:bottom w:val="nil"/>
              <w:right w:val="nil"/>
            </w:tcBorders>
            <w:shd w:val="clear" w:color="auto" w:fill="auto"/>
            <w:noWrap/>
            <w:vAlign w:val="center"/>
            <w:hideMark/>
          </w:tcPr>
          <w:p w14:paraId="3E8BBAD4" w14:textId="5853553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-1100.13</w:t>
            </w:r>
          </w:p>
        </w:tc>
        <w:tc>
          <w:tcPr>
            <w:tcW w:w="1418" w:type="dxa"/>
            <w:tcBorders>
              <w:top w:val="nil"/>
              <w:left w:val="nil"/>
              <w:bottom w:val="nil"/>
              <w:right w:val="nil"/>
            </w:tcBorders>
            <w:shd w:val="clear" w:color="auto" w:fill="auto"/>
            <w:noWrap/>
            <w:vAlign w:val="center"/>
            <w:hideMark/>
          </w:tcPr>
          <w:p w14:paraId="118B32F5" w14:textId="340C9E0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5041.90</w:t>
            </w:r>
          </w:p>
        </w:tc>
        <w:tc>
          <w:tcPr>
            <w:tcW w:w="1843" w:type="dxa"/>
            <w:tcBorders>
              <w:top w:val="nil"/>
              <w:left w:val="nil"/>
              <w:bottom w:val="nil"/>
              <w:right w:val="nil"/>
            </w:tcBorders>
            <w:shd w:val="clear" w:color="auto" w:fill="auto"/>
            <w:noWrap/>
            <w:vAlign w:val="center"/>
            <w:hideMark/>
          </w:tcPr>
          <w:p w14:paraId="242E8F9D" w14:textId="7258CC9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9482CC3" w14:textId="2DE68BF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50EA0D8E" w14:textId="0346BD29"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FE1BBB9" w14:textId="77777777" w:rsidTr="000D0BD1">
        <w:trPr>
          <w:trHeight w:hRule="exact" w:val="397"/>
        </w:trPr>
        <w:tc>
          <w:tcPr>
            <w:tcW w:w="1701" w:type="dxa"/>
            <w:tcBorders>
              <w:top w:val="nil"/>
              <w:left w:val="nil"/>
              <w:bottom w:val="nil"/>
              <w:right w:val="nil"/>
            </w:tcBorders>
            <w:shd w:val="clear" w:color="auto" w:fill="auto"/>
            <w:noWrap/>
            <w:vAlign w:val="center"/>
            <w:hideMark/>
          </w:tcPr>
          <w:p w14:paraId="0E225522" w14:textId="63967AD2"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rs7555748</w:t>
            </w:r>
          </w:p>
        </w:tc>
        <w:tc>
          <w:tcPr>
            <w:tcW w:w="1985" w:type="dxa"/>
            <w:tcBorders>
              <w:top w:val="nil"/>
              <w:left w:val="nil"/>
              <w:bottom w:val="nil"/>
              <w:right w:val="nil"/>
            </w:tcBorders>
            <w:shd w:val="clear" w:color="auto" w:fill="auto"/>
            <w:noWrap/>
            <w:vAlign w:val="center"/>
            <w:hideMark/>
          </w:tcPr>
          <w:p w14:paraId="5628C1F5" w14:textId="0A1F5A65"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74A5AE37" w14:textId="3B42422A"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A</w:t>
            </w:r>
          </w:p>
        </w:tc>
        <w:tc>
          <w:tcPr>
            <w:tcW w:w="1559" w:type="dxa"/>
            <w:tcBorders>
              <w:top w:val="nil"/>
              <w:left w:val="nil"/>
              <w:bottom w:val="nil"/>
              <w:right w:val="nil"/>
            </w:tcBorders>
            <w:shd w:val="clear" w:color="auto" w:fill="auto"/>
            <w:noWrap/>
            <w:vAlign w:val="center"/>
            <w:hideMark/>
          </w:tcPr>
          <w:p w14:paraId="1319687F" w14:textId="6316A34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-0.53</w:t>
            </w:r>
          </w:p>
        </w:tc>
        <w:tc>
          <w:tcPr>
            <w:tcW w:w="1559" w:type="dxa"/>
            <w:tcBorders>
              <w:top w:val="nil"/>
              <w:left w:val="nil"/>
              <w:bottom w:val="nil"/>
              <w:right w:val="nil"/>
            </w:tcBorders>
            <w:shd w:val="clear" w:color="auto" w:fill="auto"/>
            <w:noWrap/>
            <w:vAlign w:val="center"/>
            <w:hideMark/>
          </w:tcPr>
          <w:p w14:paraId="50CA94FF" w14:textId="50DAF2CE"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-17.01</w:t>
            </w:r>
          </w:p>
        </w:tc>
        <w:tc>
          <w:tcPr>
            <w:tcW w:w="1418" w:type="dxa"/>
            <w:tcBorders>
              <w:top w:val="nil"/>
              <w:left w:val="nil"/>
              <w:bottom w:val="nil"/>
              <w:right w:val="nil"/>
            </w:tcBorders>
            <w:shd w:val="clear" w:color="auto" w:fill="auto"/>
            <w:noWrap/>
            <w:vAlign w:val="center"/>
            <w:hideMark/>
          </w:tcPr>
          <w:p w14:paraId="06C2D1B5" w14:textId="76826129"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73.60</w:t>
            </w:r>
          </w:p>
        </w:tc>
        <w:tc>
          <w:tcPr>
            <w:tcW w:w="1843" w:type="dxa"/>
            <w:tcBorders>
              <w:top w:val="nil"/>
              <w:left w:val="nil"/>
              <w:bottom w:val="nil"/>
              <w:right w:val="nil"/>
            </w:tcBorders>
            <w:shd w:val="clear" w:color="auto" w:fill="auto"/>
            <w:noWrap/>
            <w:vAlign w:val="center"/>
            <w:hideMark/>
          </w:tcPr>
          <w:p w14:paraId="7AF3C2C6" w14:textId="0E7B3B2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748424B5" w14:textId="1B35A77E"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C811A7C" w14:textId="38F8DED6"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2971D0CE" w14:textId="77777777" w:rsidTr="000D0BD1">
        <w:trPr>
          <w:trHeight w:hRule="exact" w:val="397"/>
        </w:trPr>
        <w:tc>
          <w:tcPr>
            <w:tcW w:w="1701" w:type="dxa"/>
            <w:tcBorders>
              <w:top w:val="nil"/>
              <w:left w:val="nil"/>
              <w:bottom w:val="nil"/>
              <w:right w:val="nil"/>
            </w:tcBorders>
            <w:shd w:val="clear" w:color="auto" w:fill="auto"/>
            <w:noWrap/>
            <w:vAlign w:val="center"/>
            <w:hideMark/>
          </w:tcPr>
          <w:p w14:paraId="21EB7649" w14:textId="621003CC"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rs41269913</w:t>
            </w:r>
          </w:p>
        </w:tc>
        <w:tc>
          <w:tcPr>
            <w:tcW w:w="1985" w:type="dxa"/>
            <w:tcBorders>
              <w:top w:val="nil"/>
              <w:left w:val="nil"/>
              <w:bottom w:val="nil"/>
              <w:right w:val="nil"/>
            </w:tcBorders>
            <w:shd w:val="clear" w:color="auto" w:fill="auto"/>
            <w:noWrap/>
            <w:vAlign w:val="center"/>
            <w:hideMark/>
          </w:tcPr>
          <w:p w14:paraId="61258C55" w14:textId="54EC80D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78859375" w14:textId="79008B37"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3776F600" w14:textId="02D64C99"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-0.70</w:t>
            </w:r>
          </w:p>
        </w:tc>
        <w:tc>
          <w:tcPr>
            <w:tcW w:w="1559" w:type="dxa"/>
            <w:tcBorders>
              <w:top w:val="nil"/>
              <w:left w:val="nil"/>
              <w:bottom w:val="nil"/>
              <w:right w:val="nil"/>
            </w:tcBorders>
            <w:shd w:val="clear" w:color="auto" w:fill="auto"/>
            <w:noWrap/>
            <w:vAlign w:val="center"/>
            <w:hideMark/>
          </w:tcPr>
          <w:p w14:paraId="69C839A3" w14:textId="27A5449B"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-30.71</w:t>
            </w:r>
          </w:p>
        </w:tc>
        <w:tc>
          <w:tcPr>
            <w:tcW w:w="1418" w:type="dxa"/>
            <w:tcBorders>
              <w:top w:val="nil"/>
              <w:left w:val="nil"/>
              <w:bottom w:val="nil"/>
              <w:right w:val="nil"/>
            </w:tcBorders>
            <w:shd w:val="clear" w:color="auto" w:fill="auto"/>
            <w:noWrap/>
            <w:vAlign w:val="center"/>
            <w:hideMark/>
          </w:tcPr>
          <w:p w14:paraId="415801AC" w14:textId="72452FDE"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135.90</w:t>
            </w:r>
          </w:p>
        </w:tc>
        <w:tc>
          <w:tcPr>
            <w:tcW w:w="1843" w:type="dxa"/>
            <w:tcBorders>
              <w:top w:val="nil"/>
              <w:left w:val="nil"/>
              <w:bottom w:val="nil"/>
              <w:right w:val="nil"/>
            </w:tcBorders>
            <w:shd w:val="clear" w:color="auto" w:fill="auto"/>
            <w:noWrap/>
            <w:vAlign w:val="center"/>
            <w:hideMark/>
          </w:tcPr>
          <w:p w14:paraId="68450D0E" w14:textId="3C63ECAB"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3C12CFAB" w14:textId="6EC9D2F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38B59715" w14:textId="0202E2B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2D15F444" w14:textId="77777777" w:rsidTr="000D0BD1">
        <w:trPr>
          <w:trHeight w:hRule="exact" w:val="397"/>
        </w:trPr>
        <w:tc>
          <w:tcPr>
            <w:tcW w:w="1701" w:type="dxa"/>
            <w:tcBorders>
              <w:top w:val="nil"/>
              <w:left w:val="nil"/>
              <w:bottom w:val="nil"/>
              <w:right w:val="nil"/>
            </w:tcBorders>
            <w:shd w:val="clear" w:color="auto" w:fill="auto"/>
            <w:noWrap/>
            <w:vAlign w:val="center"/>
            <w:hideMark/>
          </w:tcPr>
          <w:p w14:paraId="0E642FF4" w14:textId="7EE0D98D"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rs140615642</w:t>
            </w:r>
          </w:p>
        </w:tc>
        <w:tc>
          <w:tcPr>
            <w:tcW w:w="1985" w:type="dxa"/>
            <w:tcBorders>
              <w:top w:val="nil"/>
              <w:left w:val="nil"/>
              <w:bottom w:val="nil"/>
              <w:right w:val="nil"/>
            </w:tcBorders>
            <w:shd w:val="clear" w:color="auto" w:fill="auto"/>
            <w:noWrap/>
            <w:vAlign w:val="center"/>
            <w:hideMark/>
          </w:tcPr>
          <w:p w14:paraId="34905133" w14:textId="5271BCBC"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1F87D5CA" w14:textId="35760C8C"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T</w:t>
            </w:r>
          </w:p>
        </w:tc>
        <w:tc>
          <w:tcPr>
            <w:tcW w:w="1559" w:type="dxa"/>
            <w:tcBorders>
              <w:top w:val="nil"/>
              <w:left w:val="nil"/>
              <w:bottom w:val="nil"/>
              <w:right w:val="nil"/>
            </w:tcBorders>
            <w:shd w:val="clear" w:color="auto" w:fill="auto"/>
            <w:noWrap/>
            <w:vAlign w:val="center"/>
            <w:hideMark/>
          </w:tcPr>
          <w:p w14:paraId="39216C11" w14:textId="634A50E2"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-0.55</w:t>
            </w:r>
          </w:p>
        </w:tc>
        <w:tc>
          <w:tcPr>
            <w:tcW w:w="1559" w:type="dxa"/>
            <w:tcBorders>
              <w:top w:val="nil"/>
              <w:left w:val="nil"/>
              <w:bottom w:val="nil"/>
              <w:right w:val="nil"/>
            </w:tcBorders>
            <w:shd w:val="clear" w:color="auto" w:fill="auto"/>
            <w:noWrap/>
            <w:vAlign w:val="center"/>
            <w:hideMark/>
          </w:tcPr>
          <w:p w14:paraId="523B9F2B" w14:textId="2EEBD03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-10.2</w:t>
            </w:r>
          </w:p>
        </w:tc>
        <w:tc>
          <w:tcPr>
            <w:tcW w:w="1418" w:type="dxa"/>
            <w:tcBorders>
              <w:top w:val="nil"/>
              <w:left w:val="nil"/>
              <w:bottom w:val="nil"/>
              <w:right w:val="nil"/>
            </w:tcBorders>
            <w:shd w:val="clear" w:color="auto" w:fill="auto"/>
            <w:noWrap/>
            <w:vAlign w:val="center"/>
            <w:hideMark/>
          </w:tcPr>
          <w:p w14:paraId="54560A0A" w14:textId="350DDAF9"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42.78</w:t>
            </w:r>
          </w:p>
        </w:tc>
        <w:tc>
          <w:tcPr>
            <w:tcW w:w="1843" w:type="dxa"/>
            <w:tcBorders>
              <w:top w:val="nil"/>
              <w:left w:val="nil"/>
              <w:bottom w:val="nil"/>
              <w:right w:val="nil"/>
            </w:tcBorders>
            <w:shd w:val="clear" w:color="auto" w:fill="auto"/>
            <w:noWrap/>
            <w:vAlign w:val="center"/>
            <w:hideMark/>
          </w:tcPr>
          <w:p w14:paraId="03CBFE2C" w14:textId="60AD6AE6"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43E29DF9" w14:textId="0A3D730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67D337F1" w14:textId="2030C39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5E5C3CFA" w14:textId="77777777" w:rsidTr="000D0BD1">
        <w:trPr>
          <w:trHeight w:hRule="exact" w:val="397"/>
        </w:trPr>
        <w:tc>
          <w:tcPr>
            <w:tcW w:w="1701" w:type="dxa"/>
            <w:tcBorders>
              <w:top w:val="nil"/>
              <w:left w:val="nil"/>
              <w:bottom w:val="nil"/>
              <w:right w:val="nil"/>
            </w:tcBorders>
            <w:shd w:val="clear" w:color="auto" w:fill="auto"/>
            <w:noWrap/>
            <w:vAlign w:val="center"/>
            <w:hideMark/>
          </w:tcPr>
          <w:p w14:paraId="3E4894C4" w14:textId="0C22F10B"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rs116059394</w:t>
            </w:r>
          </w:p>
        </w:tc>
        <w:tc>
          <w:tcPr>
            <w:tcW w:w="1985" w:type="dxa"/>
            <w:tcBorders>
              <w:top w:val="nil"/>
              <w:left w:val="nil"/>
              <w:bottom w:val="nil"/>
              <w:right w:val="nil"/>
            </w:tcBorders>
            <w:shd w:val="clear" w:color="auto" w:fill="auto"/>
            <w:noWrap/>
            <w:vAlign w:val="center"/>
            <w:hideMark/>
          </w:tcPr>
          <w:p w14:paraId="018008A9" w14:textId="077A147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27D8ECA0" w14:textId="0F0DC4D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A</w:t>
            </w:r>
          </w:p>
        </w:tc>
        <w:tc>
          <w:tcPr>
            <w:tcW w:w="1559" w:type="dxa"/>
            <w:tcBorders>
              <w:top w:val="nil"/>
              <w:left w:val="nil"/>
              <w:bottom w:val="nil"/>
              <w:right w:val="nil"/>
            </w:tcBorders>
            <w:shd w:val="clear" w:color="auto" w:fill="auto"/>
            <w:noWrap/>
            <w:vAlign w:val="center"/>
            <w:hideMark/>
          </w:tcPr>
          <w:p w14:paraId="47FA7690" w14:textId="6F96595F"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0.58</w:t>
            </w:r>
          </w:p>
        </w:tc>
        <w:tc>
          <w:tcPr>
            <w:tcW w:w="1559" w:type="dxa"/>
            <w:tcBorders>
              <w:top w:val="nil"/>
              <w:left w:val="nil"/>
              <w:bottom w:val="nil"/>
              <w:right w:val="nil"/>
            </w:tcBorders>
            <w:shd w:val="clear" w:color="auto" w:fill="auto"/>
            <w:noWrap/>
            <w:vAlign w:val="center"/>
            <w:hideMark/>
          </w:tcPr>
          <w:p w14:paraId="6EA35FBE" w14:textId="2490DAC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-24.06</w:t>
            </w:r>
          </w:p>
        </w:tc>
        <w:tc>
          <w:tcPr>
            <w:tcW w:w="1418" w:type="dxa"/>
            <w:tcBorders>
              <w:top w:val="nil"/>
              <w:left w:val="nil"/>
              <w:bottom w:val="nil"/>
              <w:right w:val="nil"/>
            </w:tcBorders>
            <w:shd w:val="clear" w:color="auto" w:fill="auto"/>
            <w:noWrap/>
            <w:vAlign w:val="center"/>
            <w:hideMark/>
          </w:tcPr>
          <w:p w14:paraId="0C9CF410" w14:textId="75EF865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105.76</w:t>
            </w:r>
          </w:p>
        </w:tc>
        <w:tc>
          <w:tcPr>
            <w:tcW w:w="1843" w:type="dxa"/>
            <w:tcBorders>
              <w:top w:val="nil"/>
              <w:left w:val="nil"/>
              <w:bottom w:val="nil"/>
              <w:right w:val="nil"/>
            </w:tcBorders>
            <w:shd w:val="clear" w:color="auto" w:fill="auto"/>
            <w:noWrap/>
            <w:vAlign w:val="center"/>
            <w:hideMark/>
          </w:tcPr>
          <w:p w14:paraId="7C4BBCFC" w14:textId="6BE5C076"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009E1213" w14:textId="196F95F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4B282690" w14:textId="107602E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534B03A3" w14:textId="77777777" w:rsidTr="000D0BD1">
        <w:trPr>
          <w:trHeight w:hRule="exact" w:val="397"/>
        </w:trPr>
        <w:tc>
          <w:tcPr>
            <w:tcW w:w="1701" w:type="dxa"/>
            <w:tcBorders>
              <w:top w:val="nil"/>
              <w:left w:val="nil"/>
              <w:bottom w:val="nil"/>
              <w:right w:val="nil"/>
            </w:tcBorders>
            <w:shd w:val="clear" w:color="auto" w:fill="auto"/>
            <w:noWrap/>
            <w:vAlign w:val="center"/>
            <w:hideMark/>
          </w:tcPr>
          <w:p w14:paraId="139C1FE2" w14:textId="318BB147"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rs77994623</w:t>
            </w:r>
          </w:p>
        </w:tc>
        <w:tc>
          <w:tcPr>
            <w:tcW w:w="1985" w:type="dxa"/>
            <w:tcBorders>
              <w:top w:val="nil"/>
              <w:left w:val="nil"/>
              <w:bottom w:val="nil"/>
              <w:right w:val="nil"/>
            </w:tcBorders>
            <w:shd w:val="clear" w:color="auto" w:fill="auto"/>
            <w:noWrap/>
            <w:vAlign w:val="center"/>
            <w:hideMark/>
          </w:tcPr>
          <w:p w14:paraId="677FEB81" w14:textId="46D3979C"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17A9BDD" w14:textId="077BDDC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47BA4B9F" w14:textId="0100FEE4"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0.62</w:t>
            </w:r>
          </w:p>
        </w:tc>
        <w:tc>
          <w:tcPr>
            <w:tcW w:w="1559" w:type="dxa"/>
            <w:tcBorders>
              <w:top w:val="nil"/>
              <w:left w:val="nil"/>
              <w:bottom w:val="nil"/>
              <w:right w:val="nil"/>
            </w:tcBorders>
            <w:shd w:val="clear" w:color="auto" w:fill="auto"/>
            <w:noWrap/>
            <w:vAlign w:val="center"/>
            <w:hideMark/>
          </w:tcPr>
          <w:p w14:paraId="50F3E089" w14:textId="7D53EEC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-89.56</w:t>
            </w:r>
          </w:p>
        </w:tc>
        <w:tc>
          <w:tcPr>
            <w:tcW w:w="1418" w:type="dxa"/>
            <w:tcBorders>
              <w:top w:val="nil"/>
              <w:left w:val="nil"/>
              <w:bottom w:val="nil"/>
              <w:right w:val="nil"/>
            </w:tcBorders>
            <w:shd w:val="clear" w:color="auto" w:fill="auto"/>
            <w:noWrap/>
            <w:vAlign w:val="center"/>
            <w:hideMark/>
          </w:tcPr>
          <w:p w14:paraId="36F9D671" w14:textId="1E3F112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405.75</w:t>
            </w:r>
          </w:p>
        </w:tc>
        <w:tc>
          <w:tcPr>
            <w:tcW w:w="1843" w:type="dxa"/>
            <w:tcBorders>
              <w:top w:val="nil"/>
              <w:left w:val="nil"/>
              <w:bottom w:val="nil"/>
              <w:right w:val="nil"/>
            </w:tcBorders>
            <w:shd w:val="clear" w:color="auto" w:fill="auto"/>
            <w:noWrap/>
            <w:vAlign w:val="center"/>
            <w:hideMark/>
          </w:tcPr>
          <w:p w14:paraId="29A46B65" w14:textId="61A0751A"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3B8B9F7" w14:textId="55AA594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0C2FC05" w14:textId="4EC1230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7B01CEA" w14:textId="77777777" w:rsidTr="000D0BD1">
        <w:trPr>
          <w:trHeight w:hRule="exact" w:val="397"/>
        </w:trPr>
        <w:tc>
          <w:tcPr>
            <w:tcW w:w="1701" w:type="dxa"/>
            <w:tcBorders>
              <w:top w:val="nil"/>
              <w:left w:val="nil"/>
              <w:bottom w:val="nil"/>
              <w:right w:val="nil"/>
            </w:tcBorders>
            <w:shd w:val="clear" w:color="auto" w:fill="auto"/>
            <w:noWrap/>
            <w:vAlign w:val="center"/>
            <w:hideMark/>
          </w:tcPr>
          <w:p w14:paraId="7FD76A6A" w14:textId="06825B6F"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rs139564096</w:t>
            </w:r>
          </w:p>
        </w:tc>
        <w:tc>
          <w:tcPr>
            <w:tcW w:w="1985" w:type="dxa"/>
            <w:tcBorders>
              <w:top w:val="nil"/>
              <w:left w:val="nil"/>
              <w:bottom w:val="nil"/>
              <w:right w:val="nil"/>
            </w:tcBorders>
            <w:shd w:val="clear" w:color="auto" w:fill="auto"/>
            <w:noWrap/>
            <w:vAlign w:val="center"/>
            <w:hideMark/>
          </w:tcPr>
          <w:p w14:paraId="061A66E3" w14:textId="129FD88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DE9C80A" w14:textId="5CE3D36A"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4CABFC9A" w14:textId="7480B71D"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0.64</w:t>
            </w:r>
          </w:p>
        </w:tc>
        <w:tc>
          <w:tcPr>
            <w:tcW w:w="1559" w:type="dxa"/>
            <w:tcBorders>
              <w:top w:val="nil"/>
              <w:left w:val="nil"/>
              <w:bottom w:val="nil"/>
              <w:right w:val="nil"/>
            </w:tcBorders>
            <w:shd w:val="clear" w:color="auto" w:fill="auto"/>
            <w:noWrap/>
            <w:vAlign w:val="center"/>
            <w:hideMark/>
          </w:tcPr>
          <w:p w14:paraId="7D067908" w14:textId="1E097C7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-5.55</w:t>
            </w:r>
          </w:p>
        </w:tc>
        <w:tc>
          <w:tcPr>
            <w:tcW w:w="1418" w:type="dxa"/>
            <w:tcBorders>
              <w:top w:val="nil"/>
              <w:left w:val="nil"/>
              <w:bottom w:val="nil"/>
              <w:right w:val="nil"/>
            </w:tcBorders>
            <w:shd w:val="clear" w:color="auto" w:fill="auto"/>
            <w:noWrap/>
            <w:vAlign w:val="center"/>
            <w:hideMark/>
          </w:tcPr>
          <w:p w14:paraId="7C5E26FB" w14:textId="08FDCB9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21.93</w:t>
            </w:r>
          </w:p>
        </w:tc>
        <w:tc>
          <w:tcPr>
            <w:tcW w:w="1843" w:type="dxa"/>
            <w:tcBorders>
              <w:top w:val="nil"/>
              <w:left w:val="nil"/>
              <w:bottom w:val="nil"/>
              <w:right w:val="nil"/>
            </w:tcBorders>
            <w:shd w:val="clear" w:color="auto" w:fill="auto"/>
            <w:noWrap/>
            <w:vAlign w:val="center"/>
            <w:hideMark/>
          </w:tcPr>
          <w:p w14:paraId="430A6DC9" w14:textId="7940342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02228294" w14:textId="0223929A"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0F810FB" w14:textId="2407DD4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00737B68" w14:textId="77777777" w:rsidTr="000D0BD1">
        <w:trPr>
          <w:trHeight w:hRule="exact" w:val="397"/>
        </w:trPr>
        <w:tc>
          <w:tcPr>
            <w:tcW w:w="1701" w:type="dxa"/>
            <w:tcBorders>
              <w:top w:val="nil"/>
              <w:left w:val="nil"/>
              <w:bottom w:val="nil"/>
              <w:right w:val="nil"/>
            </w:tcBorders>
            <w:shd w:val="clear" w:color="auto" w:fill="auto"/>
            <w:noWrap/>
            <w:vAlign w:val="center"/>
            <w:hideMark/>
          </w:tcPr>
          <w:p w14:paraId="4A522288" w14:textId="0C7B8F59"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rs147830103</w:t>
            </w:r>
          </w:p>
        </w:tc>
        <w:tc>
          <w:tcPr>
            <w:tcW w:w="1985" w:type="dxa"/>
            <w:tcBorders>
              <w:top w:val="nil"/>
              <w:left w:val="nil"/>
              <w:bottom w:val="nil"/>
              <w:right w:val="nil"/>
            </w:tcBorders>
            <w:shd w:val="clear" w:color="auto" w:fill="auto"/>
            <w:noWrap/>
            <w:vAlign w:val="center"/>
            <w:hideMark/>
          </w:tcPr>
          <w:p w14:paraId="4C0386DC" w14:textId="4A4BEDE0"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E597C64" w14:textId="478FF9B4"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0A05D356" w14:textId="0B78E97B"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0.65</w:t>
            </w:r>
          </w:p>
        </w:tc>
        <w:tc>
          <w:tcPr>
            <w:tcW w:w="1559" w:type="dxa"/>
            <w:tcBorders>
              <w:top w:val="nil"/>
              <w:left w:val="nil"/>
              <w:bottom w:val="nil"/>
              <w:right w:val="nil"/>
            </w:tcBorders>
            <w:shd w:val="clear" w:color="auto" w:fill="auto"/>
            <w:noWrap/>
            <w:vAlign w:val="center"/>
            <w:hideMark/>
          </w:tcPr>
          <w:p w14:paraId="1C8936E7" w14:textId="7399321A"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-13.86</w:t>
            </w:r>
          </w:p>
        </w:tc>
        <w:tc>
          <w:tcPr>
            <w:tcW w:w="1418" w:type="dxa"/>
            <w:tcBorders>
              <w:top w:val="nil"/>
              <w:left w:val="nil"/>
              <w:bottom w:val="nil"/>
              <w:right w:val="nil"/>
            </w:tcBorders>
            <w:shd w:val="clear" w:color="auto" w:fill="auto"/>
            <w:noWrap/>
            <w:vAlign w:val="center"/>
            <w:hideMark/>
          </w:tcPr>
          <w:p w14:paraId="570BF948" w14:textId="38A1C3F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59.27</w:t>
            </w:r>
          </w:p>
        </w:tc>
        <w:tc>
          <w:tcPr>
            <w:tcW w:w="1843" w:type="dxa"/>
            <w:tcBorders>
              <w:top w:val="nil"/>
              <w:left w:val="nil"/>
              <w:bottom w:val="nil"/>
              <w:right w:val="nil"/>
            </w:tcBorders>
            <w:shd w:val="clear" w:color="auto" w:fill="auto"/>
            <w:noWrap/>
            <w:vAlign w:val="center"/>
            <w:hideMark/>
          </w:tcPr>
          <w:p w14:paraId="0167364C" w14:textId="0971E2E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6F9AADBD" w14:textId="7E6B3A5E"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1C082B57" w14:textId="2C57498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08501625" w14:textId="77777777" w:rsidTr="000D0BD1">
        <w:trPr>
          <w:trHeight w:hRule="exact" w:val="397"/>
        </w:trPr>
        <w:tc>
          <w:tcPr>
            <w:tcW w:w="1701" w:type="dxa"/>
            <w:tcBorders>
              <w:top w:val="nil"/>
              <w:left w:val="nil"/>
              <w:bottom w:val="nil"/>
              <w:right w:val="nil"/>
            </w:tcBorders>
            <w:shd w:val="clear" w:color="auto" w:fill="auto"/>
            <w:noWrap/>
            <w:vAlign w:val="center"/>
            <w:hideMark/>
          </w:tcPr>
          <w:p w14:paraId="6951ED3E" w14:textId="0922B0A4"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rs76289529</w:t>
            </w:r>
          </w:p>
        </w:tc>
        <w:tc>
          <w:tcPr>
            <w:tcW w:w="1985" w:type="dxa"/>
            <w:tcBorders>
              <w:top w:val="nil"/>
              <w:left w:val="nil"/>
              <w:bottom w:val="nil"/>
              <w:right w:val="nil"/>
            </w:tcBorders>
            <w:shd w:val="clear" w:color="auto" w:fill="auto"/>
            <w:noWrap/>
            <w:vAlign w:val="center"/>
            <w:hideMark/>
          </w:tcPr>
          <w:p w14:paraId="070740AA" w14:textId="1419B2C9"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C48703B" w14:textId="215A8CA7"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4206634C" w14:textId="30E6A72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-0.67</w:t>
            </w:r>
          </w:p>
        </w:tc>
        <w:tc>
          <w:tcPr>
            <w:tcW w:w="1559" w:type="dxa"/>
            <w:tcBorders>
              <w:top w:val="nil"/>
              <w:left w:val="nil"/>
              <w:bottom w:val="nil"/>
              <w:right w:val="nil"/>
            </w:tcBorders>
            <w:shd w:val="clear" w:color="auto" w:fill="auto"/>
            <w:noWrap/>
            <w:vAlign w:val="center"/>
            <w:hideMark/>
          </w:tcPr>
          <w:p w14:paraId="0A1C289D" w14:textId="1C2BB40E"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-22.01</w:t>
            </w:r>
          </w:p>
        </w:tc>
        <w:tc>
          <w:tcPr>
            <w:tcW w:w="1418" w:type="dxa"/>
            <w:tcBorders>
              <w:top w:val="nil"/>
              <w:left w:val="nil"/>
              <w:bottom w:val="nil"/>
              <w:right w:val="nil"/>
            </w:tcBorders>
            <w:shd w:val="clear" w:color="auto" w:fill="auto"/>
            <w:noWrap/>
            <w:vAlign w:val="center"/>
            <w:hideMark/>
          </w:tcPr>
          <w:p w14:paraId="754EC5E1" w14:textId="1BA667C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96.38</w:t>
            </w:r>
          </w:p>
        </w:tc>
        <w:tc>
          <w:tcPr>
            <w:tcW w:w="1843" w:type="dxa"/>
            <w:tcBorders>
              <w:top w:val="nil"/>
              <w:left w:val="nil"/>
              <w:bottom w:val="nil"/>
              <w:right w:val="nil"/>
            </w:tcBorders>
            <w:shd w:val="clear" w:color="auto" w:fill="auto"/>
            <w:noWrap/>
            <w:vAlign w:val="center"/>
            <w:hideMark/>
          </w:tcPr>
          <w:p w14:paraId="6A0A4771" w14:textId="7D51F36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76399E3" w14:textId="507DB29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33135928" w14:textId="2E4F3C0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0A378ECF" w14:textId="77777777" w:rsidTr="000D0BD1">
        <w:trPr>
          <w:trHeight w:hRule="exact" w:val="397"/>
        </w:trPr>
        <w:tc>
          <w:tcPr>
            <w:tcW w:w="1701" w:type="dxa"/>
            <w:tcBorders>
              <w:top w:val="nil"/>
              <w:left w:val="nil"/>
              <w:bottom w:val="nil"/>
              <w:right w:val="nil"/>
            </w:tcBorders>
            <w:shd w:val="clear" w:color="auto" w:fill="auto"/>
            <w:noWrap/>
            <w:vAlign w:val="center"/>
            <w:hideMark/>
          </w:tcPr>
          <w:p w14:paraId="036E4F47" w14:textId="1769F01B"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rs149551556</w:t>
            </w:r>
          </w:p>
        </w:tc>
        <w:tc>
          <w:tcPr>
            <w:tcW w:w="1985" w:type="dxa"/>
            <w:tcBorders>
              <w:top w:val="nil"/>
              <w:left w:val="nil"/>
              <w:bottom w:val="nil"/>
              <w:right w:val="nil"/>
            </w:tcBorders>
            <w:shd w:val="clear" w:color="auto" w:fill="auto"/>
            <w:noWrap/>
            <w:vAlign w:val="center"/>
            <w:hideMark/>
          </w:tcPr>
          <w:p w14:paraId="39E4155C" w14:textId="66A420F3"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7E143798" w14:textId="13D8E170"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68A5C5DE" w14:textId="59E7AEA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0.67</w:t>
            </w:r>
          </w:p>
        </w:tc>
        <w:tc>
          <w:tcPr>
            <w:tcW w:w="1559" w:type="dxa"/>
            <w:tcBorders>
              <w:top w:val="nil"/>
              <w:left w:val="nil"/>
              <w:bottom w:val="nil"/>
              <w:right w:val="nil"/>
            </w:tcBorders>
            <w:shd w:val="clear" w:color="auto" w:fill="auto"/>
            <w:noWrap/>
            <w:vAlign w:val="center"/>
            <w:hideMark/>
          </w:tcPr>
          <w:p w14:paraId="3AA4B508" w14:textId="539F4C36"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-11.66</w:t>
            </w:r>
          </w:p>
        </w:tc>
        <w:tc>
          <w:tcPr>
            <w:tcW w:w="1418" w:type="dxa"/>
            <w:tcBorders>
              <w:top w:val="nil"/>
              <w:left w:val="nil"/>
              <w:bottom w:val="nil"/>
              <w:right w:val="nil"/>
            </w:tcBorders>
            <w:shd w:val="clear" w:color="auto" w:fill="auto"/>
            <w:noWrap/>
            <w:vAlign w:val="center"/>
            <w:hideMark/>
          </w:tcPr>
          <w:p w14:paraId="5BC1D683" w14:textId="2825394E"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49.33</w:t>
            </w:r>
          </w:p>
        </w:tc>
        <w:tc>
          <w:tcPr>
            <w:tcW w:w="1843" w:type="dxa"/>
            <w:tcBorders>
              <w:top w:val="nil"/>
              <w:left w:val="nil"/>
              <w:bottom w:val="nil"/>
              <w:right w:val="nil"/>
            </w:tcBorders>
            <w:shd w:val="clear" w:color="auto" w:fill="auto"/>
            <w:noWrap/>
            <w:vAlign w:val="center"/>
            <w:hideMark/>
          </w:tcPr>
          <w:p w14:paraId="364F3AEE" w14:textId="40EDCDC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1894800D" w14:textId="2A2DDDE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1401200F" w14:textId="61C54099"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556A7C3F" w14:textId="77777777" w:rsidTr="000D0BD1">
        <w:trPr>
          <w:trHeight w:hRule="exact" w:val="397"/>
        </w:trPr>
        <w:tc>
          <w:tcPr>
            <w:tcW w:w="1701" w:type="dxa"/>
            <w:tcBorders>
              <w:top w:val="nil"/>
              <w:left w:val="nil"/>
              <w:bottom w:val="nil"/>
              <w:right w:val="nil"/>
            </w:tcBorders>
            <w:shd w:val="clear" w:color="auto" w:fill="auto"/>
            <w:noWrap/>
            <w:vAlign w:val="center"/>
            <w:hideMark/>
          </w:tcPr>
          <w:p w14:paraId="106E46E3" w14:textId="183D2EA8"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rs138398618</w:t>
            </w:r>
          </w:p>
        </w:tc>
        <w:tc>
          <w:tcPr>
            <w:tcW w:w="1985" w:type="dxa"/>
            <w:tcBorders>
              <w:top w:val="nil"/>
              <w:left w:val="nil"/>
              <w:bottom w:val="nil"/>
              <w:right w:val="nil"/>
            </w:tcBorders>
            <w:shd w:val="clear" w:color="auto" w:fill="auto"/>
            <w:noWrap/>
            <w:vAlign w:val="center"/>
            <w:hideMark/>
          </w:tcPr>
          <w:p w14:paraId="71A221F7" w14:textId="70B12BD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73FE0713" w14:textId="6809CCC1"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nil"/>
              <w:right w:val="nil"/>
            </w:tcBorders>
            <w:shd w:val="clear" w:color="auto" w:fill="auto"/>
            <w:noWrap/>
            <w:vAlign w:val="center"/>
            <w:hideMark/>
          </w:tcPr>
          <w:p w14:paraId="736257F7" w14:textId="371434FC"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0.50</w:t>
            </w:r>
          </w:p>
        </w:tc>
        <w:tc>
          <w:tcPr>
            <w:tcW w:w="1559" w:type="dxa"/>
            <w:tcBorders>
              <w:top w:val="nil"/>
              <w:left w:val="nil"/>
              <w:bottom w:val="nil"/>
              <w:right w:val="nil"/>
            </w:tcBorders>
            <w:shd w:val="clear" w:color="auto" w:fill="auto"/>
            <w:noWrap/>
            <w:vAlign w:val="center"/>
            <w:hideMark/>
          </w:tcPr>
          <w:p w14:paraId="1ED58682" w14:textId="065ADFE9"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-6.04</w:t>
            </w:r>
          </w:p>
        </w:tc>
        <w:tc>
          <w:tcPr>
            <w:tcW w:w="1418" w:type="dxa"/>
            <w:tcBorders>
              <w:top w:val="nil"/>
              <w:left w:val="nil"/>
              <w:bottom w:val="nil"/>
              <w:right w:val="nil"/>
            </w:tcBorders>
            <w:shd w:val="clear" w:color="auto" w:fill="auto"/>
            <w:noWrap/>
            <w:vAlign w:val="center"/>
            <w:hideMark/>
          </w:tcPr>
          <w:p w14:paraId="0095F2BC" w14:textId="1D41849C"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24.12</w:t>
            </w:r>
          </w:p>
        </w:tc>
        <w:tc>
          <w:tcPr>
            <w:tcW w:w="1843" w:type="dxa"/>
            <w:tcBorders>
              <w:top w:val="nil"/>
              <w:left w:val="nil"/>
              <w:bottom w:val="nil"/>
              <w:right w:val="nil"/>
            </w:tcBorders>
            <w:shd w:val="clear" w:color="auto" w:fill="auto"/>
            <w:noWrap/>
            <w:vAlign w:val="center"/>
            <w:hideMark/>
          </w:tcPr>
          <w:p w14:paraId="138DD10B" w14:textId="6E57A2C7"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4299560F" w14:textId="0745614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F87523C" w14:textId="28E7AA2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2B5CB80" w14:textId="77777777" w:rsidTr="000D0BD1">
        <w:trPr>
          <w:trHeight w:hRule="exact" w:val="397"/>
        </w:trPr>
        <w:tc>
          <w:tcPr>
            <w:tcW w:w="1701" w:type="dxa"/>
            <w:tcBorders>
              <w:top w:val="nil"/>
              <w:left w:val="nil"/>
              <w:bottom w:val="nil"/>
              <w:right w:val="nil"/>
            </w:tcBorders>
            <w:shd w:val="clear" w:color="auto" w:fill="auto"/>
            <w:noWrap/>
            <w:vAlign w:val="center"/>
            <w:hideMark/>
          </w:tcPr>
          <w:p w14:paraId="712D5C6B" w14:textId="1BFF4C74"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rs11264224</w:t>
            </w:r>
          </w:p>
        </w:tc>
        <w:tc>
          <w:tcPr>
            <w:tcW w:w="1985" w:type="dxa"/>
            <w:tcBorders>
              <w:top w:val="nil"/>
              <w:left w:val="nil"/>
              <w:bottom w:val="nil"/>
              <w:right w:val="nil"/>
            </w:tcBorders>
            <w:shd w:val="clear" w:color="auto" w:fill="auto"/>
            <w:noWrap/>
            <w:vAlign w:val="center"/>
            <w:hideMark/>
          </w:tcPr>
          <w:p w14:paraId="743F6569" w14:textId="32E2F6EA"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3F2266C1" w14:textId="4FE2C889"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A</w:t>
            </w:r>
          </w:p>
        </w:tc>
        <w:tc>
          <w:tcPr>
            <w:tcW w:w="1559" w:type="dxa"/>
            <w:tcBorders>
              <w:top w:val="nil"/>
              <w:left w:val="nil"/>
              <w:bottom w:val="nil"/>
              <w:right w:val="nil"/>
            </w:tcBorders>
            <w:shd w:val="clear" w:color="auto" w:fill="auto"/>
            <w:noWrap/>
            <w:vAlign w:val="center"/>
            <w:hideMark/>
          </w:tcPr>
          <w:p w14:paraId="25CCCC76" w14:textId="75891F13"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-0.46</w:t>
            </w:r>
          </w:p>
        </w:tc>
        <w:tc>
          <w:tcPr>
            <w:tcW w:w="1559" w:type="dxa"/>
            <w:tcBorders>
              <w:top w:val="nil"/>
              <w:left w:val="nil"/>
              <w:bottom w:val="nil"/>
              <w:right w:val="nil"/>
            </w:tcBorders>
            <w:shd w:val="clear" w:color="auto" w:fill="auto"/>
            <w:noWrap/>
            <w:vAlign w:val="center"/>
            <w:hideMark/>
          </w:tcPr>
          <w:p w14:paraId="3CCC963F" w14:textId="01B4151A"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-41.41</w:t>
            </w:r>
          </w:p>
        </w:tc>
        <w:tc>
          <w:tcPr>
            <w:tcW w:w="1418" w:type="dxa"/>
            <w:tcBorders>
              <w:top w:val="nil"/>
              <w:left w:val="nil"/>
              <w:bottom w:val="nil"/>
              <w:right w:val="nil"/>
            </w:tcBorders>
            <w:shd w:val="clear" w:color="auto" w:fill="auto"/>
            <w:noWrap/>
            <w:vAlign w:val="center"/>
            <w:hideMark/>
          </w:tcPr>
          <w:p w14:paraId="0FACBE64" w14:textId="287A03E8"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185.48</w:t>
            </w:r>
          </w:p>
        </w:tc>
        <w:tc>
          <w:tcPr>
            <w:tcW w:w="1843" w:type="dxa"/>
            <w:tcBorders>
              <w:top w:val="nil"/>
              <w:left w:val="nil"/>
              <w:bottom w:val="nil"/>
              <w:right w:val="nil"/>
            </w:tcBorders>
            <w:shd w:val="clear" w:color="auto" w:fill="auto"/>
            <w:noWrap/>
            <w:vAlign w:val="center"/>
            <w:hideMark/>
          </w:tcPr>
          <w:p w14:paraId="7110AB16" w14:textId="0F90C22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27806401" w14:textId="3766D3B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03893B55" w14:textId="763D92A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7320332B" w14:textId="77777777" w:rsidTr="000D0BD1">
        <w:trPr>
          <w:trHeight w:hRule="exact" w:val="397"/>
        </w:trPr>
        <w:tc>
          <w:tcPr>
            <w:tcW w:w="1701" w:type="dxa"/>
            <w:tcBorders>
              <w:top w:val="nil"/>
              <w:left w:val="nil"/>
              <w:bottom w:val="nil"/>
              <w:right w:val="nil"/>
            </w:tcBorders>
            <w:shd w:val="clear" w:color="auto" w:fill="auto"/>
            <w:noWrap/>
            <w:vAlign w:val="center"/>
            <w:hideMark/>
          </w:tcPr>
          <w:p w14:paraId="534CBA00" w14:textId="185CB97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rs3766924</w:t>
            </w:r>
          </w:p>
        </w:tc>
        <w:tc>
          <w:tcPr>
            <w:tcW w:w="1985" w:type="dxa"/>
            <w:tcBorders>
              <w:top w:val="nil"/>
              <w:left w:val="nil"/>
              <w:bottom w:val="nil"/>
              <w:right w:val="nil"/>
            </w:tcBorders>
            <w:shd w:val="clear" w:color="auto" w:fill="auto"/>
            <w:noWrap/>
            <w:vAlign w:val="center"/>
            <w:hideMark/>
          </w:tcPr>
          <w:p w14:paraId="41887D4C" w14:textId="26B517E9"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2C3BAAA5" w14:textId="47CC2994"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080E5436" w14:textId="6BF49340"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0.39</w:t>
            </w:r>
          </w:p>
        </w:tc>
        <w:tc>
          <w:tcPr>
            <w:tcW w:w="1559" w:type="dxa"/>
            <w:tcBorders>
              <w:top w:val="nil"/>
              <w:left w:val="nil"/>
              <w:bottom w:val="nil"/>
              <w:right w:val="nil"/>
            </w:tcBorders>
            <w:shd w:val="clear" w:color="auto" w:fill="auto"/>
            <w:noWrap/>
            <w:vAlign w:val="center"/>
            <w:hideMark/>
          </w:tcPr>
          <w:p w14:paraId="28C14E0C" w14:textId="5B6AC762"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-37.1</w:t>
            </w:r>
          </w:p>
        </w:tc>
        <w:tc>
          <w:tcPr>
            <w:tcW w:w="1418" w:type="dxa"/>
            <w:tcBorders>
              <w:top w:val="nil"/>
              <w:left w:val="nil"/>
              <w:bottom w:val="nil"/>
              <w:right w:val="nil"/>
            </w:tcBorders>
            <w:shd w:val="clear" w:color="auto" w:fill="auto"/>
            <w:noWrap/>
            <w:vAlign w:val="center"/>
            <w:hideMark/>
          </w:tcPr>
          <w:p w14:paraId="1ADBDF34" w14:textId="20C1F26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165.81</w:t>
            </w:r>
          </w:p>
        </w:tc>
        <w:tc>
          <w:tcPr>
            <w:tcW w:w="1843" w:type="dxa"/>
            <w:tcBorders>
              <w:top w:val="nil"/>
              <w:left w:val="nil"/>
              <w:bottom w:val="nil"/>
              <w:right w:val="nil"/>
            </w:tcBorders>
            <w:shd w:val="clear" w:color="auto" w:fill="auto"/>
            <w:noWrap/>
            <w:vAlign w:val="center"/>
            <w:hideMark/>
          </w:tcPr>
          <w:p w14:paraId="000E9441" w14:textId="4BAF83B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4A5A243B" w14:textId="531EF74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0.18</w:t>
            </w:r>
          </w:p>
        </w:tc>
        <w:tc>
          <w:tcPr>
            <w:tcW w:w="1701" w:type="dxa"/>
            <w:tcBorders>
              <w:top w:val="nil"/>
              <w:left w:val="nil"/>
              <w:bottom w:val="nil"/>
              <w:right w:val="nil"/>
            </w:tcBorders>
            <w:shd w:val="clear" w:color="auto" w:fill="auto"/>
            <w:noWrap/>
            <w:vAlign w:val="center"/>
            <w:hideMark/>
          </w:tcPr>
          <w:p w14:paraId="7F2CC220" w14:textId="7AF1BCE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409159EA" w14:textId="77777777" w:rsidTr="000D0BD1">
        <w:trPr>
          <w:trHeight w:hRule="exact" w:val="397"/>
        </w:trPr>
        <w:tc>
          <w:tcPr>
            <w:tcW w:w="1701" w:type="dxa"/>
            <w:tcBorders>
              <w:top w:val="nil"/>
              <w:left w:val="nil"/>
              <w:bottom w:val="nil"/>
              <w:right w:val="nil"/>
            </w:tcBorders>
            <w:shd w:val="clear" w:color="auto" w:fill="auto"/>
            <w:noWrap/>
            <w:vAlign w:val="center"/>
            <w:hideMark/>
          </w:tcPr>
          <w:p w14:paraId="3557E80A" w14:textId="05CF40E3"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rs188727323</w:t>
            </w:r>
          </w:p>
        </w:tc>
        <w:tc>
          <w:tcPr>
            <w:tcW w:w="1985" w:type="dxa"/>
            <w:tcBorders>
              <w:top w:val="nil"/>
              <w:left w:val="nil"/>
              <w:bottom w:val="nil"/>
              <w:right w:val="nil"/>
            </w:tcBorders>
            <w:shd w:val="clear" w:color="auto" w:fill="auto"/>
            <w:noWrap/>
            <w:vAlign w:val="center"/>
            <w:hideMark/>
          </w:tcPr>
          <w:p w14:paraId="086DA55F" w14:textId="4EEA2A2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nil"/>
              <w:right w:val="nil"/>
            </w:tcBorders>
            <w:shd w:val="clear" w:color="auto" w:fill="auto"/>
            <w:noWrap/>
            <w:vAlign w:val="center"/>
            <w:hideMark/>
          </w:tcPr>
          <w:p w14:paraId="716DE9E7" w14:textId="5B3F1F0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C</w:t>
            </w:r>
          </w:p>
        </w:tc>
        <w:tc>
          <w:tcPr>
            <w:tcW w:w="1559" w:type="dxa"/>
            <w:tcBorders>
              <w:top w:val="nil"/>
              <w:left w:val="nil"/>
              <w:bottom w:val="nil"/>
              <w:right w:val="nil"/>
            </w:tcBorders>
            <w:shd w:val="clear" w:color="auto" w:fill="auto"/>
            <w:noWrap/>
            <w:vAlign w:val="center"/>
            <w:hideMark/>
          </w:tcPr>
          <w:p w14:paraId="20B32C32" w14:textId="4B7CAEC9"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-0.41</w:t>
            </w:r>
          </w:p>
        </w:tc>
        <w:tc>
          <w:tcPr>
            <w:tcW w:w="1559" w:type="dxa"/>
            <w:tcBorders>
              <w:top w:val="nil"/>
              <w:left w:val="nil"/>
              <w:bottom w:val="nil"/>
              <w:right w:val="nil"/>
            </w:tcBorders>
            <w:shd w:val="clear" w:color="auto" w:fill="auto"/>
            <w:noWrap/>
            <w:vAlign w:val="center"/>
            <w:hideMark/>
          </w:tcPr>
          <w:p w14:paraId="14B33596" w14:textId="1F8C00D8"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-34.98</w:t>
            </w:r>
          </w:p>
        </w:tc>
        <w:tc>
          <w:tcPr>
            <w:tcW w:w="1418" w:type="dxa"/>
            <w:tcBorders>
              <w:top w:val="nil"/>
              <w:left w:val="nil"/>
              <w:bottom w:val="nil"/>
              <w:right w:val="nil"/>
            </w:tcBorders>
            <w:shd w:val="clear" w:color="auto" w:fill="auto"/>
            <w:noWrap/>
            <w:vAlign w:val="center"/>
            <w:hideMark/>
          </w:tcPr>
          <w:p w14:paraId="3A1B708B" w14:textId="094A214D"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155.46</w:t>
            </w:r>
          </w:p>
        </w:tc>
        <w:tc>
          <w:tcPr>
            <w:tcW w:w="1843" w:type="dxa"/>
            <w:tcBorders>
              <w:top w:val="nil"/>
              <w:left w:val="nil"/>
              <w:bottom w:val="nil"/>
              <w:right w:val="nil"/>
            </w:tcBorders>
            <w:shd w:val="clear" w:color="auto" w:fill="auto"/>
            <w:noWrap/>
            <w:vAlign w:val="center"/>
            <w:hideMark/>
          </w:tcPr>
          <w:p w14:paraId="49B94F0D" w14:textId="4355AFC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nil"/>
              <w:right w:val="nil"/>
            </w:tcBorders>
            <w:shd w:val="clear" w:color="auto" w:fill="auto"/>
            <w:noWrap/>
            <w:vAlign w:val="center"/>
            <w:hideMark/>
          </w:tcPr>
          <w:p w14:paraId="651A754B" w14:textId="5572DDC3"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nil"/>
              <w:right w:val="nil"/>
            </w:tcBorders>
            <w:shd w:val="clear" w:color="auto" w:fill="auto"/>
            <w:noWrap/>
            <w:vAlign w:val="center"/>
            <w:hideMark/>
          </w:tcPr>
          <w:p w14:paraId="4312BAB4" w14:textId="02E0AC71"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5B2595" w:rsidRPr="000D0BD1" w14:paraId="25C23071" w14:textId="77777777" w:rsidTr="000D0BD1">
        <w:trPr>
          <w:trHeight w:hRule="exact" w:val="397"/>
        </w:trPr>
        <w:tc>
          <w:tcPr>
            <w:tcW w:w="1701" w:type="dxa"/>
            <w:tcBorders>
              <w:top w:val="nil"/>
              <w:left w:val="nil"/>
              <w:right w:val="nil"/>
            </w:tcBorders>
            <w:shd w:val="clear" w:color="auto" w:fill="auto"/>
            <w:noWrap/>
            <w:vAlign w:val="center"/>
            <w:hideMark/>
          </w:tcPr>
          <w:p w14:paraId="23334DA3" w14:textId="3EAE0ECE"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rs78042851</w:t>
            </w:r>
          </w:p>
        </w:tc>
        <w:tc>
          <w:tcPr>
            <w:tcW w:w="1985" w:type="dxa"/>
            <w:tcBorders>
              <w:top w:val="nil"/>
              <w:left w:val="nil"/>
              <w:right w:val="nil"/>
            </w:tcBorders>
            <w:shd w:val="clear" w:color="auto" w:fill="auto"/>
            <w:noWrap/>
            <w:vAlign w:val="center"/>
            <w:hideMark/>
          </w:tcPr>
          <w:p w14:paraId="023621B6" w14:textId="0C171622"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right w:val="nil"/>
            </w:tcBorders>
            <w:shd w:val="clear" w:color="auto" w:fill="auto"/>
            <w:noWrap/>
            <w:vAlign w:val="center"/>
            <w:hideMark/>
          </w:tcPr>
          <w:p w14:paraId="71B7FF22" w14:textId="0A4F707E"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A</w:t>
            </w:r>
          </w:p>
        </w:tc>
        <w:tc>
          <w:tcPr>
            <w:tcW w:w="1559" w:type="dxa"/>
            <w:tcBorders>
              <w:top w:val="nil"/>
              <w:left w:val="nil"/>
              <w:right w:val="nil"/>
            </w:tcBorders>
            <w:shd w:val="clear" w:color="auto" w:fill="auto"/>
            <w:noWrap/>
            <w:vAlign w:val="center"/>
            <w:hideMark/>
          </w:tcPr>
          <w:p w14:paraId="3AC3A827" w14:textId="7BEC3700"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-0.45</w:t>
            </w:r>
          </w:p>
        </w:tc>
        <w:tc>
          <w:tcPr>
            <w:tcW w:w="1559" w:type="dxa"/>
            <w:tcBorders>
              <w:top w:val="nil"/>
              <w:left w:val="nil"/>
              <w:right w:val="nil"/>
            </w:tcBorders>
            <w:shd w:val="clear" w:color="auto" w:fill="auto"/>
            <w:noWrap/>
            <w:vAlign w:val="center"/>
            <w:hideMark/>
          </w:tcPr>
          <w:p w14:paraId="7F16A0D4" w14:textId="50690FE4"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-9.09</w:t>
            </w:r>
          </w:p>
        </w:tc>
        <w:tc>
          <w:tcPr>
            <w:tcW w:w="1418" w:type="dxa"/>
            <w:tcBorders>
              <w:top w:val="nil"/>
              <w:left w:val="nil"/>
              <w:right w:val="nil"/>
            </w:tcBorders>
            <w:shd w:val="clear" w:color="auto" w:fill="auto"/>
            <w:noWrap/>
            <w:vAlign w:val="center"/>
            <w:hideMark/>
          </w:tcPr>
          <w:p w14:paraId="2224DBDB" w14:textId="3006E566"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37.69</w:t>
            </w:r>
          </w:p>
        </w:tc>
        <w:tc>
          <w:tcPr>
            <w:tcW w:w="1843" w:type="dxa"/>
            <w:tcBorders>
              <w:top w:val="nil"/>
              <w:left w:val="nil"/>
              <w:right w:val="nil"/>
            </w:tcBorders>
            <w:shd w:val="clear" w:color="auto" w:fill="auto"/>
            <w:noWrap/>
            <w:vAlign w:val="center"/>
            <w:hideMark/>
          </w:tcPr>
          <w:p w14:paraId="7B131754" w14:textId="519E83D8"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right w:val="nil"/>
            </w:tcBorders>
            <w:shd w:val="clear" w:color="auto" w:fill="auto"/>
            <w:noWrap/>
            <w:vAlign w:val="center"/>
            <w:hideMark/>
          </w:tcPr>
          <w:p w14:paraId="2672E941" w14:textId="0B5A953C"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right w:val="nil"/>
            </w:tcBorders>
            <w:shd w:val="clear" w:color="auto" w:fill="auto"/>
            <w:noWrap/>
            <w:vAlign w:val="center"/>
            <w:hideMark/>
          </w:tcPr>
          <w:p w14:paraId="216B2048" w14:textId="1D8A0E2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1C685A" w:rsidRPr="000D0BD1" w14:paraId="01B702A4" w14:textId="77777777" w:rsidTr="001C685A">
        <w:trPr>
          <w:trHeight w:hRule="exact" w:val="397"/>
        </w:trPr>
        <w:tc>
          <w:tcPr>
            <w:tcW w:w="1701" w:type="dxa"/>
            <w:tcBorders>
              <w:top w:val="nil"/>
              <w:left w:val="nil"/>
              <w:right w:val="nil"/>
            </w:tcBorders>
            <w:shd w:val="clear" w:color="auto" w:fill="auto"/>
            <w:noWrap/>
            <w:vAlign w:val="center"/>
            <w:hideMark/>
          </w:tcPr>
          <w:p w14:paraId="25C92111" w14:textId="2199860A" w:rsidR="005B2595" w:rsidRPr="000D0BD1" w:rsidRDefault="005B2595" w:rsidP="000D0BD1">
            <w:pPr>
              <w:jc w:val="center"/>
              <w:rPr>
                <w:rFonts w:eastAsia="Yu Gothic" w:cs="Times New Roman"/>
                <w:color w:val="000000"/>
                <w:szCs w:val="24"/>
              </w:rPr>
            </w:pPr>
            <w:r w:rsidRPr="000D0BD1">
              <w:rPr>
                <w:rFonts w:eastAsia="Yu Gothic" w:cs="Times New Roman"/>
                <w:color w:val="000000"/>
                <w:szCs w:val="24"/>
              </w:rPr>
              <w:t>rs9427116</w:t>
            </w:r>
          </w:p>
        </w:tc>
        <w:tc>
          <w:tcPr>
            <w:tcW w:w="1985" w:type="dxa"/>
            <w:tcBorders>
              <w:top w:val="nil"/>
              <w:left w:val="nil"/>
              <w:right w:val="nil"/>
            </w:tcBorders>
            <w:shd w:val="clear" w:color="auto" w:fill="auto"/>
            <w:noWrap/>
            <w:vAlign w:val="center"/>
            <w:hideMark/>
          </w:tcPr>
          <w:p w14:paraId="30063DA0" w14:textId="0643914A"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right w:val="nil"/>
            </w:tcBorders>
            <w:shd w:val="clear" w:color="auto" w:fill="auto"/>
            <w:noWrap/>
            <w:vAlign w:val="center"/>
            <w:hideMark/>
          </w:tcPr>
          <w:p w14:paraId="7A7702A8" w14:textId="74D62D3F"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T</w:t>
            </w:r>
          </w:p>
        </w:tc>
        <w:tc>
          <w:tcPr>
            <w:tcW w:w="1559" w:type="dxa"/>
            <w:tcBorders>
              <w:top w:val="nil"/>
              <w:left w:val="nil"/>
              <w:right w:val="nil"/>
            </w:tcBorders>
            <w:shd w:val="clear" w:color="auto" w:fill="auto"/>
            <w:noWrap/>
            <w:vAlign w:val="center"/>
            <w:hideMark/>
          </w:tcPr>
          <w:p w14:paraId="42ADD793" w14:textId="139B5133" w:rsidR="005B2595" w:rsidRPr="000D0BD1" w:rsidRDefault="005B2595" w:rsidP="003C67D0">
            <w:pPr>
              <w:jc w:val="center"/>
              <w:rPr>
                <w:rFonts w:eastAsia="Yu Gothic" w:cs="Times New Roman"/>
                <w:color w:val="000000"/>
                <w:szCs w:val="24"/>
              </w:rPr>
            </w:pPr>
            <w:r w:rsidRPr="000D0BD1">
              <w:rPr>
                <w:rFonts w:eastAsia="Yu Gothic" w:cs="Times New Roman"/>
                <w:color w:val="000000"/>
                <w:szCs w:val="24"/>
              </w:rPr>
              <w:t>-0.24</w:t>
            </w:r>
          </w:p>
        </w:tc>
        <w:tc>
          <w:tcPr>
            <w:tcW w:w="1559" w:type="dxa"/>
            <w:tcBorders>
              <w:top w:val="nil"/>
              <w:left w:val="nil"/>
              <w:right w:val="nil"/>
            </w:tcBorders>
            <w:shd w:val="clear" w:color="auto" w:fill="auto"/>
            <w:noWrap/>
            <w:vAlign w:val="center"/>
            <w:hideMark/>
          </w:tcPr>
          <w:p w14:paraId="2233F5A6" w14:textId="58B074C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-22.22</w:t>
            </w:r>
          </w:p>
        </w:tc>
        <w:tc>
          <w:tcPr>
            <w:tcW w:w="1418" w:type="dxa"/>
            <w:tcBorders>
              <w:top w:val="nil"/>
              <w:left w:val="nil"/>
              <w:right w:val="nil"/>
            </w:tcBorders>
            <w:shd w:val="clear" w:color="auto" w:fill="auto"/>
            <w:noWrap/>
            <w:vAlign w:val="center"/>
            <w:hideMark/>
          </w:tcPr>
          <w:p w14:paraId="3E63B394" w14:textId="4886CE85"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97.15</w:t>
            </w:r>
          </w:p>
        </w:tc>
        <w:tc>
          <w:tcPr>
            <w:tcW w:w="1843" w:type="dxa"/>
            <w:tcBorders>
              <w:top w:val="nil"/>
              <w:left w:val="nil"/>
              <w:right w:val="nil"/>
            </w:tcBorders>
            <w:shd w:val="clear" w:color="auto" w:fill="auto"/>
            <w:noWrap/>
            <w:vAlign w:val="center"/>
            <w:hideMark/>
          </w:tcPr>
          <w:p w14:paraId="11ECF92E" w14:textId="7219F5EA"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right w:val="nil"/>
            </w:tcBorders>
            <w:shd w:val="clear" w:color="auto" w:fill="auto"/>
            <w:noWrap/>
            <w:vAlign w:val="center"/>
            <w:hideMark/>
          </w:tcPr>
          <w:p w14:paraId="4B2006F8" w14:textId="27006E10"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right w:val="nil"/>
            </w:tcBorders>
            <w:shd w:val="clear" w:color="auto" w:fill="auto"/>
            <w:noWrap/>
            <w:vAlign w:val="center"/>
            <w:hideMark/>
          </w:tcPr>
          <w:p w14:paraId="26B826D8" w14:textId="3120ECAF" w:rsidR="005B2595" w:rsidRPr="000D0BD1" w:rsidRDefault="005B2595" w:rsidP="001C685A">
            <w:pPr>
              <w:jc w:val="center"/>
              <w:rPr>
                <w:rFonts w:eastAsia="Yu Gothic" w:cs="Times New Roman"/>
                <w:color w:val="000000"/>
                <w:szCs w:val="24"/>
              </w:rPr>
            </w:pPr>
            <w:r w:rsidRPr="000D0BD1">
              <w:rPr>
                <w:rFonts w:eastAsia="Yu Gothic" w:cs="Times New Roman"/>
                <w:color w:val="000000"/>
                <w:szCs w:val="24"/>
              </w:rPr>
              <w:t>0.99</w:t>
            </w:r>
          </w:p>
        </w:tc>
      </w:tr>
      <w:tr w:rsidR="00D056E2" w:rsidRPr="000D0BD1" w14:paraId="20D4F68F" w14:textId="77777777" w:rsidTr="000D0BD1">
        <w:trPr>
          <w:trHeight w:hRule="exact" w:val="397"/>
        </w:trPr>
        <w:tc>
          <w:tcPr>
            <w:tcW w:w="1701" w:type="dxa"/>
            <w:tcBorders>
              <w:top w:val="nil"/>
              <w:left w:val="nil"/>
              <w:bottom w:val="single" w:sz="4" w:space="0" w:color="auto"/>
              <w:right w:val="nil"/>
            </w:tcBorders>
            <w:shd w:val="clear" w:color="auto" w:fill="auto"/>
            <w:noWrap/>
            <w:vAlign w:val="center"/>
          </w:tcPr>
          <w:p w14:paraId="0D183ED3" w14:textId="3E0483B0" w:rsidR="005B2595" w:rsidRPr="003C67D0" w:rsidRDefault="005B2595" w:rsidP="003C67D0">
            <w:pPr>
              <w:jc w:val="center"/>
              <w:rPr>
                <w:rFonts w:eastAsia="Yu Gothic" w:cs="Times New Roman"/>
                <w:color w:val="000000"/>
                <w:szCs w:val="24"/>
              </w:rPr>
            </w:pPr>
            <w:r w:rsidRPr="000D0BD1">
              <w:rPr>
                <w:rFonts w:eastAsia="Yu Gothic" w:cs="Times New Roman"/>
                <w:color w:val="000000"/>
                <w:szCs w:val="24"/>
              </w:rPr>
              <w:t>rs6426880</w:t>
            </w:r>
          </w:p>
        </w:tc>
        <w:tc>
          <w:tcPr>
            <w:tcW w:w="1985" w:type="dxa"/>
            <w:tcBorders>
              <w:top w:val="nil"/>
              <w:left w:val="nil"/>
              <w:bottom w:val="single" w:sz="4" w:space="0" w:color="auto"/>
              <w:right w:val="nil"/>
            </w:tcBorders>
            <w:shd w:val="clear" w:color="auto" w:fill="auto"/>
            <w:noWrap/>
            <w:vAlign w:val="center"/>
          </w:tcPr>
          <w:p w14:paraId="762EE6E3" w14:textId="692974A9" w:rsidR="005B2595" w:rsidRPr="003C67D0" w:rsidRDefault="005B2595" w:rsidP="003C67D0">
            <w:pPr>
              <w:jc w:val="center"/>
              <w:rPr>
                <w:rFonts w:eastAsia="Yu Gothic" w:cs="Times New Roman"/>
                <w:color w:val="000000"/>
                <w:szCs w:val="24"/>
              </w:rPr>
            </w:pPr>
            <w:r w:rsidRPr="000D0BD1">
              <w:rPr>
                <w:rFonts w:eastAsia="Yu Gothic" w:cs="Times New Roman"/>
                <w:color w:val="000000"/>
                <w:szCs w:val="24"/>
              </w:rPr>
              <w:t>non_coding</w:t>
            </w:r>
          </w:p>
        </w:tc>
        <w:tc>
          <w:tcPr>
            <w:tcW w:w="1134" w:type="dxa"/>
            <w:tcBorders>
              <w:top w:val="nil"/>
              <w:left w:val="nil"/>
              <w:bottom w:val="single" w:sz="4" w:space="0" w:color="auto"/>
              <w:right w:val="nil"/>
            </w:tcBorders>
            <w:shd w:val="clear" w:color="auto" w:fill="auto"/>
            <w:noWrap/>
            <w:vAlign w:val="center"/>
          </w:tcPr>
          <w:p w14:paraId="005C8230" w14:textId="5792B568" w:rsidR="005B2595" w:rsidRPr="003C67D0" w:rsidRDefault="005B2595" w:rsidP="003C67D0">
            <w:pPr>
              <w:jc w:val="center"/>
              <w:rPr>
                <w:rFonts w:eastAsia="Yu Gothic" w:cs="Times New Roman"/>
                <w:color w:val="000000"/>
                <w:szCs w:val="24"/>
              </w:rPr>
            </w:pPr>
            <w:r w:rsidRPr="000D0BD1">
              <w:rPr>
                <w:rFonts w:eastAsia="Yu Gothic" w:cs="Times New Roman"/>
                <w:color w:val="000000"/>
                <w:szCs w:val="24"/>
              </w:rPr>
              <w:t>G</w:t>
            </w:r>
          </w:p>
        </w:tc>
        <w:tc>
          <w:tcPr>
            <w:tcW w:w="1559" w:type="dxa"/>
            <w:tcBorders>
              <w:top w:val="nil"/>
              <w:left w:val="nil"/>
              <w:bottom w:val="single" w:sz="4" w:space="0" w:color="auto"/>
              <w:right w:val="nil"/>
            </w:tcBorders>
            <w:shd w:val="clear" w:color="auto" w:fill="auto"/>
            <w:noWrap/>
            <w:vAlign w:val="center"/>
          </w:tcPr>
          <w:p w14:paraId="77FB1851" w14:textId="76AD989C" w:rsidR="005B2595" w:rsidRPr="003C67D0" w:rsidRDefault="005B2595" w:rsidP="001C685A">
            <w:pPr>
              <w:jc w:val="center"/>
              <w:rPr>
                <w:rFonts w:eastAsia="Yu Gothic" w:cs="Times New Roman"/>
                <w:color w:val="000000"/>
                <w:szCs w:val="24"/>
              </w:rPr>
            </w:pPr>
            <w:r w:rsidRPr="000D0BD1">
              <w:rPr>
                <w:rFonts w:eastAsia="Yu Gothic" w:cs="Times New Roman"/>
                <w:color w:val="000000"/>
                <w:szCs w:val="24"/>
              </w:rPr>
              <w:t>0.26</w:t>
            </w:r>
          </w:p>
        </w:tc>
        <w:tc>
          <w:tcPr>
            <w:tcW w:w="1559" w:type="dxa"/>
            <w:tcBorders>
              <w:top w:val="nil"/>
              <w:left w:val="nil"/>
              <w:bottom w:val="single" w:sz="4" w:space="0" w:color="auto"/>
              <w:right w:val="nil"/>
            </w:tcBorders>
            <w:shd w:val="clear" w:color="auto" w:fill="auto"/>
            <w:noWrap/>
            <w:vAlign w:val="center"/>
          </w:tcPr>
          <w:p w14:paraId="76E0D40F" w14:textId="047E1BEB" w:rsidR="005B2595" w:rsidRPr="003C67D0" w:rsidRDefault="005B2595" w:rsidP="001C685A">
            <w:pPr>
              <w:jc w:val="center"/>
              <w:rPr>
                <w:rFonts w:eastAsia="Yu Gothic" w:cs="Times New Roman"/>
                <w:color w:val="000000"/>
                <w:szCs w:val="24"/>
              </w:rPr>
            </w:pPr>
            <w:r w:rsidRPr="000D0BD1">
              <w:rPr>
                <w:rFonts w:eastAsia="Yu Gothic" w:cs="Times New Roman"/>
                <w:color w:val="000000"/>
                <w:szCs w:val="24"/>
              </w:rPr>
              <w:t>-9.36</w:t>
            </w:r>
          </w:p>
        </w:tc>
        <w:tc>
          <w:tcPr>
            <w:tcW w:w="1418" w:type="dxa"/>
            <w:tcBorders>
              <w:top w:val="nil"/>
              <w:left w:val="nil"/>
              <w:bottom w:val="single" w:sz="4" w:space="0" w:color="auto"/>
              <w:right w:val="nil"/>
            </w:tcBorders>
            <w:shd w:val="clear" w:color="auto" w:fill="auto"/>
            <w:noWrap/>
            <w:vAlign w:val="center"/>
          </w:tcPr>
          <w:p w14:paraId="2A343C9C" w14:textId="7CC47FC5" w:rsidR="005B2595" w:rsidRPr="003C67D0" w:rsidRDefault="005B2595" w:rsidP="001C685A">
            <w:pPr>
              <w:jc w:val="center"/>
              <w:rPr>
                <w:rFonts w:eastAsia="Yu Gothic" w:cs="Times New Roman"/>
                <w:color w:val="000000"/>
                <w:szCs w:val="24"/>
              </w:rPr>
            </w:pPr>
            <w:r w:rsidRPr="000D0BD1">
              <w:rPr>
                <w:rFonts w:eastAsia="Yu Gothic" w:cs="Times New Roman"/>
                <w:color w:val="000000"/>
                <w:szCs w:val="24"/>
              </w:rPr>
              <w:t>38.96</w:t>
            </w:r>
          </w:p>
        </w:tc>
        <w:tc>
          <w:tcPr>
            <w:tcW w:w="1843" w:type="dxa"/>
            <w:tcBorders>
              <w:top w:val="nil"/>
              <w:left w:val="nil"/>
              <w:bottom w:val="single" w:sz="4" w:space="0" w:color="auto"/>
              <w:right w:val="nil"/>
            </w:tcBorders>
            <w:shd w:val="clear" w:color="auto" w:fill="auto"/>
            <w:noWrap/>
            <w:vAlign w:val="center"/>
          </w:tcPr>
          <w:p w14:paraId="3105FB93" w14:textId="5724C167" w:rsidR="005B2595" w:rsidRPr="003C67D0"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275" w:type="dxa"/>
            <w:tcBorders>
              <w:top w:val="nil"/>
              <w:left w:val="nil"/>
              <w:bottom w:val="single" w:sz="4" w:space="0" w:color="auto"/>
              <w:right w:val="nil"/>
            </w:tcBorders>
            <w:shd w:val="clear" w:color="auto" w:fill="auto"/>
            <w:noWrap/>
            <w:vAlign w:val="center"/>
          </w:tcPr>
          <w:p w14:paraId="4D90F425" w14:textId="381C5F5D" w:rsidR="005B2595" w:rsidRPr="003C67D0" w:rsidRDefault="005B2595" w:rsidP="001C685A">
            <w:pPr>
              <w:jc w:val="center"/>
              <w:rPr>
                <w:rFonts w:eastAsia="Yu Gothic" w:cs="Times New Roman"/>
                <w:color w:val="000000"/>
                <w:szCs w:val="24"/>
              </w:rPr>
            </w:pPr>
            <w:r w:rsidRPr="000D0BD1">
              <w:rPr>
                <w:rFonts w:eastAsia="Yu Gothic" w:cs="Times New Roman"/>
                <w:color w:val="000000"/>
                <w:szCs w:val="24"/>
              </w:rPr>
              <w:t>0.99</w:t>
            </w:r>
          </w:p>
        </w:tc>
        <w:tc>
          <w:tcPr>
            <w:tcW w:w="1701" w:type="dxa"/>
            <w:tcBorders>
              <w:top w:val="nil"/>
              <w:left w:val="nil"/>
              <w:bottom w:val="single" w:sz="4" w:space="0" w:color="auto"/>
              <w:right w:val="nil"/>
            </w:tcBorders>
            <w:shd w:val="clear" w:color="auto" w:fill="auto"/>
            <w:noWrap/>
            <w:vAlign w:val="center"/>
          </w:tcPr>
          <w:p w14:paraId="4CF2FCB1" w14:textId="33834F8C" w:rsidR="005B2595" w:rsidRPr="003C67D0" w:rsidRDefault="005B2595" w:rsidP="000D0BD1">
            <w:pPr>
              <w:jc w:val="center"/>
              <w:rPr>
                <w:rFonts w:eastAsia="Yu Gothic" w:cs="Times New Roman"/>
                <w:color w:val="000000"/>
                <w:szCs w:val="24"/>
              </w:rPr>
            </w:pPr>
            <w:r w:rsidRPr="000D0BD1">
              <w:rPr>
                <w:rFonts w:eastAsia="Yu Gothic" w:cs="Times New Roman"/>
                <w:color w:val="000000"/>
                <w:szCs w:val="24"/>
              </w:rPr>
              <w:t>0.99</w:t>
            </w:r>
          </w:p>
        </w:tc>
      </w:tr>
      <w:tr w:rsidR="00A36039" w:rsidRPr="000D0BD1" w14:paraId="4BFBE5E7" w14:textId="77777777" w:rsidTr="000D0BD1">
        <w:trPr>
          <w:trHeight w:hRule="exact" w:val="397"/>
        </w:trPr>
        <w:tc>
          <w:tcPr>
            <w:tcW w:w="12474" w:type="dxa"/>
            <w:gridSpan w:val="8"/>
            <w:tcBorders>
              <w:top w:val="single" w:sz="4" w:space="0" w:color="auto"/>
              <w:left w:val="nil"/>
              <w:right w:val="nil"/>
            </w:tcBorders>
            <w:shd w:val="clear" w:color="auto" w:fill="auto"/>
            <w:noWrap/>
            <w:vAlign w:val="center"/>
          </w:tcPr>
          <w:p w14:paraId="26FDD1CA" w14:textId="553FE987" w:rsidR="00A36039" w:rsidRPr="000D0BD1" w:rsidRDefault="00B0068A" w:rsidP="000D0BD1">
            <w:pPr>
              <w:rPr>
                <w:rFonts w:eastAsia="Yu Gothic" w:cs="Times New Roman"/>
                <w:color w:val="000000"/>
                <w:szCs w:val="24"/>
              </w:rPr>
            </w:pPr>
            <w:r>
              <w:rPr>
                <w:rFonts w:eastAsia="Yu Gothic" w:cs="Times New Roman"/>
                <w:color w:val="000000"/>
                <w:szCs w:val="24"/>
              </w:rPr>
              <w:t>R</w:t>
            </w:r>
            <w:r w:rsidR="00EE3A52">
              <w:rPr>
                <w:rFonts w:eastAsia="Yu Gothic" w:cs="Times New Roman"/>
                <w:color w:val="000000"/>
                <w:szCs w:val="24"/>
              </w:rPr>
              <w:t>esult</w:t>
            </w:r>
            <w:r>
              <w:rPr>
                <w:rFonts w:eastAsia="Yu Gothic" w:cs="Times New Roman"/>
                <w:color w:val="000000"/>
                <w:szCs w:val="24"/>
              </w:rPr>
              <w:t>s</w:t>
            </w:r>
            <w:r w:rsidR="00EE3A52">
              <w:rPr>
                <w:rFonts w:eastAsia="Yu Gothic" w:cs="Times New Roman"/>
                <w:color w:val="000000"/>
                <w:szCs w:val="24"/>
              </w:rPr>
              <w:t xml:space="preserve"> of </w:t>
            </w:r>
            <w:r w:rsidR="00EE3A52" w:rsidRPr="000D0BD1">
              <w:rPr>
                <w:rFonts w:eastAsia="Yu Gothic" w:cs="Times New Roman"/>
                <w:color w:val="000000"/>
                <w:szCs w:val="24"/>
              </w:rPr>
              <w:t>rs145262901</w:t>
            </w:r>
            <w:r>
              <w:rPr>
                <w:rFonts w:eastAsia="Yu Gothic" w:cs="Times New Roman"/>
                <w:color w:val="000000"/>
                <w:szCs w:val="24"/>
              </w:rPr>
              <w:t xml:space="preserve"> were not identified in the publicly available summary styatistics.</w:t>
            </w:r>
          </w:p>
        </w:tc>
        <w:tc>
          <w:tcPr>
            <w:tcW w:w="1701" w:type="dxa"/>
            <w:tcBorders>
              <w:top w:val="single" w:sz="4" w:space="0" w:color="auto"/>
              <w:left w:val="nil"/>
              <w:right w:val="nil"/>
            </w:tcBorders>
            <w:shd w:val="clear" w:color="auto" w:fill="auto"/>
            <w:noWrap/>
            <w:vAlign w:val="center"/>
          </w:tcPr>
          <w:p w14:paraId="7265F1D8" w14:textId="77777777" w:rsidR="00A36039" w:rsidRPr="000D0BD1" w:rsidRDefault="00A36039" w:rsidP="005B2595">
            <w:pPr>
              <w:jc w:val="center"/>
              <w:rPr>
                <w:rFonts w:eastAsia="Yu Gothic" w:cs="Times New Roman"/>
                <w:color w:val="000000"/>
                <w:szCs w:val="24"/>
              </w:rPr>
            </w:pPr>
          </w:p>
        </w:tc>
      </w:tr>
    </w:tbl>
    <w:p w14:paraId="1128AC76" w14:textId="4F4922E1" w:rsidR="004134C5" w:rsidRDefault="004134C5" w:rsidP="000D0BD1">
      <w:pPr>
        <w:pStyle w:val="CommentText"/>
        <w:rPr>
          <w:b/>
        </w:rPr>
      </w:pPr>
    </w:p>
    <w:p w14:paraId="43CBEF2D" w14:textId="77777777" w:rsidR="00867C1C" w:rsidRPr="005D4CB8" w:rsidRDefault="00867C1C" w:rsidP="000D0BD1">
      <w:pPr>
        <w:pStyle w:val="CommentText"/>
        <w:rPr>
          <w:b/>
        </w:rPr>
      </w:pPr>
    </w:p>
    <w:p w14:paraId="4C681A3F" w14:textId="77777777" w:rsidR="006C5F76" w:rsidRDefault="006C5F76" w:rsidP="009F0454">
      <w:pPr>
        <w:rPr>
          <w:b/>
        </w:rPr>
        <w:sectPr w:rsidR="006C5F76" w:rsidSect="00725025">
          <w:pgSz w:w="15840" w:h="12240" w:orient="landscape"/>
          <w:pgMar w:top="720" w:right="720" w:bottom="720" w:left="720" w:header="720" w:footer="720" w:gutter="0"/>
          <w:cols w:space="720"/>
          <w:docGrid w:linePitch="360"/>
        </w:sectPr>
      </w:pPr>
    </w:p>
    <w:p w14:paraId="73AC2564" w14:textId="13A2AED6" w:rsidR="00CE0E44" w:rsidRPr="00917A3F" w:rsidRDefault="00CE0E44" w:rsidP="004B4F93">
      <w:pPr>
        <w:pStyle w:val="BodyText"/>
        <w:spacing w:line="240" w:lineRule="auto"/>
        <w:rPr>
          <w:b/>
          <w:bCs/>
        </w:rPr>
      </w:pPr>
      <w:r>
        <w:rPr>
          <w:b/>
          <w:bCs/>
        </w:rPr>
        <w:t>Supplementary Figure 1</w:t>
      </w:r>
      <w:r w:rsidRPr="009E5748">
        <w:rPr>
          <w:rFonts w:eastAsia="MS Mincho"/>
          <w:b/>
          <w:bCs/>
        </w:rPr>
        <w:t>.</w:t>
      </w:r>
      <w:r>
        <w:rPr>
          <w:rFonts w:eastAsia="MS Mincho"/>
          <w:b/>
          <w:bCs/>
        </w:rPr>
        <w:t xml:space="preserve"> </w:t>
      </w:r>
      <w:r w:rsidRPr="009E5748">
        <w:rPr>
          <w:b/>
          <w:bCs/>
        </w:rPr>
        <w:t>Mendelian randomization estimates for the effect of soluble in</w:t>
      </w:r>
      <w:r w:rsidRPr="00917A3F">
        <w:rPr>
          <w:b/>
          <w:bCs/>
        </w:rPr>
        <w:t>terleukin-6 receptors on overall asthma outcome</w:t>
      </w:r>
      <w:r>
        <w:rPr>
          <w:b/>
          <w:bCs/>
        </w:rPr>
        <w:t xml:space="preserve"> using different</w:t>
      </w:r>
      <w:r w:rsidRPr="000D033F">
        <w:rPr>
          <w:b/>
          <w:bCs/>
        </w:rPr>
        <w:t xml:space="preserve"> thresholds</w:t>
      </w:r>
    </w:p>
    <w:p w14:paraId="2E236451" w14:textId="02A53AF0" w:rsidR="00CE0E44" w:rsidRPr="00BB6343" w:rsidRDefault="00CE0E44" w:rsidP="004B4F93">
      <w:pPr>
        <w:pStyle w:val="BodyText"/>
        <w:spacing w:line="240" w:lineRule="auto"/>
      </w:pPr>
      <w:r>
        <w:t xml:space="preserve">This sensitivity analysis used </w:t>
      </w:r>
      <w:r w:rsidRPr="008A6C80">
        <w:t>1</w:t>
      </w:r>
      <w:r>
        <w:t>6 v</w:t>
      </w:r>
      <w:r w:rsidRPr="008A6C80">
        <w:t xml:space="preserve">ariants selected </w:t>
      </w:r>
      <w:r>
        <w:t xml:space="preserve">with the use of </w:t>
      </w:r>
      <w:r w:rsidRPr="008A6C80">
        <w:t>more-stringent P</w:t>
      </w:r>
      <w:r w:rsidRPr="00B40EAC">
        <w:rPr>
          <w:vertAlign w:val="subscript"/>
        </w:rPr>
        <w:t>GWAS</w:t>
      </w:r>
      <w:r w:rsidRPr="008A6C80">
        <w:t xml:space="preserve"> (P</w:t>
      </w:r>
      <w:r w:rsidRPr="00B40EAC">
        <w:rPr>
          <w:vertAlign w:val="subscript"/>
        </w:rPr>
        <w:t>GWAS</w:t>
      </w:r>
      <w:r w:rsidRPr="008A6C80">
        <w:t>&lt;5×10</w:t>
      </w:r>
      <w:r w:rsidRPr="00B40EAC">
        <w:rPr>
          <w:vertAlign w:val="superscript"/>
        </w:rPr>
        <w:t>-8</w:t>
      </w:r>
      <w:r w:rsidRPr="008A6C80">
        <w:t>) and linkage disequilibrium (r</w:t>
      </w:r>
      <w:r w:rsidRPr="00B40EAC">
        <w:rPr>
          <w:vertAlign w:val="superscript"/>
        </w:rPr>
        <w:t>2</w:t>
      </w:r>
      <w:r w:rsidRPr="008A6C80">
        <w:t>&lt;0.0</w:t>
      </w:r>
      <w:r>
        <w:t>2</w:t>
      </w:r>
      <w:r w:rsidRPr="008A6C80">
        <w:t>)</w:t>
      </w:r>
      <w:r>
        <w:t xml:space="preserve"> thresholds. </w:t>
      </w:r>
      <w:r w:rsidRPr="00BB6343">
        <w:t xml:space="preserve">The size of the squares is proportional to the weight of the </w:t>
      </w:r>
      <w:r>
        <w:t xml:space="preserve">Mendelian randomization </w:t>
      </w:r>
      <w:r w:rsidRPr="00BB6343">
        <w:t xml:space="preserve">estimate for each variant, with the horizontal lines indicating their 95% confidence intervals. The center of the diamond represents the combined </w:t>
      </w:r>
      <w:r>
        <w:t xml:space="preserve">Mendelian randomization </w:t>
      </w:r>
      <w:r w:rsidRPr="00BB6343">
        <w:t>point estimate with the lateral tips indicating its 95% confidence interval, estimated by the inverse variance weighted method. The odds ratios were estimated per one standard deviation increment in the inverse-rank normalized sIL-6R level.</w:t>
      </w:r>
    </w:p>
    <w:p w14:paraId="1C26141B" w14:textId="5D66315C" w:rsidR="00CE0E44" w:rsidRPr="004B4F93" w:rsidRDefault="00CE0E44" w:rsidP="004B4F93">
      <w:pPr>
        <w:pStyle w:val="BodyText"/>
        <w:spacing w:line="240" w:lineRule="auto"/>
      </w:pPr>
      <w:r w:rsidRPr="00BB6343">
        <w:t>Abbreviations: CI, confidence interval; IVW, inverse variance weighted</w:t>
      </w:r>
    </w:p>
    <w:p w14:paraId="49E6166B" w14:textId="324EFF84" w:rsidR="00CE0E44" w:rsidRDefault="00CE0E44" w:rsidP="00CE0E44">
      <w:pPr>
        <w:pStyle w:val="Default"/>
        <w:rPr>
          <w:rFonts w:cstheme="minorBidi"/>
          <w:b/>
          <w:color w:val="auto"/>
          <w:szCs w:val="22"/>
          <w:lang w:eastAsia="en-US"/>
        </w:rPr>
      </w:pPr>
      <w:r>
        <w:rPr>
          <w:rFonts w:cstheme="minorBidi"/>
          <w:b/>
          <w:noProof/>
          <w:color w:val="auto"/>
          <w:szCs w:val="22"/>
          <w:lang w:eastAsia="en-US"/>
        </w:rPr>
        <w:drawing>
          <wp:inline distT="0" distB="0" distL="0" distR="0" wp14:anchorId="01F2EBDA" wp14:editId="40877226">
            <wp:extent cx="6665768" cy="4166107"/>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28795" cy="4205499"/>
                    </a:xfrm>
                    <a:prstGeom prst="rect">
                      <a:avLst/>
                    </a:prstGeom>
                  </pic:spPr>
                </pic:pic>
              </a:graphicData>
            </a:graphic>
          </wp:inline>
        </w:drawing>
      </w:r>
    </w:p>
    <w:p w14:paraId="7B65BC41" w14:textId="60AA8F6B" w:rsidR="00DE23E8" w:rsidRPr="001549D3" w:rsidRDefault="00DE23E8" w:rsidP="004B4F93">
      <w:pPr>
        <w:pStyle w:val="Default"/>
      </w:pPr>
      <w:bookmarkStart w:id="3" w:name="_GoBack"/>
      <w:bookmarkEnd w:id="3"/>
    </w:p>
    <w:sectPr w:rsidR="00DE23E8" w:rsidRPr="001549D3" w:rsidSect="007250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D89A1" w14:textId="77777777" w:rsidR="00F17605" w:rsidRDefault="00F17605" w:rsidP="00117666">
      <w:pPr>
        <w:spacing w:after="0"/>
      </w:pPr>
      <w:r>
        <w:separator/>
      </w:r>
    </w:p>
  </w:endnote>
  <w:endnote w:type="continuationSeparator" w:id="0">
    <w:p w14:paraId="548D16E2" w14:textId="77777777" w:rsidR="00F17605" w:rsidRDefault="00F1760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altName w:val="﷽﷽﷽﷽﷽﷽﷽﷽"/>
    <w:panose1 w:val="02020603050405020304"/>
    <w:charset w:val="00"/>
    <w:family w:val="auto"/>
    <w:pitch w:val="variable"/>
    <w:sig w:usb0="E0002EFF" w:usb1="D000785B" w:usb2="00000009" w:usb3="00000000" w:csb0="000001FF" w:csb1="00000000"/>
  </w:font>
  <w:font w:name="TimesNewRomanPSMT">
    <w:altName w:val="Times New Roman"/>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23045818"/>
      <w:docPartObj>
        <w:docPartGallery w:val="Page Numbers (Bottom of Page)"/>
        <w:docPartUnique/>
      </w:docPartObj>
    </w:sdtPr>
    <w:sdtEndPr>
      <w:rPr>
        <w:rStyle w:val="PageNumber"/>
      </w:rPr>
    </w:sdtEndPr>
    <w:sdtContent>
      <w:p w14:paraId="2718408F" w14:textId="5B78ACE0" w:rsidR="00AB5C92" w:rsidRDefault="00AB5C92" w:rsidP="004B4F93">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CA7923">
          <w:rPr>
            <w:rStyle w:val="PageNumber"/>
            <w:noProof/>
          </w:rPr>
          <w:t>8</w:t>
        </w:r>
        <w:r>
          <w:rPr>
            <w:rStyle w:val="PageNumber"/>
          </w:rPr>
          <w:fldChar w:fldCharType="end"/>
        </w:r>
      </w:p>
    </w:sdtContent>
  </w:sdt>
  <w:p w14:paraId="2C93025F" w14:textId="77777777" w:rsidR="00D574A7" w:rsidRPr="00577C4C" w:rsidRDefault="00D574A7" w:rsidP="004B4F93">
    <w:pPr>
      <w:ind w:right="360" w:firstLine="360"/>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D574A7" w:rsidRPr="00577C4C" w:rsidRDefault="00D574A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A7923">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D574A7" w:rsidRPr="00577C4C" w:rsidRDefault="00D574A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A7923">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54359862"/>
      <w:docPartObj>
        <w:docPartGallery w:val="Page Numbers (Bottom of Page)"/>
        <w:docPartUnique/>
      </w:docPartObj>
    </w:sdtPr>
    <w:sdtEndPr>
      <w:rPr>
        <w:rStyle w:val="PageNumber"/>
      </w:rPr>
    </w:sdtEndPr>
    <w:sdtContent>
      <w:p w14:paraId="3F8D05C9" w14:textId="79178BC8" w:rsidR="00AB5C92" w:rsidRDefault="00AB5C92" w:rsidP="004B4F93">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CA7923">
          <w:rPr>
            <w:rStyle w:val="PageNumber"/>
            <w:noProof/>
          </w:rPr>
          <w:t>9</w:t>
        </w:r>
        <w:r>
          <w:rPr>
            <w:rStyle w:val="PageNumber"/>
          </w:rPr>
          <w:fldChar w:fldCharType="end"/>
        </w:r>
      </w:p>
    </w:sdtContent>
  </w:sdt>
  <w:p w14:paraId="7B4D6A35" w14:textId="48C90772" w:rsidR="00D574A7" w:rsidRPr="00577C4C" w:rsidRDefault="00D574A7" w:rsidP="004B4F93">
    <w:pPr>
      <w:ind w:right="360" w:firstLine="360"/>
      <w:rPr>
        <w:b/>
        <w:sz w:val="20"/>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DBE5E" w14:textId="77777777" w:rsidR="00F16011" w:rsidRDefault="00F16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2ABE7" w14:textId="77777777" w:rsidR="00F17605" w:rsidRDefault="00F17605" w:rsidP="00117666">
      <w:pPr>
        <w:spacing w:after="0"/>
      </w:pPr>
      <w:r>
        <w:separator/>
      </w:r>
    </w:p>
  </w:footnote>
  <w:footnote w:type="continuationSeparator" w:id="0">
    <w:p w14:paraId="7715DA63" w14:textId="77777777" w:rsidR="00F17605" w:rsidRDefault="00F17605"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D574A7" w:rsidRPr="009151AA" w:rsidRDefault="00D574A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EC043" w14:textId="77777777" w:rsidR="00F16011" w:rsidRDefault="00F160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117BBCCC" w:rsidR="00D574A7" w:rsidRDefault="00D574A7" w:rsidP="0093429D">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attachedTemplate r:id="rId1"/>
  <w:defaultTabStop w:val="720"/>
  <w:evenAndOddHeaders/>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0957D0"/>
    <w:rsid w:val="000D0BD1"/>
    <w:rsid w:val="00105FD9"/>
    <w:rsid w:val="00117666"/>
    <w:rsid w:val="001549D3"/>
    <w:rsid w:val="00160065"/>
    <w:rsid w:val="00177D84"/>
    <w:rsid w:val="001C685A"/>
    <w:rsid w:val="00267D18"/>
    <w:rsid w:val="00274347"/>
    <w:rsid w:val="002868E2"/>
    <w:rsid w:val="002869C3"/>
    <w:rsid w:val="002936E4"/>
    <w:rsid w:val="002B4A57"/>
    <w:rsid w:val="002C74CA"/>
    <w:rsid w:val="002E1D56"/>
    <w:rsid w:val="003123F4"/>
    <w:rsid w:val="00317119"/>
    <w:rsid w:val="003544FB"/>
    <w:rsid w:val="003B3840"/>
    <w:rsid w:val="003C67D0"/>
    <w:rsid w:val="003D2F2D"/>
    <w:rsid w:val="00401590"/>
    <w:rsid w:val="004134C5"/>
    <w:rsid w:val="00447801"/>
    <w:rsid w:val="00452E9C"/>
    <w:rsid w:val="004735C8"/>
    <w:rsid w:val="004947A6"/>
    <w:rsid w:val="004961FF"/>
    <w:rsid w:val="004B4F93"/>
    <w:rsid w:val="00500D81"/>
    <w:rsid w:val="00517A89"/>
    <w:rsid w:val="005250F2"/>
    <w:rsid w:val="00593EEA"/>
    <w:rsid w:val="005A0FB3"/>
    <w:rsid w:val="005A5EEE"/>
    <w:rsid w:val="005B2595"/>
    <w:rsid w:val="005F14AB"/>
    <w:rsid w:val="006375C7"/>
    <w:rsid w:val="00654E8F"/>
    <w:rsid w:val="00660D05"/>
    <w:rsid w:val="006652F7"/>
    <w:rsid w:val="006820B1"/>
    <w:rsid w:val="006B7D14"/>
    <w:rsid w:val="006C5F76"/>
    <w:rsid w:val="006E20E9"/>
    <w:rsid w:val="00701727"/>
    <w:rsid w:val="0070566C"/>
    <w:rsid w:val="00714C50"/>
    <w:rsid w:val="00725025"/>
    <w:rsid w:val="00725A7D"/>
    <w:rsid w:val="007501BE"/>
    <w:rsid w:val="00790BB3"/>
    <w:rsid w:val="007C206C"/>
    <w:rsid w:val="007C3058"/>
    <w:rsid w:val="00817DD6"/>
    <w:rsid w:val="008237FA"/>
    <w:rsid w:val="0083759F"/>
    <w:rsid w:val="00867C1C"/>
    <w:rsid w:val="00870B5F"/>
    <w:rsid w:val="00885156"/>
    <w:rsid w:val="009151AA"/>
    <w:rsid w:val="00915ACA"/>
    <w:rsid w:val="00932181"/>
    <w:rsid w:val="0093429D"/>
    <w:rsid w:val="00943573"/>
    <w:rsid w:val="00964134"/>
    <w:rsid w:val="00970F7D"/>
    <w:rsid w:val="00976C9C"/>
    <w:rsid w:val="00994A3D"/>
    <w:rsid w:val="009C2B12"/>
    <w:rsid w:val="009F0454"/>
    <w:rsid w:val="00A148B5"/>
    <w:rsid w:val="00A174D9"/>
    <w:rsid w:val="00A36039"/>
    <w:rsid w:val="00A725D5"/>
    <w:rsid w:val="00AA4D24"/>
    <w:rsid w:val="00AB5C92"/>
    <w:rsid w:val="00AB6715"/>
    <w:rsid w:val="00B0068A"/>
    <w:rsid w:val="00B1671E"/>
    <w:rsid w:val="00B25EB8"/>
    <w:rsid w:val="00B37F4D"/>
    <w:rsid w:val="00B669E4"/>
    <w:rsid w:val="00BD1CC4"/>
    <w:rsid w:val="00C52A7B"/>
    <w:rsid w:val="00C56BAF"/>
    <w:rsid w:val="00C679AA"/>
    <w:rsid w:val="00C75972"/>
    <w:rsid w:val="00CA7923"/>
    <w:rsid w:val="00CB0573"/>
    <w:rsid w:val="00CD066B"/>
    <w:rsid w:val="00CD5DED"/>
    <w:rsid w:val="00CE0E44"/>
    <w:rsid w:val="00CE2D1A"/>
    <w:rsid w:val="00CE4FEE"/>
    <w:rsid w:val="00D056E2"/>
    <w:rsid w:val="00D060CF"/>
    <w:rsid w:val="00D17EE1"/>
    <w:rsid w:val="00D574A7"/>
    <w:rsid w:val="00D65C8B"/>
    <w:rsid w:val="00D90C36"/>
    <w:rsid w:val="00DB59C3"/>
    <w:rsid w:val="00DC259A"/>
    <w:rsid w:val="00DE23E8"/>
    <w:rsid w:val="00DE7F93"/>
    <w:rsid w:val="00E11F19"/>
    <w:rsid w:val="00E52377"/>
    <w:rsid w:val="00E537AD"/>
    <w:rsid w:val="00E64E17"/>
    <w:rsid w:val="00E866C9"/>
    <w:rsid w:val="00E9033C"/>
    <w:rsid w:val="00E911D6"/>
    <w:rsid w:val="00EA3D3C"/>
    <w:rsid w:val="00EC090A"/>
    <w:rsid w:val="00EC171D"/>
    <w:rsid w:val="00ED20B5"/>
    <w:rsid w:val="00EE3A52"/>
    <w:rsid w:val="00F03713"/>
    <w:rsid w:val="00F16011"/>
    <w:rsid w:val="00F17605"/>
    <w:rsid w:val="00F46900"/>
    <w:rsid w:val="00F61D89"/>
    <w:rsid w:val="00FB12F1"/>
    <w:rsid w:val="00FC4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link w:val="SupplementaryMaterial0"/>
    <w:qFormat/>
    <w:rsid w:val="0001436A"/>
    <w:pPr>
      <w:spacing w:after="120"/>
    </w:pPr>
    <w:rPr>
      <w:i/>
    </w:rPr>
  </w:style>
  <w:style w:type="paragraph" w:customStyle="1" w:styleId="Default">
    <w:name w:val="Default"/>
    <w:rsid w:val="00B669E4"/>
    <w:pPr>
      <w:widowControl w:val="0"/>
      <w:autoSpaceDE w:val="0"/>
      <w:autoSpaceDN w:val="0"/>
      <w:adjustRightInd w:val="0"/>
      <w:spacing w:after="0" w:line="240" w:lineRule="auto"/>
    </w:pPr>
    <w:rPr>
      <w:rFonts w:ascii="Times New Roman" w:hAnsi="Times New Roman" w:cs="Times New Roman"/>
      <w:color w:val="000000"/>
      <w:sz w:val="24"/>
      <w:szCs w:val="24"/>
      <w:lang w:eastAsia="ja-JP"/>
    </w:rPr>
  </w:style>
  <w:style w:type="paragraph" w:customStyle="1" w:styleId="EndNoteBibliography">
    <w:name w:val="EndNote Bibliography"/>
    <w:basedOn w:val="Normal"/>
    <w:link w:val="EndNoteBibliographyChar"/>
    <w:rsid w:val="00B669E4"/>
    <w:pPr>
      <w:spacing w:before="0" w:after="0"/>
    </w:pPr>
    <w:rPr>
      <w:rFonts w:ascii="Calibri" w:eastAsia="Times New Roman" w:hAnsi="Calibri" w:cs="Calibri"/>
      <w:szCs w:val="24"/>
    </w:rPr>
  </w:style>
  <w:style w:type="paragraph" w:styleId="BodyText">
    <w:name w:val="Body Text"/>
    <w:basedOn w:val="Normal"/>
    <w:link w:val="BodyTextChar"/>
    <w:rsid w:val="00B669E4"/>
    <w:pPr>
      <w:spacing w:before="0" w:after="0" w:line="480" w:lineRule="auto"/>
    </w:pPr>
    <w:rPr>
      <w:rFonts w:eastAsia="Times New Roman" w:cs="Times New Roman"/>
      <w:szCs w:val="24"/>
      <w:lang w:eastAsia="ja-JP"/>
    </w:rPr>
  </w:style>
  <w:style w:type="character" w:customStyle="1" w:styleId="BodyTextChar">
    <w:name w:val="Body Text Char"/>
    <w:basedOn w:val="DefaultParagraphFont"/>
    <w:link w:val="BodyText"/>
    <w:rsid w:val="00B669E4"/>
    <w:rPr>
      <w:rFonts w:ascii="Times New Roman" w:eastAsia="Times New Roman" w:hAnsi="Times New Roman" w:cs="Times New Roman"/>
      <w:sz w:val="24"/>
      <w:szCs w:val="24"/>
      <w:lang w:eastAsia="ja-JP"/>
    </w:rPr>
  </w:style>
  <w:style w:type="character" w:customStyle="1" w:styleId="EndNoteBibliographyChar">
    <w:name w:val="EndNote Bibliography Char"/>
    <w:basedOn w:val="DefaultParagraphFont"/>
    <w:link w:val="EndNoteBibliography"/>
    <w:rsid w:val="00B669E4"/>
    <w:rPr>
      <w:rFonts w:ascii="Calibri" w:eastAsia="Times New Roman" w:hAnsi="Calibri" w:cs="Calibri"/>
      <w:sz w:val="24"/>
      <w:szCs w:val="24"/>
    </w:rPr>
  </w:style>
  <w:style w:type="paragraph" w:customStyle="1" w:styleId="1">
    <w:name w:val="文献目録1"/>
    <w:basedOn w:val="Normal"/>
    <w:link w:val="Bibliography"/>
    <w:rsid w:val="006E20E9"/>
    <w:pPr>
      <w:tabs>
        <w:tab w:val="left" w:pos="500"/>
      </w:tabs>
      <w:ind w:left="504" w:hanging="504"/>
    </w:pPr>
    <w:rPr>
      <w:rFonts w:cs="Times New Roman"/>
      <w:szCs w:val="32"/>
    </w:rPr>
  </w:style>
  <w:style w:type="character" w:customStyle="1" w:styleId="SupplementaryMaterial0">
    <w:name w:val="Supplementary Material (文字)"/>
    <w:basedOn w:val="TitleChar"/>
    <w:link w:val="SupplementaryMaterial"/>
    <w:rsid w:val="006E20E9"/>
    <w:rPr>
      <w:rFonts w:ascii="Times New Roman" w:hAnsi="Times New Roman" w:cs="Times New Roman"/>
      <w:b/>
      <w:i/>
      <w:sz w:val="32"/>
      <w:szCs w:val="32"/>
    </w:rPr>
  </w:style>
  <w:style w:type="character" w:customStyle="1" w:styleId="Bibliography">
    <w:name w:val="Bibliography (文字)"/>
    <w:basedOn w:val="SupplementaryMaterial0"/>
    <w:link w:val="1"/>
    <w:rsid w:val="006E20E9"/>
    <w:rPr>
      <w:rFonts w:ascii="Times New Roman" w:hAnsi="Times New Roman" w:cs="Times New Roman"/>
      <w:b w:val="0"/>
      <w:i w:val="0"/>
      <w:sz w:val="24"/>
      <w:szCs w:val="32"/>
    </w:rPr>
  </w:style>
  <w:style w:type="paragraph" w:styleId="Revision">
    <w:name w:val="Revision"/>
    <w:hidden/>
    <w:uiPriority w:val="99"/>
    <w:semiHidden/>
    <w:rsid w:val="000957D0"/>
    <w:pPr>
      <w:spacing w:after="0" w:line="240" w:lineRule="auto"/>
    </w:pPr>
    <w:rPr>
      <w:rFonts w:ascii="Times New Roman" w:hAnsi="Times New Roman"/>
      <w:sz w:val="24"/>
    </w:rPr>
  </w:style>
  <w:style w:type="character" w:styleId="PageNumber">
    <w:name w:val="page number"/>
    <w:basedOn w:val="DefaultParagraphFont"/>
    <w:uiPriority w:val="99"/>
    <w:semiHidden/>
    <w:unhideWhenUsed/>
    <w:rsid w:val="00AB5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link w:val="SupplementaryMaterial0"/>
    <w:qFormat/>
    <w:rsid w:val="0001436A"/>
    <w:pPr>
      <w:spacing w:after="120"/>
    </w:pPr>
    <w:rPr>
      <w:i/>
    </w:rPr>
  </w:style>
  <w:style w:type="paragraph" w:customStyle="1" w:styleId="Default">
    <w:name w:val="Default"/>
    <w:rsid w:val="00B669E4"/>
    <w:pPr>
      <w:widowControl w:val="0"/>
      <w:autoSpaceDE w:val="0"/>
      <w:autoSpaceDN w:val="0"/>
      <w:adjustRightInd w:val="0"/>
      <w:spacing w:after="0" w:line="240" w:lineRule="auto"/>
    </w:pPr>
    <w:rPr>
      <w:rFonts w:ascii="Times New Roman" w:hAnsi="Times New Roman" w:cs="Times New Roman"/>
      <w:color w:val="000000"/>
      <w:sz w:val="24"/>
      <w:szCs w:val="24"/>
      <w:lang w:eastAsia="ja-JP"/>
    </w:rPr>
  </w:style>
  <w:style w:type="paragraph" w:customStyle="1" w:styleId="EndNoteBibliography">
    <w:name w:val="EndNote Bibliography"/>
    <w:basedOn w:val="Normal"/>
    <w:link w:val="EndNoteBibliographyChar"/>
    <w:rsid w:val="00B669E4"/>
    <w:pPr>
      <w:spacing w:before="0" w:after="0"/>
    </w:pPr>
    <w:rPr>
      <w:rFonts w:ascii="Calibri" w:eastAsia="Times New Roman" w:hAnsi="Calibri" w:cs="Calibri"/>
      <w:szCs w:val="24"/>
    </w:rPr>
  </w:style>
  <w:style w:type="paragraph" w:styleId="BodyText">
    <w:name w:val="Body Text"/>
    <w:basedOn w:val="Normal"/>
    <w:link w:val="BodyTextChar"/>
    <w:rsid w:val="00B669E4"/>
    <w:pPr>
      <w:spacing w:before="0" w:after="0" w:line="480" w:lineRule="auto"/>
    </w:pPr>
    <w:rPr>
      <w:rFonts w:eastAsia="Times New Roman" w:cs="Times New Roman"/>
      <w:szCs w:val="24"/>
      <w:lang w:eastAsia="ja-JP"/>
    </w:rPr>
  </w:style>
  <w:style w:type="character" w:customStyle="1" w:styleId="BodyTextChar">
    <w:name w:val="Body Text Char"/>
    <w:basedOn w:val="DefaultParagraphFont"/>
    <w:link w:val="BodyText"/>
    <w:rsid w:val="00B669E4"/>
    <w:rPr>
      <w:rFonts w:ascii="Times New Roman" w:eastAsia="Times New Roman" w:hAnsi="Times New Roman" w:cs="Times New Roman"/>
      <w:sz w:val="24"/>
      <w:szCs w:val="24"/>
      <w:lang w:eastAsia="ja-JP"/>
    </w:rPr>
  </w:style>
  <w:style w:type="character" w:customStyle="1" w:styleId="EndNoteBibliographyChar">
    <w:name w:val="EndNote Bibliography Char"/>
    <w:basedOn w:val="DefaultParagraphFont"/>
    <w:link w:val="EndNoteBibliography"/>
    <w:rsid w:val="00B669E4"/>
    <w:rPr>
      <w:rFonts w:ascii="Calibri" w:eastAsia="Times New Roman" w:hAnsi="Calibri" w:cs="Calibri"/>
      <w:sz w:val="24"/>
      <w:szCs w:val="24"/>
    </w:rPr>
  </w:style>
  <w:style w:type="paragraph" w:customStyle="1" w:styleId="1">
    <w:name w:val="文献目録1"/>
    <w:basedOn w:val="Normal"/>
    <w:link w:val="Bibliography"/>
    <w:rsid w:val="006E20E9"/>
    <w:pPr>
      <w:tabs>
        <w:tab w:val="left" w:pos="500"/>
      </w:tabs>
      <w:ind w:left="504" w:hanging="504"/>
    </w:pPr>
    <w:rPr>
      <w:rFonts w:cs="Times New Roman"/>
      <w:szCs w:val="32"/>
    </w:rPr>
  </w:style>
  <w:style w:type="character" w:customStyle="1" w:styleId="SupplementaryMaterial0">
    <w:name w:val="Supplementary Material (文字)"/>
    <w:basedOn w:val="TitleChar"/>
    <w:link w:val="SupplementaryMaterial"/>
    <w:rsid w:val="006E20E9"/>
    <w:rPr>
      <w:rFonts w:ascii="Times New Roman" w:hAnsi="Times New Roman" w:cs="Times New Roman"/>
      <w:b/>
      <w:i/>
      <w:sz w:val="32"/>
      <w:szCs w:val="32"/>
    </w:rPr>
  </w:style>
  <w:style w:type="character" w:customStyle="1" w:styleId="Bibliography">
    <w:name w:val="Bibliography (文字)"/>
    <w:basedOn w:val="SupplementaryMaterial0"/>
    <w:link w:val="1"/>
    <w:rsid w:val="006E20E9"/>
    <w:rPr>
      <w:rFonts w:ascii="Times New Roman" w:hAnsi="Times New Roman" w:cs="Times New Roman"/>
      <w:b w:val="0"/>
      <w:i w:val="0"/>
      <w:sz w:val="24"/>
      <w:szCs w:val="32"/>
    </w:rPr>
  </w:style>
  <w:style w:type="paragraph" w:styleId="Revision">
    <w:name w:val="Revision"/>
    <w:hidden/>
    <w:uiPriority w:val="99"/>
    <w:semiHidden/>
    <w:rsid w:val="000957D0"/>
    <w:pPr>
      <w:spacing w:after="0" w:line="240" w:lineRule="auto"/>
    </w:pPr>
    <w:rPr>
      <w:rFonts w:ascii="Times New Roman" w:hAnsi="Times New Roman"/>
      <w:sz w:val="24"/>
    </w:rPr>
  </w:style>
  <w:style w:type="character" w:styleId="PageNumber">
    <w:name w:val="page number"/>
    <w:basedOn w:val="DefaultParagraphFont"/>
    <w:uiPriority w:val="99"/>
    <w:semiHidden/>
    <w:unhideWhenUsed/>
    <w:rsid w:val="00AB5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74002907">
      <w:bodyDiv w:val="1"/>
      <w:marLeft w:val="0"/>
      <w:marRight w:val="0"/>
      <w:marTop w:val="0"/>
      <w:marBottom w:val="0"/>
      <w:divBdr>
        <w:top w:val="none" w:sz="0" w:space="0" w:color="auto"/>
        <w:left w:val="none" w:sz="0" w:space="0" w:color="auto"/>
        <w:bottom w:val="none" w:sz="0" w:space="0" w:color="auto"/>
        <w:right w:val="none" w:sz="0" w:space="0" w:color="auto"/>
      </w:divBdr>
    </w:div>
    <w:div w:id="193242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hpc.cam.ac.uk/ceu/proteins/"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57DBAEC-9D5C-451C-B706-8C801AD3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11</TotalTime>
  <Pages>8</Pages>
  <Words>14258</Words>
  <Characters>81277</Characters>
  <Application>Microsoft Office Word</Application>
  <DocSecurity>0</DocSecurity>
  <Lines>677</Lines>
  <Paragraphs>190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 amshaveni</cp:lastModifiedBy>
  <cp:revision>7</cp:revision>
  <cp:lastPrinted>2013-10-03T12:51:00Z</cp:lastPrinted>
  <dcterms:created xsi:type="dcterms:W3CDTF">2021-02-06T03:00:00Z</dcterms:created>
  <dcterms:modified xsi:type="dcterms:W3CDTF">2021-04-05T07:53:00Z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zotero-version="5.0.94-beta.1+01646f1f8"&gt;&lt;session id="ErV9uOva"/&gt;&lt;style id="http://www.zotero.org/styles/frontiers-in-medicine" hasBibliography="1" bibliographyStyleHasBeenSet="1"/&gt;&lt;prefs&gt;&lt;pref name="fieldType" value="Field"/&gt;&lt;pref </vt:lpwstr>
  </property>
  <property fmtid="{D5CDD505-2E9C-101B-9397-08002B2CF9AE}" pid="3" name="ZOTERO_PREF_2">
    <vt:lpwstr>name="dontAskDelayCitationUpdates" value="true"/&gt;&lt;/prefs&gt;&lt;/data&gt;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http://www.zotero.org/styles/expert-review-of-respiratory-medicine</vt:lpwstr>
  </property>
  <property fmtid="{D5CDD505-2E9C-101B-9397-08002B2CF9AE}" pid="13" name="Mendeley Recent Style Name 4_1">
    <vt:lpwstr>Expert Review of Respiratory Medicine</vt:lpwstr>
  </property>
  <property fmtid="{D5CDD505-2E9C-101B-9397-08002B2CF9AE}" pid="14" name="Mendeley Recent Style Id 5_1">
    <vt:lpwstr>http://www.zotero.org/styles/frontiers-in-medicine</vt:lpwstr>
  </property>
  <property fmtid="{D5CDD505-2E9C-101B-9397-08002B2CF9AE}" pid="15" name="Mendeley Recent Style Name 5_1">
    <vt:lpwstr>Frontiers in Medicine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