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A003F1" w14:textId="2B512472" w:rsidR="00E63DF9" w:rsidRPr="006C023E" w:rsidRDefault="00E63DF9" w:rsidP="008D10BD">
      <w:pPr>
        <w:spacing w:line="480" w:lineRule="auto"/>
        <w:rPr>
          <w:rFonts w:ascii="Times New Roman" w:hAnsi="Times New Roman" w:cs="Times New Roman"/>
          <w:b/>
          <w:sz w:val="24"/>
          <w:szCs w:val="24"/>
        </w:rPr>
      </w:pPr>
      <w:r w:rsidRPr="006C023E">
        <w:rPr>
          <w:rFonts w:ascii="Times New Roman" w:hAnsi="Times New Roman" w:cs="Times New Roman"/>
          <w:b/>
          <w:sz w:val="24"/>
          <w:szCs w:val="24"/>
        </w:rPr>
        <w:t>Supplement to “Functional polymorphisms in oxytocin and dopamine pathway genes and the development of dispositional compassion over time: The Young Finns Study”</w:t>
      </w:r>
    </w:p>
    <w:p w14:paraId="13DC2CBA" w14:textId="662E0518" w:rsidR="009D1103" w:rsidRPr="006C023E" w:rsidRDefault="009D1103" w:rsidP="008D10BD">
      <w:pPr>
        <w:pStyle w:val="NormalWeb"/>
        <w:spacing w:line="480" w:lineRule="auto"/>
        <w:rPr>
          <w:i/>
        </w:rPr>
      </w:pPr>
      <w:r w:rsidRPr="006C023E">
        <w:rPr>
          <w:i/>
        </w:rPr>
        <w:t>S1) Testing additional SNPs commonly used in the literature.</w:t>
      </w:r>
    </w:p>
    <w:p w14:paraId="4BC40FBD" w14:textId="5369E801" w:rsidR="00E63DF9" w:rsidRPr="006C023E" w:rsidRDefault="00E63DF9" w:rsidP="008D10BD">
      <w:pPr>
        <w:pStyle w:val="NormalWeb"/>
        <w:spacing w:line="480" w:lineRule="auto"/>
      </w:pPr>
      <w:r w:rsidRPr="006C023E">
        <w:t>We additionally selected two commonly studied SNPs for each of the genes of interest which are, if possible, maximally informative for a set of SNPs (</w:t>
      </w:r>
      <w:proofErr w:type="spellStart"/>
      <w:r w:rsidRPr="006C023E">
        <w:t>tagSNPs</w:t>
      </w:r>
      <w:proofErr w:type="spellEnd"/>
      <w:r w:rsidRPr="006C023E">
        <w:t>) or haplotype tagging (</w:t>
      </w:r>
      <w:proofErr w:type="spellStart"/>
      <w:r w:rsidRPr="006C023E">
        <w:t>htSNPs</w:t>
      </w:r>
      <w:proofErr w:type="spellEnd"/>
      <w:r w:rsidRPr="006C023E">
        <w:t>). Variants rs53576 (G</w:t>
      </w:r>
      <w:r w:rsidRPr="006C023E">
        <w:sym w:font="Wingdings" w:char="F0E0"/>
      </w:r>
      <w:r w:rsidRPr="006C023E">
        <w:t>A) and rs2254298 (A</w:t>
      </w:r>
      <w:r w:rsidRPr="006C023E">
        <w:sym w:font="Wingdings" w:char="F0E0"/>
      </w:r>
      <w:r w:rsidRPr="006C023E">
        <w:t>G) of OXTR, rs6449182 (G</w:t>
      </w:r>
      <w:r w:rsidRPr="006C023E">
        <w:sym w:font="Wingdings" w:char="F0E0"/>
      </w:r>
      <w:r w:rsidRPr="006C023E">
        <w:t>C) and rs12644506 (T</w:t>
      </w:r>
      <w:r w:rsidRPr="006C023E">
        <w:sym w:font="Wingdings" w:char="F0E0"/>
      </w:r>
      <w:r w:rsidRPr="006C023E">
        <w:t>C) of CD38, rs1801028 (C</w:t>
      </w:r>
      <w:r w:rsidRPr="006C023E">
        <w:sym w:font="Wingdings" w:char="F0E0"/>
      </w:r>
      <w:r w:rsidRPr="006C023E">
        <w:t>G) and rs468317 (G</w:t>
      </w:r>
      <w:r w:rsidRPr="006C023E">
        <w:sym w:font="Wingdings" w:char="F0E0"/>
      </w:r>
      <w:r w:rsidRPr="006C023E">
        <w:t>A) ANKK1/DRD2; rs4633 (T</w:t>
      </w:r>
      <w:r w:rsidRPr="006C023E">
        <w:sym w:font="Wingdings" w:char="F0E0"/>
      </w:r>
      <w:r w:rsidRPr="006C023E">
        <w:t>C) and rs4818 (G</w:t>
      </w:r>
      <w:r w:rsidRPr="006C023E">
        <w:sym w:font="Wingdings" w:char="F0E0"/>
      </w:r>
      <w:r w:rsidRPr="006C023E">
        <w:t>C) of COMT, and rs2519152 (C</w:t>
      </w:r>
      <w:r w:rsidRPr="006C023E">
        <w:sym w:font="Wingdings" w:char="F0E0"/>
      </w:r>
      <w:r w:rsidRPr="006C023E">
        <w:t>T) and rs6271 (T</w:t>
      </w:r>
      <w:r w:rsidRPr="006C023E">
        <w:sym w:font="Wingdings" w:char="F0E0"/>
      </w:r>
      <w:r w:rsidRPr="006C023E">
        <w:t xml:space="preserve">C) of DBH. This allows us to compare the pattern of association of functional versus commonly studies variants. Chromosome, position, and minor allele frequency of these ten SPNs are presented in Table S1, with the genotype frequencies following the Hardy-Weinberg Equilibrium taken into account the number of conducted tests (p ≥ .01). The Table also presents </w:t>
      </w:r>
      <w:r w:rsidR="00196046" w:rsidRPr="006C023E">
        <w:t xml:space="preserve">the </w:t>
      </w:r>
      <w:r w:rsidRPr="006C023E">
        <w:t>assumed risk allele of the SNPs, if the functionality is known, and whether it was directly genotyped or imputed.</w:t>
      </w:r>
    </w:p>
    <w:p w14:paraId="3B9CA1AC" w14:textId="22680E22" w:rsidR="00E63DF9" w:rsidRPr="006C023E" w:rsidRDefault="00E63DF9" w:rsidP="008D10BD">
      <w:pPr>
        <w:spacing w:line="480" w:lineRule="auto"/>
        <w:rPr>
          <w:rFonts w:ascii="Times New Roman" w:hAnsi="Times New Roman" w:cs="Times New Roman"/>
          <w:sz w:val="24"/>
          <w:szCs w:val="24"/>
        </w:rPr>
      </w:pPr>
      <w:r w:rsidRPr="006C023E">
        <w:rPr>
          <w:rFonts w:ascii="Times New Roman" w:hAnsi="Times New Roman" w:cs="Times New Roman"/>
          <w:i/>
          <w:sz w:val="24"/>
          <w:szCs w:val="24"/>
        </w:rPr>
        <w:t>Oxytocin pathway genes</w:t>
      </w:r>
      <w:r w:rsidRPr="006C023E">
        <w:rPr>
          <w:rFonts w:ascii="Times New Roman" w:hAnsi="Times New Roman" w:cs="Times New Roman"/>
          <w:sz w:val="24"/>
          <w:szCs w:val="24"/>
        </w:rPr>
        <w:t xml:space="preserve">. The G-allele OXTR rs53576 was meta-analytically related to empathy </w:t>
      </w:r>
      <w:r w:rsidRPr="006C023E">
        <w:rPr>
          <w:rFonts w:ascii="Times New Roman" w:hAnsi="Times New Roman" w:cs="Times New Roman"/>
          <w:sz w:val="24"/>
          <w:szCs w:val="24"/>
        </w:rPr>
        <w:fldChar w:fldCharType="begin" w:fldLock="1"/>
      </w:r>
      <w:r w:rsidRPr="006C023E">
        <w:rPr>
          <w:rFonts w:ascii="Times New Roman" w:hAnsi="Times New Roman" w:cs="Times New Roman"/>
          <w:sz w:val="24"/>
          <w:szCs w:val="24"/>
        </w:rPr>
        <w:instrText>ADDIN CSL_CITATION {"citationItems":[{"id":"ITEM-1","itemData":{"DOI":"10.1016/J.PSYNEUEN.2017.03.005","ISSN":"0306-4530","abstract":"Oxytocin in the brain is related to empathy, which refers to the ability to understand and share others’ internal states or responses. Previous studies have investigated the impact of OXTR rs53576, the most intensively examined polymorphism in the oxytocin receptor (OXTR) gene, on individual differences in empathy. However, these studies produced inconsistent results. In the current study, we reexamined the association of OXTR rs53576 with empathy in a relatively large population (N=1830) and also evaluated the association by a comprehensive meta-analysis (N=6631, 13 independent samples). The replication study indicated that OXTR rs53576 was indeed associated with individual differences in empathy. Individuals with a greater number of G alleles showed better empathic ability, particularly in fantasizing other’s feelings and actions. The meta-analysis not only confirmed this association, but also indicated that the impact of this polymorphism was significant in both Europeans and Asians. These findings provide convincing evidence for the impact of OXTR rs53576 on empathy, highlighting the importance of OXTR gene in individuals’ social cognition.","author":[{"dropping-particle":"","family":"Gong","given":"Pingyuan","non-dropping-particle":"","parse-names":false,"suffix":""},{"dropping-particle":"","family":"Fan","given":"Huiyong","non-dropping-particle":"","parse-names":false,"suffix":""},{"dropping-particle":"","family":"Liu","given":"Jinting","non-dropping-particle":"","parse-names":false,"suffix":""},{"dropping-particle":"","family":"Yang","given":"Xing","non-dropping-particle":"","parse-names":false,"suffix":""},{"dropping-particle":"","family":"Zhang","given":"Kejin","non-dropping-particle":"","parse-names":false,"suffix":""},{"dropping-particle":"","family":"Zhou","given":"Xiaolin","non-dropping-particle":"","parse-names":false,"suffix":""}],"container-title":"Psychoneuroendocrinology","id":"ITEM-1","issued":{"date-parts":[["2017","6","1"]]},"page":"131-136","publisher":"Pergamon","title":"Revisiting the impact of OXTR rs53576 on empathy: A population-based study and a meta-analysis","type":"article-journal","volume":"80"},"uris":["http://www.mendeley.com/documents/?uuid=e0de2b5e-7840-3a78-8cf2-0f15b68d0353"]}],"mendeley":{"formattedCitation":"(Gong et al., 2017)","plainTextFormattedCitation":"(Gong et al., 2017)","previouslyFormattedCitation":"(Gong et al., 2017)"},"properties":{"noteIndex":0},"schema":"https://github.com/citation-style-language/schema/raw/master/csl-citation.json"}</w:instrText>
      </w:r>
      <w:r w:rsidRPr="006C023E">
        <w:rPr>
          <w:rFonts w:ascii="Times New Roman" w:hAnsi="Times New Roman" w:cs="Times New Roman"/>
          <w:sz w:val="24"/>
          <w:szCs w:val="24"/>
        </w:rPr>
        <w:fldChar w:fldCharType="separate"/>
      </w:r>
      <w:r w:rsidRPr="006C023E">
        <w:rPr>
          <w:rFonts w:ascii="Times New Roman" w:hAnsi="Times New Roman" w:cs="Times New Roman"/>
          <w:noProof/>
          <w:sz w:val="24"/>
          <w:szCs w:val="24"/>
        </w:rPr>
        <w:t>(Gong et al., 2017)</w:t>
      </w:r>
      <w:r w:rsidRPr="006C023E">
        <w:rPr>
          <w:rFonts w:ascii="Times New Roman" w:hAnsi="Times New Roman" w:cs="Times New Roman"/>
          <w:sz w:val="24"/>
          <w:szCs w:val="24"/>
        </w:rPr>
        <w:fldChar w:fldCharType="end"/>
      </w:r>
      <w:r w:rsidRPr="006C023E">
        <w:rPr>
          <w:rFonts w:ascii="Times New Roman" w:hAnsi="Times New Roman" w:cs="Times New Roman"/>
          <w:sz w:val="24"/>
          <w:szCs w:val="24"/>
        </w:rPr>
        <w:t xml:space="preserve">. Neuro-scientific studies have shown that carrying the A-allele (versus the GG genotype) was associated to lower hypothalamus volume in facial emotion recognition tasks and an increase in the structural hypothalamus-amygdala coupling </w:t>
      </w:r>
      <w:r w:rsidRPr="006C023E">
        <w:rPr>
          <w:rFonts w:ascii="Times New Roman" w:hAnsi="Times New Roman" w:cs="Times New Roman"/>
          <w:sz w:val="24"/>
          <w:szCs w:val="24"/>
        </w:rPr>
        <w:fldChar w:fldCharType="begin" w:fldLock="1"/>
      </w:r>
      <w:r w:rsidRPr="006C023E">
        <w:rPr>
          <w:rFonts w:ascii="Times New Roman" w:hAnsi="Times New Roman" w:cs="Times New Roman"/>
          <w:sz w:val="24"/>
          <w:szCs w:val="24"/>
        </w:rPr>
        <w:instrText>ADDIN CSL_CITATION {"citationItems":[{"id":"ITEM-1","itemData":{"DOI":"10.1073/pnas.1003296107","ISSN":"1091-6490","PMID":"20647384","abstract":"The evolutionarily highly conserved neuropeptide oxytocin is a key mediator of social and emotional behavior in mammals, including humans. A common variant (rs53576) in the oxytocin receptor gene (OXTR) has been implicated in social-behavioral phenotypes, such as maternal sensitivity and empathy, and with neuropsychiatric disorders associated with social impairment, but the intermediate neural mechanisms are unknown. Here, we used multimodal neuroimaging in a large sample of healthy human subjects to identify structural and functional alterations in OXTR risk allele carriers and their link to temperament. Activation and interregional coupling of the amygdala during the processing of emotionally salient social cues was significantly affected by genotype. In addition, evidence for structural alterations in key oxytocinergic regions emerged, particularly in the hypothalamus. These neural characteristics predicted lower levels of reward dependence, specifically in male risk allele carriers. Our findings identify sex-dependent mechanisms impacting the structure and function of hypothalamic-limbic circuits that are of potential clinical and translational significance.","author":[{"dropping-particle":"","family":"Tost","given":"Heike","non-dropping-particle":"","parse-names":false,"suffix":""},{"dropping-particle":"","family":"Kolachana","given":"Bhaskar","non-dropping-particle":"","parse-names":false,"suffix":""},{"dropping-particle":"","family":"Hakimi","given":"Shabnam","non-dropping-particle":"","parse-names":false,"suffix":""},{"dropping-particle":"","family":"Lemaitre","given":"Herve","non-dropping-particle":"","parse-names":false,"suffix":""},{"dropping-particle":"","family":"Verchinski","given":"Beth A","non-dropping-particle":"","parse-names":false,"suffix":""},{"dropping-particle":"","family":"Mattay","given":"Venkata S","non-dropping-particle":"","parse-names":false,"suffix":""},{"dropping-particle":"","family":"Weinberger","given":"Daniel R","non-dropping-particle":"","parse-names":false,"suffix":""},{"dropping-particle":"","family":"Meyer-Lindenberg","given":"Andreas","non-dropping-particle":"","parse-names":false,"suffix":""}],"container-title":"Proceedings of the National Academy of Sciences of the United States of America","id":"ITEM-1","issue":"31","issued":{"date-parts":[["2010","8","3"]]},"page":"13936-41","publisher":"National Academy of Sciences","title":"A common allele in the oxytocin receptor gene (OXTR) impacts prosocial temperament and human hypothalamic-limbic structure and function.","type":"article-journal","volume":"107"},"uris":["http://www.mendeley.com/documents/?uuid=7ae61986-9475-3217-bc4c-0b1cc7d5dc15"]}],"mendeley":{"formattedCitation":"(Tost et al., 2010)","plainTextFormattedCitation":"(Tost et al., 2010)","previouslyFormattedCitation":"(Tost et al., 2010)"},"properties":{"noteIndex":0},"schema":"https://github.com/citation-style-language/schema/raw/master/csl-citation.json"}</w:instrText>
      </w:r>
      <w:r w:rsidRPr="006C023E">
        <w:rPr>
          <w:rFonts w:ascii="Times New Roman" w:hAnsi="Times New Roman" w:cs="Times New Roman"/>
          <w:sz w:val="24"/>
          <w:szCs w:val="24"/>
        </w:rPr>
        <w:fldChar w:fldCharType="separate"/>
      </w:r>
      <w:r w:rsidRPr="006C023E">
        <w:rPr>
          <w:rFonts w:ascii="Times New Roman" w:hAnsi="Times New Roman" w:cs="Times New Roman"/>
          <w:noProof/>
          <w:sz w:val="24"/>
          <w:szCs w:val="24"/>
        </w:rPr>
        <w:t>(Tost et al., 2010)</w:t>
      </w:r>
      <w:r w:rsidRPr="006C023E">
        <w:rPr>
          <w:rFonts w:ascii="Times New Roman" w:hAnsi="Times New Roman" w:cs="Times New Roman"/>
          <w:sz w:val="24"/>
          <w:szCs w:val="24"/>
        </w:rPr>
        <w:fldChar w:fldCharType="end"/>
      </w:r>
      <w:r w:rsidRPr="006C023E">
        <w:rPr>
          <w:rFonts w:ascii="Times New Roman" w:hAnsi="Times New Roman" w:cs="Times New Roman"/>
          <w:sz w:val="24"/>
          <w:szCs w:val="24"/>
        </w:rPr>
        <w:t xml:space="preserve">. Another OXTR variant that was associated with individual differences in oxytocin release is rs2254298 in a way that GG homozygotes had lower plasma oxytocin levels compared to A-allele carriers </w:t>
      </w:r>
      <w:r w:rsidRPr="006C023E">
        <w:rPr>
          <w:rFonts w:ascii="Times New Roman" w:hAnsi="Times New Roman" w:cs="Times New Roman"/>
          <w:sz w:val="24"/>
          <w:szCs w:val="24"/>
        </w:rPr>
        <w:fldChar w:fldCharType="begin" w:fldLock="1"/>
      </w:r>
      <w:r w:rsidRPr="006C023E">
        <w:rPr>
          <w:rFonts w:ascii="Times New Roman" w:hAnsi="Times New Roman" w:cs="Times New Roman"/>
          <w:sz w:val="24"/>
          <w:szCs w:val="24"/>
        </w:rPr>
        <w:instrText>ADDIN CSL_CITATION {"citationItems":[{"id":"ITEM-1","itemData":{"DOI":"10.1016/J.BIOPSYCH.2011.12.025","ISSN":"0006-3223","abstract":"BACKGROUND Research in mammals has demonstrated the involvement of oxytocin (OT) in social bond formation; yet, its role in human bonding remains unclear. Plasma OT has been used as a proxy for central activity and studies indicate its association with human affiliative behaviors. Molecular genetic studies also reveal a role for OT neuropathways in shaping the social brain. However, the links between peripheral OT, genetic markers, and their combined contribution to human parenting are unknown. METHODS Participants included 352 individuals: 272 mothers and fathers and their 4- to 6-month-old-infants and 80 nonparents. Plasma OT was assayed from adults who were genotyped for oxytocin receptor (OXTR) and CD38 risk alleles associated with social dysfunctions. CD38 is an ectoenzyme that mediates the release of brain OT. Parent-infant interactions were microcoded for parental touch and gaze synchrony and participants reported on parental care in childhood. RESULTS OXTR (rs2254298 and rs1042778) and CD38 (rs3796863) risk alleles were each associated with lower plasma OT. Reduced plasma OT and both OXTR and CD38 risk alleles were related to less parental touch. The interaction of high plasma OT and low-risk CD38 alleles predicted longer durations of parent-infant gaze synchrony. Parents reporting greater parental care showed higher plasma OT, low-risk CD38 alleles, and more touch toward their infants. CONCLUSIONS Results indicate that peripheral and genetic markers of the extended OT pathway are interrelated and underpin core behaviors associated with human parenting and social engagement. These findings may have important implications for understanding neuropsychiatric disorders marked by early social dysfunctions.","author":[{"dropping-particle":"","family":"Feldman","given":"Ruth","non-dropping-particle":"","parse-names":false,"suffix":""},{"dropping-particle":"","family":"Zagoory-Sharon","given":"Orna","non-dropping-particle":"","parse-names":false,"suffix":""},{"dropping-particle":"","family":"Weisman","given":"Omri","non-dropping-particle":"","parse-names":false,"suffix":""},{"dropping-particle":"","family":"Schneiderman","given":"Inna","non-dropping-particle":"","parse-names":false,"suffix":""},{"dropping-particle":"","family":"Gordon","given":"Ilanit","non-dropping-particle":"","parse-names":false,"suffix":""},{"dropping-particle":"","family":"Maoz","given":"Rina","non-dropping-particle":"","parse-names":false,"suffix":""},{"dropping-particle":"","family":"Shalev","given":"Idan","non-dropping-particle":"","parse-names":false,"suffix":""},{"dropping-particle":"","family":"Ebstein","given":"Richard P.","non-dropping-particle":"","parse-names":false,"suffix":""}],"container-title":"Biological Psychiatry","id":"ITEM-1","issue":"3","issued":{"date-parts":[["2012","8","1"]]},"page":"175-181","publisher":"Elsevier","title":"Sensitive parenting is associated with plasma oxytocin and polymorphisms in the OXTR and CD38 genes","type":"article-journal","volume":"72"},"uris":["http://www.mendeley.com/documents/?uuid=b56a4666-f4b3-33db-864d-5dc991b288e2"]}],"mendeley":{"formattedCitation":"(Feldman et al., 2012)","plainTextFormattedCitation":"(Feldman et al., 2012)","previouslyFormattedCitation":"(Feldman et al., 2012)"},"properties":{"noteIndex":0},"schema":"https://github.com/citation-style-language/schema/raw/master/csl-citation.json"}</w:instrText>
      </w:r>
      <w:r w:rsidRPr="006C023E">
        <w:rPr>
          <w:rFonts w:ascii="Times New Roman" w:hAnsi="Times New Roman" w:cs="Times New Roman"/>
          <w:sz w:val="24"/>
          <w:szCs w:val="24"/>
        </w:rPr>
        <w:fldChar w:fldCharType="separate"/>
      </w:r>
      <w:r w:rsidRPr="006C023E">
        <w:rPr>
          <w:rFonts w:ascii="Times New Roman" w:hAnsi="Times New Roman" w:cs="Times New Roman"/>
          <w:noProof/>
          <w:sz w:val="24"/>
          <w:szCs w:val="24"/>
        </w:rPr>
        <w:t>(Feldman et al., 2012)</w:t>
      </w:r>
      <w:r w:rsidRPr="006C023E">
        <w:rPr>
          <w:rFonts w:ascii="Times New Roman" w:hAnsi="Times New Roman" w:cs="Times New Roman"/>
          <w:sz w:val="24"/>
          <w:szCs w:val="24"/>
        </w:rPr>
        <w:fldChar w:fldCharType="end"/>
      </w:r>
      <w:r w:rsidRPr="006C023E">
        <w:rPr>
          <w:rFonts w:ascii="Times New Roman" w:hAnsi="Times New Roman" w:cs="Times New Roman"/>
          <w:sz w:val="24"/>
          <w:szCs w:val="24"/>
        </w:rPr>
        <w:t xml:space="preserve">. And allelic variation in this SNP broadly associates with </w:t>
      </w:r>
      <w:r w:rsidRPr="006C023E">
        <w:rPr>
          <w:rStyle w:val="captions"/>
          <w:rFonts w:ascii="Times New Roman" w:hAnsi="Times New Roman" w:cs="Times New Roman"/>
          <w:sz w:val="24"/>
          <w:szCs w:val="24"/>
        </w:rPr>
        <w:t xml:space="preserve">structural and functional changes in </w:t>
      </w:r>
      <w:r w:rsidRPr="006C023E">
        <w:rPr>
          <w:rFonts w:ascii="Times New Roman" w:hAnsi="Times New Roman" w:cs="Times New Roman"/>
          <w:sz w:val="24"/>
          <w:szCs w:val="24"/>
        </w:rPr>
        <w:t xml:space="preserve">oxytocinergic brain regions </w:t>
      </w:r>
      <w:r w:rsidRPr="006C023E">
        <w:rPr>
          <w:rFonts w:ascii="Times New Roman" w:hAnsi="Times New Roman" w:cs="Times New Roman"/>
          <w:sz w:val="24"/>
          <w:szCs w:val="24"/>
        </w:rPr>
        <w:fldChar w:fldCharType="begin" w:fldLock="1"/>
      </w:r>
      <w:r w:rsidRPr="006C023E">
        <w:rPr>
          <w:rFonts w:ascii="Times New Roman" w:hAnsi="Times New Roman" w:cs="Times New Roman"/>
          <w:sz w:val="24"/>
          <w:szCs w:val="24"/>
        </w:rPr>
        <w:instrText>ADDIN CSL_CITATION {"citationItems":[{"id":"ITEM-1","itemData":{"DOI":"10.1016/J.BIOPSYCH.2010.07.019","ISSN":"0006-3223","abstract":"BACKGROUND Recent studies have suggested that oxytocin affects social cognition and behavior mediated by the oxytocin receptor (OXTR) in amygdala in humans as well as in experimental animals. Genetic studies have revealed a link between the OXTR gene and the susceptibility to autism spectrum disorders (ASD), especially in the social dysfunctional feature of ASD. METHODS We examined the relationship between amygdala volume measured with manual tracing methodology and seven single nucleotide polymorphisms and one haplotype-block in OXTR, which were previously reported to be associated with ASD, in 208 socially intact Japanese adults with no neuropsychiatric history or current diagnosis. RESULTS The rs2254298A allele of OXTR was significantly associated with larger bilateral amygdala volume. The rs2254298A allele effect on amygdala volume varied in proportion to the dose of this allele. The larger the number of rs2254298A alleles an individual had, the larger their amygdala volume. Such an association was not observed with hippocampal volume or with global brain volumes, including whole gray, white matter, and cerebrospinal-fluid space. Furthermore, two three–single nucleotide polymorphism haplotypes, including rs2254298G allele, showed significant associations with the smaller bilateral amygdala volume. CONCLUSIONS The present results suggest that OXTR might be associated with the susceptibility to ASD, especially in its aspects of social interaction and communication mediated by a modulation of amygdala development, one of the most distributed brain regions with high density of OXTR. Furthermore, amygdala volume measured with magnetic resonance imaging could be a useful intermediate phenotype to uncover the complex link between OXTR and social dysfunction in ASD.","author":[{"dropping-particle":"","family":"Inoue","given":"Hideyuki","non-dropping-particle":"","parse-names":false,"suffix":""},{"dropping-particle":"","family":"Yamasue","given":"Hidenori","non-dropping-particle":"","parse-names":false,"suffix":""},{"dropping-particle":"","family":"Tochigi","given":"Mamoru","non-dropping-particle":"","parse-names":false,"suffix":""},{"dropping-particle":"","family":"Abe","given":"Osamu","non-dropping-particle":"","parse-names":false,"suffix":""},{"dropping-particle":"","family":"Liu","given":"Xiaoxi","non-dropping-particle":"","parse-names":false,"suffix":""},{"dropping-particle":"","family":"Kawamura","given":"Yoshiya","non-dropping-particle":"","parse-names":false,"suffix":""},{"dropping-particle":"","family":"Takei","given":"Kunio","non-dropping-particle":"","parse-names":false,"suffix":""},{"dropping-particle":"","family":"Suga","given":"Motomu","non-dropping-particle":"","parse-names":false,"suffix":""},{"dropping-particle":"","family":"Yamada","given":"Haruyasu","non-dropping-particle":"","parse-names":false,"suffix":""},{"dropping-particle":"","family":"Rogers","given":"Mark A.","non-dropping-particle":"","parse-names":false,"suffix":""},{"dropping-particle":"","family":"Aoki","given":"Shigeki","non-dropping-particle":"","parse-names":false,"suffix":""},{"dropping-particle":"","family":"Sasaki","given":"Tsukasa","non-dropping-particle":"","parse-names":false,"suffix":""},{"dropping-particle":"","family":"Kasai","given":"Kiyoto","non-dropping-particle":"","parse-names":false,"suffix":""}],"container-title":"Biological Psychiatry","id":"ITEM-1","issue":"11","issued":{"date-parts":[["2010","12","1"]]},"page":"1066-1072","publisher":"Elsevier","title":"Association between the oxytocin receptor gene and amygdalar volume in healthy adults","type":"article-journal","volume":"68"},"uris":["http://www.mendeley.com/documents/?uuid=58c45a32-2a46-3f69-912c-002d1f01635d"]},{"id":"ITEM-2","itemData":{"DOI":"10.1016/J.BIOPSYCH.2011.06.034","ISSN":"0006-3223","author":[{"dropping-particle":"","family":"Tost","given":"Heike","non-dropping-particle":"","parse-names":false,"suffix":""},{"dropping-particle":"","family":"Kolachana","given":"Bhaskar","non-dropping-particle":"","parse-names":false,"suffix":""},{"dropping-particle":"","family":"Verchinski","given":"Beth A.","non-dropping-particle":"","parse-names":false,"suffix":""},{"dropping-particle":"","family":"Bilek","given":"Edda","non-dropping-particle":"","parse-names":false,"suffix":""},{"dropping-particle":"","family":"Goldman","given":"Aaron L.","non-dropping-particle":"","parse-names":false,"suffix":""},{"dropping-particle":"","family":"Mattay","given":"Venkata S.","non-dropping-particle":"","parse-names":false,"suffix":""},{"dropping-particle":"","family":"Weinberger","given":"Daniel R.","non-dropping-particle":"","parse-names":false,"suffix":""},{"dropping-particle":"","family":"Meyer-Lindenberg","given":"Andreas","non-dropping-particle":"","parse-names":false,"suffix":""}],"container-title":"Biological Psychiatry","id":"ITEM-2","issue":"9","issued":{"date-parts":[["2011","11","1"]]},"page":"e37-e39","publisher":"Elsevier","title":"Neurogenetic effects of OXTR rs2254298 in the extended limbic system of healthy Caucasian adults","type":"article-journal","volume":"70"},"uris":["http://www.mendeley.com/documents/?uuid=8681adec-c61d-3ad7-8065-b053cba0480b"]},{"id":"ITEM-3","itemData":{"DOI":"10.1016/j.psyneuen.2010.12.004","PMID":"21208749","abstract":"The oxytocin system plays a significant role in modulating stress responses in animals and humans; perturbations in this system may contribute to the pathogenesis of psychiatric disorder. Attempts to identify clinically relevant genetic variants in the oxytocin system have yielded associations between polymorphisms of the oxytocin receptor (OXTR) gene and both autism and major depression. To date, however, little is known about how such variants affect brain structures implicated in these disorders. Applying a manual tracing procedure to high-resolution structural magnetic resonance images, amygdala volumes were measured in 51 girls genotyped on OXTR rs2254298(G&gt;A), a single nucleotide polymorphism associated with psychopathology. Results of this study indicate that despite having greater gray matter volume, participants homozygous for the G allele were characterized by smaller volumes of both left and right amygdala than were carriers of the A allele. A subsequent whole-brain voxel-based morphometry analysis revealed additional genotype-mediated volumetric group differences in the posterior brain stem and dorsomedial anterior cingulate cortex. These findings highlight one neurobiological pathway by which oxytocin gene variants may increase risk for psychopathology. Further research is needed to characterize the mechanism by which this polymorphism contributes to anatomical variability and to identify functional correlates of these alterations in regional brain volume.","author":[{"dropping-particle":"","family":"Furman","given":"Daniella J.","non-dropping-particle":"","parse-names":false,"suffix":""},{"dropping-particle":"","family":"Chen","given":"Michael C.","non-dropping-particle":"","parse-names":false,"suffix":""},{"dropping-particle":"","family":"Gotlib","given":"Ian H.","non-dropping-particle":"","parse-names":false,"suffix":""}],"container-title":"Psychoneuroendocrinology","id":"ITEM-3","issue":"6","issued":{"date-parts":[["2011","7","1"]]},"page":"891-897","publisher":"Pergamon","title":"Variant in oxytocin receptor gene is associated with amygdala volume","type":"article-journal","volume":"36"},"uris":["http://www.mendeley.com/documents/?uuid=44180099-d99b-417a-b231-6ada5f12b290"]}],"mendeley":{"formattedCitation":"(Furman, Chen, &amp; Gotlib, 2011; Inoue et al., 2010; Tost et al., 2011)","plainTextFormattedCitation":"(Furman, Chen, &amp; Gotlib, 2011; Inoue et al., 2010; Tost et al., 2011)","previouslyFormattedCitation":"(Furman, Chen, &amp; Gotlib, 2011; Inoue et al., 2010; Tost et al., 2011)"},"properties":{"noteIndex":0},"schema":"https://github.com/citation-style-language/schema/raw/master/csl-citation.json"}</w:instrText>
      </w:r>
      <w:r w:rsidRPr="006C023E">
        <w:rPr>
          <w:rFonts w:ascii="Times New Roman" w:hAnsi="Times New Roman" w:cs="Times New Roman"/>
          <w:sz w:val="24"/>
          <w:szCs w:val="24"/>
        </w:rPr>
        <w:fldChar w:fldCharType="separate"/>
      </w:r>
      <w:r w:rsidRPr="006C023E">
        <w:rPr>
          <w:rFonts w:ascii="Times New Roman" w:hAnsi="Times New Roman" w:cs="Times New Roman"/>
          <w:noProof/>
          <w:sz w:val="24"/>
          <w:szCs w:val="24"/>
        </w:rPr>
        <w:t>(Furman, Chen, &amp; Gotlib, 2011; Inoue et al., 2010; Tost et al., 2011)</w:t>
      </w:r>
      <w:r w:rsidRPr="006C023E">
        <w:rPr>
          <w:rFonts w:ascii="Times New Roman" w:hAnsi="Times New Roman" w:cs="Times New Roman"/>
          <w:sz w:val="24"/>
          <w:szCs w:val="24"/>
        </w:rPr>
        <w:fldChar w:fldCharType="end"/>
      </w:r>
      <w:r w:rsidRPr="006C023E">
        <w:rPr>
          <w:rFonts w:ascii="Times New Roman" w:hAnsi="Times New Roman" w:cs="Times New Roman"/>
          <w:sz w:val="24"/>
          <w:szCs w:val="24"/>
        </w:rPr>
        <w:t>. As part of a genic profile</w:t>
      </w:r>
      <w:r w:rsidR="00196046" w:rsidRPr="006C023E">
        <w:rPr>
          <w:rFonts w:ascii="Times New Roman" w:hAnsi="Times New Roman" w:cs="Times New Roman"/>
          <w:sz w:val="24"/>
          <w:szCs w:val="24"/>
        </w:rPr>
        <w:t>,</w:t>
      </w:r>
      <w:r w:rsidRPr="006C023E">
        <w:rPr>
          <w:rFonts w:ascii="Times New Roman" w:hAnsi="Times New Roman" w:cs="Times New Roman"/>
          <w:sz w:val="24"/>
          <w:szCs w:val="24"/>
        </w:rPr>
        <w:t xml:space="preserve"> OXTR rs2254298 predicted communicative </w:t>
      </w:r>
      <w:r w:rsidRPr="006C023E">
        <w:rPr>
          <w:rFonts w:ascii="Times New Roman" w:hAnsi="Times New Roman" w:cs="Times New Roman"/>
          <w:sz w:val="24"/>
          <w:szCs w:val="24"/>
        </w:rPr>
        <w:lastRenderedPageBreak/>
        <w:t xml:space="preserve">empathy </w:t>
      </w:r>
      <w:r w:rsidRPr="006C023E">
        <w:rPr>
          <w:rFonts w:ascii="Times New Roman" w:hAnsi="Times New Roman" w:cs="Times New Roman"/>
          <w:sz w:val="24"/>
          <w:szCs w:val="24"/>
        </w:rPr>
        <w:fldChar w:fldCharType="begin" w:fldLock="1"/>
      </w:r>
      <w:r w:rsidRPr="006C023E">
        <w:rPr>
          <w:rFonts w:ascii="Times New Roman" w:hAnsi="Times New Roman" w:cs="Times New Roman"/>
          <w:sz w:val="24"/>
          <w:szCs w:val="24"/>
        </w:rPr>
        <w:instrText>ADDIN CSL_CITATION {"citationItems":[{"id":"ITEM-1","itemData":{"DOI":"10.1093/scan/nst142","ISSN":"1749-5016","author":[{"dropping-particle":"","family":"Schneiderman","given":"Inna","non-dropping-particle":"","parse-names":false,"suffix":""},{"dropping-particle":"","family":"Kanat-Maymon","given":"Yaniv","non-dropping-particle":"","parse-names":false,"suffix":""},{"dropping-particle":"","family":"Ebstein","given":"Richard P.","non-dropping-particle":"","parse-names":false,"suffix":""},{"dropping-particle":"","family":"Feldman","given":"Ruth","non-dropping-particle":"","parse-names":false,"suffix":""}],"container-title":"Social Cognitive and Affective Neuroscience","id":"ITEM-1","issue":"10","issued":{"date-parts":[["2014","10","1"]]},"page":"1524-1529","publisher":"Narnia","title":"Cumulative risk on the oxytocin receptor gene ( &lt;i&gt;OXTR&lt;/i&gt; ) underpins empathic communication difficulties at the first stages of romantic love","type":"article-journal","volume":"9"},"uris":["http://www.mendeley.com/documents/?uuid=bce1f4a8-a6f4-3d68-8cf3-1f2ba68d6f54"]}],"mendeley":{"formattedCitation":"(Schneiderman, Kanat-Maymon, Ebstein, &amp; Feldman, 2014)","plainTextFormattedCitation":"(Schneiderman, Kanat-Maymon, Ebstein, &amp; Feldman, 2014)","previouslyFormattedCitation":"(Schneiderman, Kanat-Maymon, Ebstein, &amp; Feldman, 2014)"},"properties":{"noteIndex":0},"schema":"https://github.com/citation-style-language/schema/raw/master/csl-citation.json"}</w:instrText>
      </w:r>
      <w:r w:rsidRPr="006C023E">
        <w:rPr>
          <w:rFonts w:ascii="Times New Roman" w:hAnsi="Times New Roman" w:cs="Times New Roman"/>
          <w:sz w:val="24"/>
          <w:szCs w:val="24"/>
        </w:rPr>
        <w:fldChar w:fldCharType="separate"/>
      </w:r>
      <w:r w:rsidRPr="006C023E">
        <w:rPr>
          <w:rFonts w:ascii="Times New Roman" w:hAnsi="Times New Roman" w:cs="Times New Roman"/>
          <w:noProof/>
          <w:sz w:val="24"/>
          <w:szCs w:val="24"/>
        </w:rPr>
        <w:t>(Schneiderman, Kanat-Maymon, Ebstein, &amp; Feldman, 2014)</w:t>
      </w:r>
      <w:r w:rsidRPr="006C023E">
        <w:rPr>
          <w:rFonts w:ascii="Times New Roman" w:hAnsi="Times New Roman" w:cs="Times New Roman"/>
          <w:sz w:val="24"/>
          <w:szCs w:val="24"/>
        </w:rPr>
        <w:fldChar w:fldCharType="end"/>
      </w:r>
      <w:r w:rsidRPr="006C023E">
        <w:rPr>
          <w:rFonts w:ascii="Times New Roman" w:hAnsi="Times New Roman" w:cs="Times New Roman"/>
          <w:sz w:val="24"/>
          <w:szCs w:val="24"/>
        </w:rPr>
        <w:t xml:space="preserve"> and parental sensitivity </w:t>
      </w:r>
      <w:r w:rsidRPr="006C023E">
        <w:rPr>
          <w:rFonts w:ascii="Times New Roman" w:hAnsi="Times New Roman" w:cs="Times New Roman"/>
          <w:sz w:val="24"/>
          <w:szCs w:val="24"/>
        </w:rPr>
        <w:fldChar w:fldCharType="begin" w:fldLock="1"/>
      </w:r>
      <w:r w:rsidRPr="006C023E">
        <w:rPr>
          <w:rFonts w:ascii="Times New Roman" w:hAnsi="Times New Roman" w:cs="Times New Roman"/>
          <w:sz w:val="24"/>
          <w:szCs w:val="24"/>
        </w:rPr>
        <w:instrText>ADDIN CSL_CITATION {"citationItems":[{"id":"ITEM-1","itemData":{"DOI":"10.1016/J.BIOPSYCH.2011.12.025","ISSN":"0006-3223","abstract":"BACKGROUND Research in mammals has demonstrated the involvement of oxytocin (OT) in social bond formation; yet, its role in human bonding remains unclear. Plasma OT has been used as a proxy for central activity and studies indicate its association with human affiliative behaviors. Molecular genetic studies also reveal a role for OT neuropathways in shaping the social brain. However, the links between peripheral OT, genetic markers, and their combined contribution to human parenting are unknown. METHODS Participants included 352 individuals: 272 mothers and fathers and their 4- to 6-month-old-infants and 80 nonparents. Plasma OT was assayed from adults who were genotyped for oxytocin receptor (OXTR) and CD38 risk alleles associated with social dysfunctions. CD38 is an ectoenzyme that mediates the release of brain OT. Parent-infant interactions were microcoded for parental touch and gaze synchrony and participants reported on parental care in childhood. RESULTS OXTR (rs2254298 and rs1042778) and CD38 (rs3796863) risk alleles were each associated with lower plasma OT. Reduced plasma OT and both OXTR and CD38 risk alleles were related to less parental touch. The interaction of high plasma OT and low-risk CD38 alleles predicted longer durations of parent-infant gaze synchrony. Parents reporting greater parental care showed higher plasma OT, low-risk CD38 alleles, and more touch toward their infants. CONCLUSIONS Results indicate that peripheral and genetic markers of the extended OT pathway are interrelated and underpin core behaviors associated with human parenting and social engagement. These findings may have important implications for understanding neuropsychiatric disorders marked by early social dysfunctions.","author":[{"dropping-particle":"","family":"Feldman","given":"Ruth","non-dropping-particle":"","parse-names":false,"suffix":""},{"dropping-particle":"","family":"Zagoory-Sharon","given":"Orna","non-dropping-particle":"","parse-names":false,"suffix":""},{"dropping-particle":"","family":"Weisman","given":"Omri","non-dropping-particle":"","parse-names":false,"suffix":""},{"dropping-particle":"","family":"Schneiderman","given":"Inna","non-dropping-particle":"","parse-names":false,"suffix":""},{"dropping-particle":"","family":"Gordon","given":"Ilanit","non-dropping-particle":"","parse-names":false,"suffix":""},{"dropping-particle":"","family":"Maoz","given":"Rina","non-dropping-particle":"","parse-names":false,"suffix":""},{"dropping-particle":"","family":"Shalev","given":"Idan","non-dropping-particle":"","parse-names":false,"suffix":""},{"dropping-particle":"","family":"Ebstein","given":"Richard P.","non-dropping-particle":"","parse-names":false,"suffix":""}],"container-title":"Biological Psychiatry","id":"ITEM-1","issue":"3","issued":{"date-parts":[["2012","8","1"]]},"page":"175-181","publisher":"Elsevier","title":"Sensitive parenting is associated with plasma oxytocin and polymorphisms in the OXTR and CD38 genes","type":"article-journal","volume":"72"},"uris":["http://www.mendeley.com/documents/?uuid=b56a4666-f4b3-33db-864d-5dc991b288e2"]}],"mendeley":{"formattedCitation":"(Feldman et al., 2012)","plainTextFormattedCitation":"(Feldman et al., 2012)","previouslyFormattedCitation":"(Feldman et al., 2012)"},"properties":{"noteIndex":0},"schema":"https://github.com/citation-style-language/schema/raw/master/csl-citation.json"}</w:instrText>
      </w:r>
      <w:r w:rsidRPr="006C023E">
        <w:rPr>
          <w:rFonts w:ascii="Times New Roman" w:hAnsi="Times New Roman" w:cs="Times New Roman"/>
          <w:sz w:val="24"/>
          <w:szCs w:val="24"/>
        </w:rPr>
        <w:fldChar w:fldCharType="separate"/>
      </w:r>
      <w:r w:rsidRPr="006C023E">
        <w:rPr>
          <w:rFonts w:ascii="Times New Roman" w:hAnsi="Times New Roman" w:cs="Times New Roman"/>
          <w:noProof/>
          <w:sz w:val="24"/>
          <w:szCs w:val="24"/>
        </w:rPr>
        <w:t>(Feldman et al., 2012)</w:t>
      </w:r>
      <w:r w:rsidRPr="006C023E">
        <w:rPr>
          <w:rFonts w:ascii="Times New Roman" w:hAnsi="Times New Roman" w:cs="Times New Roman"/>
          <w:sz w:val="24"/>
          <w:szCs w:val="24"/>
        </w:rPr>
        <w:fldChar w:fldCharType="end"/>
      </w:r>
      <w:r w:rsidRPr="006C023E">
        <w:rPr>
          <w:rFonts w:ascii="Times New Roman" w:hAnsi="Times New Roman" w:cs="Times New Roman"/>
          <w:sz w:val="24"/>
          <w:szCs w:val="24"/>
        </w:rPr>
        <w:t xml:space="preserve">. </w:t>
      </w:r>
    </w:p>
    <w:p w14:paraId="02F31F6D" w14:textId="6232159C" w:rsidR="00E63DF9" w:rsidRPr="006C023E" w:rsidRDefault="00E63DF9" w:rsidP="008D10BD">
      <w:pPr>
        <w:spacing w:line="480" w:lineRule="auto"/>
        <w:rPr>
          <w:rFonts w:ascii="Times New Roman" w:hAnsi="Times New Roman" w:cs="Times New Roman"/>
          <w:sz w:val="24"/>
          <w:szCs w:val="24"/>
        </w:rPr>
      </w:pPr>
      <w:r w:rsidRPr="006C023E">
        <w:rPr>
          <w:rFonts w:ascii="Times New Roman" w:hAnsi="Times New Roman" w:cs="Times New Roman"/>
          <w:sz w:val="24"/>
          <w:szCs w:val="24"/>
        </w:rPr>
        <w:t>Allelic variation CD38 rs6449182 has not yet been examined in relation to compassion</w:t>
      </w:r>
      <w:r w:rsidR="00196046" w:rsidRPr="006C023E">
        <w:rPr>
          <w:rFonts w:ascii="Times New Roman" w:hAnsi="Times New Roman" w:cs="Times New Roman"/>
          <w:sz w:val="24"/>
          <w:szCs w:val="24"/>
        </w:rPr>
        <w:t>-</w:t>
      </w:r>
      <w:r w:rsidRPr="006C023E">
        <w:rPr>
          <w:rFonts w:ascii="Times New Roman" w:hAnsi="Times New Roman" w:cs="Times New Roman"/>
          <w:sz w:val="24"/>
          <w:szCs w:val="24"/>
        </w:rPr>
        <w:t xml:space="preserve">related phenotypes but carrying the G-allele was associated with a significantly reduced expression of CD38 </w:t>
      </w:r>
      <w:r w:rsidRPr="006C023E">
        <w:rPr>
          <w:rFonts w:ascii="Times New Roman" w:hAnsi="Times New Roman" w:cs="Times New Roman"/>
          <w:sz w:val="24"/>
          <w:szCs w:val="24"/>
        </w:rPr>
        <w:fldChar w:fldCharType="begin" w:fldLock="1"/>
      </w:r>
      <w:r w:rsidRPr="006C023E">
        <w:rPr>
          <w:rFonts w:ascii="Times New Roman" w:hAnsi="Times New Roman" w:cs="Times New Roman"/>
          <w:sz w:val="24"/>
          <w:szCs w:val="24"/>
        </w:rPr>
        <w:instrText>ADDIN CSL_CITATION {"citationItems":[{"id":"ITEM-1","itemData":{"DOI":"10.2119/molmed.2011.00080","ISSN":"1076-1551","abstract":"Deficits In social behavior In mice lacking the CD38 gene have been attributed to Impaired secretion of oxytocin. In humans, similar deficits in social behavior are associated with autistic spectrum disorder (ASD), for which genetic variants of CD38 have been pinpointed as provisional risk factors. We sought to explore, in an in vitro model, the feasibility of the theory that restoring the level of CD38 in ASD patients could be of potential clinical benefit. CD38 transcription is highly sensitive to several cytokines and vitamins. One of these, all-trans retinoic acid (ATRA), a known inducer of CD38, was added during cell culture and tested on a large sample of N = 120 lymphoblastoid cell (LBC) lines from ASD patients and their parents. Analysis of CD38 mRNA levels shows that ATRA has an upmodulatory potential on LBC derived from ASD patients as well as from their parents. The next crucial issue addressed in our study was the relationship between levels of CD38 expression and psychological parameters. The results obtained indicate a positive correlation between CD38 expression levels and patient scores on the Vineland Adaptive Behavior Scale. In addition, analysis of the role of genetic polymorphisms in the dynamics of the molecule revealed that the genotype of a single-nucleotide polymorphism (rs6449182; C&gt;G variation) in the CpG island of intron 1, harboring the retinoic-acid response element, exerts differential roles in CD38 expression in ASD and in parental LBC. In conclusion, our results provide an empirical basis for the development of a pharmacological ASD treatment strategy based on retinoids.","author":[{"dropping-particle":"","family":"Riebold","given":"Mathias","non-dropping-particle":"","parse-names":false,"suffix":""},{"dropping-particle":"","family":"Mankuta","given":"David","non-dropping-particle":"","parse-names":false,"suffix":""},{"dropping-particle":"","family":"Lerer","given":"Elad","non-dropping-particle":"","parse-names":false,"suffix":""},{"dropping-particle":"","family":"Israel","given":"Salomon","non-dropping-particle":"","parse-names":false,"suffix":""},{"dropping-particle":"","family":"Zhong","given":"Songfa","non-dropping-particle":"","parse-names":false,"suffix":""},{"dropping-particle":"","family":"Nemanov","given":"Luba","non-dropping-particle":"","parse-names":false,"suffix":""},{"dropping-particle":"V","family":"Monakhov","given":"Mikhail","non-dropping-particle":"","parse-names":false,"suffix":""},{"dropping-particle":"","family":"Levi","given":"Shlomit","non-dropping-particle":"","parse-names":false,"suffix":""},{"dropping-particle":"","family":"Yirmiya","given":"Nurit","non-dropping-particle":"","parse-names":false,"suffix":""},{"dropping-particle":"","family":"Yaari","given":"Maya","non-dropping-particle":"","parse-names":false,"suffix":""},{"dropping-particle":"","family":"Malavasi","given":"Fabio","non-dropping-particle":"","parse-names":false,"suffix":""},{"dropping-particle":"","family":"Ebstein","given":"Richard P","non-dropping-particle":"","parse-names":false,"suffix":""}],"container-title":"Molecular Medicine","id":"ITEM-1","issue":"7-8","issued":{"date-parts":[["2011","7","25"]]},"page":"799-806","publisher":"BioMed Central","title":"All-trans retinoic acid upregulates reduced CD38 transcription in lymphoblastoid cell lines from autism spectrum disorder","type":"article-journal","volume":"17"},"uris":["http://www.mendeley.com/documents/?uuid=ad01e269-e79d-3b2a-92e3-5e7907ad10b6"]}],"mendeley":{"formattedCitation":"(Riebold et al., 2011)","plainTextFormattedCitation":"(Riebold et al., 2011)","previouslyFormattedCitation":"(Riebold et al., 2011)"},"properties":{"noteIndex":0},"schema":"https://github.com/citation-style-language/schema/raw/master/csl-citation.json"}</w:instrText>
      </w:r>
      <w:r w:rsidRPr="006C023E">
        <w:rPr>
          <w:rFonts w:ascii="Times New Roman" w:hAnsi="Times New Roman" w:cs="Times New Roman"/>
          <w:sz w:val="24"/>
          <w:szCs w:val="24"/>
        </w:rPr>
        <w:fldChar w:fldCharType="separate"/>
      </w:r>
      <w:r w:rsidRPr="006C023E">
        <w:rPr>
          <w:rFonts w:ascii="Times New Roman" w:hAnsi="Times New Roman" w:cs="Times New Roman"/>
          <w:noProof/>
          <w:sz w:val="24"/>
          <w:szCs w:val="24"/>
        </w:rPr>
        <w:t>(Riebold et al., 2011)</w:t>
      </w:r>
      <w:r w:rsidRPr="006C023E">
        <w:rPr>
          <w:rFonts w:ascii="Times New Roman" w:hAnsi="Times New Roman" w:cs="Times New Roman"/>
          <w:sz w:val="24"/>
          <w:szCs w:val="24"/>
        </w:rPr>
        <w:fldChar w:fldCharType="end"/>
      </w:r>
      <w:r w:rsidRPr="006C023E">
        <w:rPr>
          <w:rFonts w:ascii="Times New Roman" w:hAnsi="Times New Roman" w:cs="Times New Roman"/>
          <w:sz w:val="24"/>
          <w:szCs w:val="24"/>
        </w:rPr>
        <w:t xml:space="preserve">. The T-allele of CD38 variant rs12644506 (C to T) was further associated with less social connectedness </w:t>
      </w:r>
      <w:r w:rsidRPr="006C023E">
        <w:rPr>
          <w:rFonts w:ascii="Times New Roman" w:hAnsi="Times New Roman" w:cs="Times New Roman"/>
          <w:sz w:val="24"/>
          <w:szCs w:val="24"/>
        </w:rPr>
        <w:fldChar w:fldCharType="begin" w:fldLock="1"/>
      </w:r>
      <w:r w:rsidRPr="006C023E">
        <w:rPr>
          <w:rFonts w:ascii="Times New Roman" w:hAnsi="Times New Roman" w:cs="Times New Roman"/>
          <w:sz w:val="24"/>
          <w:szCs w:val="24"/>
        </w:rPr>
        <w:instrText>ADDIN CSL_CITATION {"citationItems":[{"id":"ITEM-1","itemData":{"DOI":"10.1016/J.PSYNEUEN.2013.09.024","ISSN":"0306-4530","abstract":"Some evidence suggests that genetic polymorphisms in oxytocin pathway genes influence various social behaviors, but findings thus far have been mixed. Many studies have been based in small samples and there is possibility of publication bias. Using data from 2 large U.S. prospective cohorts with over 11,000 individuals, we investigated 88 SNPs in OXTR, AVPR1A, and CD38, in relation to social integration (measured as social connectedness in both binary and continuous forms and being continuously married). After correction for multiple testing only one SNP in CD38 (rs12644506) was significantly associated with social integration and that SNP predicted when using a dichotomized indicator of social connectedness (adjusted p=0.02), but not a continuous measure of social connectedness or the continuously married outcome. A significant gender-heterogeneous effect was identified in one OXTR SNP on dichotomized social connectedness; specifically, rs4686302 T allele was nominally associated with social connectedness in men, whereas the association direction was opposite in women (adjusted gender heterogeneity p=0.02). Furthermore, the rs53576 A allele was significantly associated with social connectedness only in women, and the effect magnitude was stronger in a dominant genetic model (adjusted p=0.003). In summary, our findings suggested that common genetic variants of OXTR, CD38, and AVPR1A are not associated with social integration as measured in this study using the simplified Berkman–Syme Social Network Index, but these findings and other work hint that effects may be modified by gender or other social experiences. Further work considering genetic pathways in relation to social integration may be more fruitful if these additional factors can be more comprehensively evaluated.","author":[{"dropping-particle":"","family":"Chang","given":"Shun-Chiao","non-dropping-particle":"","parse-names":false,"suffix":""},{"dropping-particle":"","family":"Glymour","given":"M. Maria","non-dropping-particle":"","parse-names":false,"suffix":""},{"dropping-particle":"","family":"Rewak","given":"Marissa","non-dropping-particle":"","parse-names":false,"suffix":""},{"dropping-particle":"","family":"Cornelis","given":"Marilyn C.","non-dropping-particle":"","parse-names":false,"suffix":""},{"dropping-particle":"","family":"Walter","given":"Stefan","non-dropping-particle":"","parse-names":false,"suffix":""},{"dropping-particle":"","family":"Koenen","given":"Karestan C.","non-dropping-particle":"","parse-names":false,"suffix":""},{"dropping-particle":"","family":"Kawachi","given":"Ichiro","non-dropping-particle":"","parse-names":false,"suffix":""},{"dropping-particle":"","family":"Liang","given":"Liming","non-dropping-particle":"","parse-names":false,"suffix":""},{"dropping-particle":"","family":"Tchetgen Tchetgen","given":"Eric J.","non-dropping-particle":"","parse-names":false,"suffix":""},{"dropping-particle":"","family":"Kubzansky","given":"Laura D.","non-dropping-particle":"","parse-names":false,"suffix":""}],"container-title":"Psychoneuroendocrinology","id":"ITEM-1","issued":{"date-parts":[["2014","1","1"]]},"page":"257-268","publisher":"Pergamon","title":"Are genetic variations in OXTR, AVPR1A, and CD38 genes important to social integration? Results from two large U.S. cohorts","type":"article-journal","volume":"39"},"uris":["http://www.mendeley.com/documents/?uuid=325688db-1172-4dbc-8a3d-b229a60244aa"]}],"mendeley":{"formattedCitation":"(Chang et al., 2014)","plainTextFormattedCitation":"(Chang et al., 2014)","previouslyFormattedCitation":"(Chang et al., 2014)"},"properties":{"noteIndex":0},"schema":"https://github.com/citation-style-language/schema/raw/master/csl-citation.json"}</w:instrText>
      </w:r>
      <w:r w:rsidRPr="006C023E">
        <w:rPr>
          <w:rFonts w:ascii="Times New Roman" w:hAnsi="Times New Roman" w:cs="Times New Roman"/>
          <w:sz w:val="24"/>
          <w:szCs w:val="24"/>
        </w:rPr>
        <w:fldChar w:fldCharType="separate"/>
      </w:r>
      <w:r w:rsidRPr="006C023E">
        <w:rPr>
          <w:rFonts w:ascii="Times New Roman" w:hAnsi="Times New Roman" w:cs="Times New Roman"/>
          <w:noProof/>
          <w:sz w:val="24"/>
          <w:szCs w:val="24"/>
        </w:rPr>
        <w:t>(Chang et al., 2014)</w:t>
      </w:r>
      <w:r w:rsidRPr="006C023E">
        <w:rPr>
          <w:rFonts w:ascii="Times New Roman" w:hAnsi="Times New Roman" w:cs="Times New Roman"/>
          <w:sz w:val="24"/>
          <w:szCs w:val="24"/>
        </w:rPr>
        <w:fldChar w:fldCharType="end"/>
      </w:r>
      <w:r w:rsidRPr="006C023E">
        <w:rPr>
          <w:rFonts w:ascii="Times New Roman" w:hAnsi="Times New Roman" w:cs="Times New Roman"/>
          <w:sz w:val="24"/>
          <w:szCs w:val="24"/>
        </w:rPr>
        <w:t>.</w:t>
      </w:r>
    </w:p>
    <w:p w14:paraId="44094734" w14:textId="3544F960" w:rsidR="00E63DF9" w:rsidRPr="006C023E" w:rsidRDefault="00E63DF9" w:rsidP="008D10BD">
      <w:pPr>
        <w:spacing w:line="480" w:lineRule="auto"/>
        <w:rPr>
          <w:rFonts w:ascii="Times New Roman" w:hAnsi="Times New Roman" w:cs="Times New Roman"/>
          <w:sz w:val="24"/>
          <w:szCs w:val="24"/>
        </w:rPr>
      </w:pPr>
      <w:r w:rsidRPr="006C023E">
        <w:rPr>
          <w:rFonts w:ascii="Times New Roman" w:hAnsi="Times New Roman" w:cs="Times New Roman"/>
          <w:sz w:val="24"/>
          <w:szCs w:val="24"/>
        </w:rPr>
        <w:t xml:space="preserve">We have further excluded several OXTR SNPs that were previously studied in relation to compassion related phenotypes, such as perspective-taking and empathic concern </w:t>
      </w:r>
      <w:r w:rsidRPr="006C023E">
        <w:rPr>
          <w:rFonts w:ascii="Times New Roman" w:hAnsi="Times New Roman" w:cs="Times New Roman"/>
          <w:sz w:val="24"/>
          <w:szCs w:val="24"/>
        </w:rPr>
        <w:fldChar w:fldCharType="begin" w:fldLock="1"/>
      </w:r>
      <w:r w:rsidR="009D1103" w:rsidRPr="006C023E">
        <w:rPr>
          <w:rFonts w:ascii="Times New Roman" w:hAnsi="Times New Roman" w:cs="Times New Roman"/>
          <w:sz w:val="24"/>
          <w:szCs w:val="24"/>
        </w:rPr>
        <w:instrText>ADDIN CSL_CITATION {"citationItems":[{"id":"ITEM-1","itemData":{"DOI":"10.1111/jopy.12152","ISSN":"00223506","author":[{"dropping-particle":"","family":"Christ","given":"Christa C.","non-dropping-particle":"","parse-names":false,"suffix":""},{"dropping-particle":"","family":"Carlo","given":"Gustavo","non-dropping-particle":"","parse-names":false,"suffix":""},{"dropping-particle":"","family":"Stoltenberg","given":"Scott F.","non-dropping-particle":"","parse-names":false,"suffix":""}],"container-title":"Journal of Personality","id":"ITEM-1","issue":"2","issued":{"date-parts":[["2016","4","1"]]},"page":"204-213","publisher":"John Wiley &amp; Sons, Ltd (10.1111)","title":"Oxytocin receptor ( OXTR ) single nucleotide polymorphisms indirectly predict prosocial behavior through perspective taking and empathic concern","type":"article-journal","volume":"84"},"uris":["http://www.mendeley.com/documents/?uuid=c95ef5e4-b47c-4b53-a2d6-2194e5eceb5d"]},{"id":"ITEM-2","itemData":{"DOI":"10.1016/j.jad.2012.01.009","ISSN":"01650327","PMID":"22357335","abstract":"BACKGROUND Oxytocin exerts well accepted effects on one of the key social processes: empathy. Previous researches have demonstrated that oxytocin promotes emotional and cognitive aspects of empathy, by exogenous administration as well as on gene level. However, the effect of diverse gene locus haplotypes of oxytocin receptor gene (OXTR) on trait empathy lacks reliable evidence. METHODS Participants consisted of 101 genetically unrelated, non-clinical Chinese subjects (46 males and 55 females). Interpersonal Reactivity Index (IRI) was applied to measure the trait empathy from four dimensions: empathy concern, personal distress, perspective taking and fantasy. Fantasy and perspective taking measured cognitive aspect of empathy, while empathy concern and personal distress measured emotional aspect of empathy. Ten single tagging SNPs on OXTR rs2268491, rs1042778, rs53576, rs7632287, rs2254298, rs13316193, rs237897, rs237887, rs4686302, and rs2268493 were tested. RESULTS Genotype difference in emotional empathy was found on rs237887 and rs4686302 whereas cognitive empathy varied on SNPs rs2268491 and rs2254298 between homozygous and variant carriers. For IRI score, there is a genotype and gender interaction on rs4686302 and rs13316193. LIMITATION The sample sizes from the current study were not so optimal that these results should have to be interpreted with caution when amplified into a larger population. CONCLUSION The findings demonstrate that natural variants of OXTR associated with trait empathy; specifically, individuals with certain OXTR genotype did perform better on trait empathy, while others did not. Our findings also provide genetic evidence for gender-related difference on empathy, indicating the popular fact that females who displayed more empathy than males could be likely to trace back to the genetic variants.","author":[{"dropping-particle":"","family":"Wu","given":"Nan","non-dropping-particle":"","parse-names":false,"suffix":""},{"dropping-particle":"","family":"Li","given":"Zhi","non-dropping-particle":"","parse-names":false,"suffix":""},{"dropping-particle":"","family":"Su","given":"Yanjie","non-dropping-particle":"","parse-names":false,"suffix":""}],"container-title":"Journal of Affective Disorders","id":"ITEM-2","issue":"3","issued":{"date-parts":[["2012","5"]]},"page":"468-472","title":"The association between oxytocin receptor gene polymorphism (OXTR) and trait empathy","type":"article-journal","volume":"138"},"uris":["http://www.mendeley.com/documents/?uuid=948b5783-ea9b-348e-8015-b517ecf688de"]}],"mendeley":{"formattedCitation":"(Christ, Carlo, &amp; Stoltenberg, 2016; Wu, Li, &amp; Su, 2012)","plainTextFormattedCitation":"(Christ, Carlo, &amp; Stoltenberg, 2016; Wu, Li, &amp; Su, 2012)","previouslyFormattedCitation":"(Christ, Carlo, &amp; Stoltenberg, 2016; Wu, Li, &amp; Su, 2012)"},"properties":{"noteIndex":0},"schema":"https://github.com/citation-style-language/schema/raw/master/csl-citation.json"}</w:instrText>
      </w:r>
      <w:r w:rsidRPr="006C023E">
        <w:rPr>
          <w:rFonts w:ascii="Times New Roman" w:hAnsi="Times New Roman" w:cs="Times New Roman"/>
          <w:sz w:val="24"/>
          <w:szCs w:val="24"/>
        </w:rPr>
        <w:fldChar w:fldCharType="separate"/>
      </w:r>
      <w:r w:rsidRPr="006C023E">
        <w:rPr>
          <w:rFonts w:ascii="Times New Roman" w:hAnsi="Times New Roman" w:cs="Times New Roman"/>
          <w:noProof/>
          <w:sz w:val="24"/>
          <w:szCs w:val="24"/>
        </w:rPr>
        <w:t>(Christ, Carlo, &amp; Stoltenberg, 2016; Wu, Li, &amp; Su, 2012)</w:t>
      </w:r>
      <w:r w:rsidRPr="006C023E">
        <w:rPr>
          <w:rFonts w:ascii="Times New Roman" w:hAnsi="Times New Roman" w:cs="Times New Roman"/>
          <w:sz w:val="24"/>
          <w:szCs w:val="24"/>
        </w:rPr>
        <w:fldChar w:fldCharType="end"/>
      </w:r>
      <w:r w:rsidRPr="006C023E">
        <w:rPr>
          <w:rFonts w:ascii="Times New Roman" w:hAnsi="Times New Roman" w:cs="Times New Roman"/>
          <w:sz w:val="24"/>
          <w:szCs w:val="24"/>
        </w:rPr>
        <w:t xml:space="preserve">, to balance the number of analyses that we ran for each of the five candidate genes. </w:t>
      </w:r>
    </w:p>
    <w:p w14:paraId="32FD6EFC" w14:textId="3673EBD9" w:rsidR="00E63DF9" w:rsidRPr="006C023E" w:rsidRDefault="00E63DF9" w:rsidP="008D10BD">
      <w:pPr>
        <w:spacing w:line="480" w:lineRule="auto"/>
        <w:rPr>
          <w:rFonts w:ascii="Times New Roman" w:hAnsi="Times New Roman" w:cs="Times New Roman"/>
          <w:sz w:val="24"/>
          <w:szCs w:val="24"/>
        </w:rPr>
      </w:pPr>
      <w:r w:rsidRPr="006C023E">
        <w:rPr>
          <w:rFonts w:ascii="Times New Roman" w:hAnsi="Times New Roman" w:cs="Times New Roman"/>
          <w:i/>
          <w:sz w:val="24"/>
          <w:szCs w:val="24"/>
        </w:rPr>
        <w:t>Dopamine pathway genes</w:t>
      </w:r>
      <w:r w:rsidRPr="006C023E">
        <w:rPr>
          <w:rFonts w:ascii="Times New Roman" w:hAnsi="Times New Roman" w:cs="Times New Roman"/>
          <w:sz w:val="24"/>
          <w:szCs w:val="24"/>
        </w:rPr>
        <w:t xml:space="preserve">. For DRD2 SNP rs1801028 it is known that the C-allele codes for the amino acid serine which is substituted by cysteine for carriers of the G-allele, while also the C-allele of rs468317 has been studied as </w:t>
      </w:r>
      <w:r w:rsidR="00196046" w:rsidRPr="006C023E">
        <w:rPr>
          <w:rFonts w:ascii="Times New Roman" w:hAnsi="Times New Roman" w:cs="Times New Roman"/>
          <w:sz w:val="24"/>
          <w:szCs w:val="24"/>
        </w:rPr>
        <w:t xml:space="preserve">a </w:t>
      </w:r>
      <w:r w:rsidRPr="006C023E">
        <w:rPr>
          <w:rFonts w:ascii="Times New Roman" w:hAnsi="Times New Roman" w:cs="Times New Roman"/>
          <w:sz w:val="24"/>
          <w:szCs w:val="24"/>
        </w:rPr>
        <w:t xml:space="preserve">risk allele in relation to self-reported empathy </w:t>
      </w:r>
      <w:r w:rsidRPr="006C023E">
        <w:rPr>
          <w:rFonts w:ascii="Times New Roman" w:hAnsi="Times New Roman" w:cs="Times New Roman"/>
          <w:sz w:val="24"/>
          <w:szCs w:val="24"/>
        </w:rPr>
        <w:fldChar w:fldCharType="begin" w:fldLock="1"/>
      </w:r>
      <w:r w:rsidR="009D1103" w:rsidRPr="006C023E">
        <w:rPr>
          <w:rFonts w:ascii="Times New Roman" w:hAnsi="Times New Roman" w:cs="Times New Roman"/>
          <w:sz w:val="24"/>
          <w:szCs w:val="24"/>
        </w:rPr>
        <w:instrText>ADDIN CSL_CITATION {"citationItems":[{"id":"ITEM-1","itemData":{"DOI":"10.1002/ajmg.b.30273","ISSN":"1552-4841","PMID":"16402354","abstract":"Previously we derived independent estimates of the effect of the dopamine D2 receptor (DRD2) Ser311Cys polymorphism on risk for schizophrenia using fixed- and random-effects meta-analyses. Both analyses identified a significant association between the Cys allele and schizophrenia, but neither included all available data. Furthermore, genotype data were not evaluated in either analysis, thus precluding any determination of the mode of inheritance. The present study was conducted to resolve discrepancies between the existing meta-analyses, and provide more comprehensive and accurate estimates of the nature and magnitude of the influence of the Ser311Cys polymorphism on risk for schizophrenia. All discrepancies between the two sets of previously meta-analyzed studies were identified and resolved to the mutual satisfaction of the authors, and the final dataset was analyzed independently by fixed- and random-effects meta-analyses. A total of 27 samples, comprising 3,707 schizophrenia patients and 5,363 control subjects, were included in the analyses of allelic association, while smaller numbers of studies and subjects were included in each of the genotypic association analyses. A significant effect of the Cys allele was observed under both fixed-effects (odds ratio [OR] = 1.4; P = 0.002) and random-effects (OR = 1.4; P = 0.007) models. Cys/Ser heterozygotes were at elevated risk for schizophrenia when compared to Ser/Ser homozygotes (fixed- and random-effects OR = 1.4, p(s) &lt;or= 0.005), but Cys/Cys homozygotes were at no elevated risk relative to heterozygotes (OR = 1.0, p(s) &gt;or= 0.948). There was no evidence of heterogeneity, excessive influence of any single study, or publication bias in any of the analyses, suggesting that the effect of this DRD2 polymorphism on schizophrenia risk is reliable and uniform across populations, and our estimates of its magnitude are robust and accurate.","author":[{"dropping-particle":"","family":"Glatt","given":"Stephen J.","non-dropping-particle":"","parse-names":false,"suffix":""},{"dropping-particle":"","family":"Jönsson","given":"Erik G.","non-dropping-particle":"","parse-names":false,"suffix":""}],"container-title":"American Journal of Medical Genetics Part B: Neuropsychiatric Genetics","id":"ITEM-1","issue":"2","issued":{"date-parts":[["2006","3","5"]]},"page":"149-154","title":"The Cys allele of theDRD2 Ser311Cys polymorphism has a dominant effect on risk for schizophrenia: Evidence from fixed- and random-effects meta-analyses","type":"article-journal","volume":"141B"},"uris":["http://www.mendeley.com/documents/?uuid=073cd750-86fb-30d8-b2fc-c1313b440962"]},{"id":"ITEM-2","itemData":{"DOI":"10.1073/pnas.1700712114","ISSN":"1091-6490","PMID":"28461468","abstract":"There is growing evidence that the number and quality of social relationships have substantial impacts on health, well-being, and longevity, and, at least in animals, on reproductive fitness. Although it is widely recognized that these outcomes are mediated by a number of neuropeptides, the roles these play remain debated. We suggest that an overemphasis on one neuropeptide (oxytocin), combined with a failure to distinguish between different social domains, has obscured the complexity involved. We use variation in 33 SNPs for the receptor genes for six well-known social neuropeptides in relation to three separate domains of sociality (social disposition, dyadic relationships, and social networks) to show that three neuropeptides (β-endorphin, oxytocin, and dopamine) play particularly important roles, with each being associated predominantly with a different social domain. However, endorphins and dopamine have a much wider compass than oxytocin (whose effects are confined to romantic/reproductive relationships and often do not survive control for other neuropeptides). In contrast, vasopressin, serotonin, and testosterone play only limited roles.","author":[{"dropping-particle":"","family":"Pearce","given":"Eiluned","non-dropping-particle":"","parse-names":false,"suffix":""},{"dropping-particle":"","family":"Wlodarski","given":"Rafael","non-dropping-particle":"","parse-names":false,"suffix":""},{"dropping-particle":"","family":"Machin","given":"Anna","non-dropping-particle":"","parse-names":false,"suffix":""},{"dropping-particle":"","family":"Dunbar","given":"Robin I M","non-dropping-particle":"","parse-names":false,"suffix":""}],"container-title":"Proceedings of the National Academy of Sciences of the United States of America","id":"ITEM-2","issue":"20","issued":{"date-parts":[["2017","5","16"]]},"page":"5300-5305","publisher":"National Academy of Sciences","title":"Variation in the β-endorphin, oxytocin, and dopamine receptor genes is associated with different dimensions of human sociality.","type":"article-journal","volume":"114"},"uris":["http://www.mendeley.com/documents/?uuid=6272d7e8-852d-36b9-ae08-3852920b34d9"]}],"mendeley":{"formattedCitation":"(Glatt &amp; Jönsson, 2006; Pearce, Wlodarski, Machin, &amp; Dunbar, 2017)","plainTextFormattedCitation":"(Glatt &amp; Jönsson, 2006; Pearce, Wlodarski, Machin, &amp; Dunbar, 2017)","previouslyFormattedCitation":"(Glatt &amp; Jönsson, 2006; Pearce, Wlodarski, Machin, &amp; Dunbar, 2017)"},"properties":{"noteIndex":0},"schema":"https://github.com/citation-style-language/schema/raw/master/csl-citation.json"}</w:instrText>
      </w:r>
      <w:r w:rsidRPr="006C023E">
        <w:rPr>
          <w:rFonts w:ascii="Times New Roman" w:hAnsi="Times New Roman" w:cs="Times New Roman"/>
          <w:sz w:val="24"/>
          <w:szCs w:val="24"/>
        </w:rPr>
        <w:fldChar w:fldCharType="separate"/>
      </w:r>
      <w:r w:rsidRPr="006C023E">
        <w:rPr>
          <w:rFonts w:ascii="Times New Roman" w:hAnsi="Times New Roman" w:cs="Times New Roman"/>
          <w:noProof/>
          <w:sz w:val="24"/>
          <w:szCs w:val="24"/>
        </w:rPr>
        <w:t>(Glatt &amp; Jönsson, 2006; Pearce, Wlodarski, Machin, &amp; Dunbar, 2017)</w:t>
      </w:r>
      <w:r w:rsidRPr="006C023E">
        <w:rPr>
          <w:rFonts w:ascii="Times New Roman" w:hAnsi="Times New Roman" w:cs="Times New Roman"/>
          <w:sz w:val="24"/>
          <w:szCs w:val="24"/>
        </w:rPr>
        <w:fldChar w:fldCharType="end"/>
      </w:r>
      <w:r w:rsidRPr="006C023E">
        <w:rPr>
          <w:rFonts w:ascii="Times New Roman" w:hAnsi="Times New Roman" w:cs="Times New Roman"/>
          <w:sz w:val="24"/>
          <w:szCs w:val="24"/>
        </w:rPr>
        <w:t>.</w:t>
      </w:r>
    </w:p>
    <w:p w14:paraId="3F9782E7" w14:textId="77777777" w:rsidR="00E63DF9" w:rsidRPr="006C023E" w:rsidRDefault="00E63DF9" w:rsidP="008D10BD">
      <w:pPr>
        <w:spacing w:line="480" w:lineRule="auto"/>
        <w:rPr>
          <w:rFonts w:ascii="Times New Roman" w:hAnsi="Times New Roman" w:cs="Times New Roman"/>
          <w:sz w:val="24"/>
          <w:szCs w:val="24"/>
        </w:rPr>
      </w:pPr>
      <w:r w:rsidRPr="006C023E">
        <w:rPr>
          <w:rFonts w:ascii="Times New Roman" w:hAnsi="Times New Roman" w:cs="Times New Roman"/>
          <w:sz w:val="24"/>
          <w:szCs w:val="24"/>
        </w:rPr>
        <w:t xml:space="preserve">Allelic variation in rs4633 and rs4818 do not change the amino acid sequence of the COMT protein, yet, carrying the C-allele has been associated with various socio-emotional phenotypes </w:t>
      </w:r>
      <w:r w:rsidRPr="006C023E">
        <w:rPr>
          <w:rFonts w:ascii="Times New Roman" w:hAnsi="Times New Roman" w:cs="Times New Roman"/>
          <w:sz w:val="24"/>
          <w:szCs w:val="24"/>
        </w:rPr>
        <w:fldChar w:fldCharType="begin" w:fldLock="1"/>
      </w:r>
      <w:r w:rsidRPr="006C023E">
        <w:rPr>
          <w:rFonts w:ascii="Times New Roman" w:hAnsi="Times New Roman" w:cs="Times New Roman"/>
          <w:sz w:val="24"/>
          <w:szCs w:val="24"/>
        </w:rPr>
        <w:instrText>ADDIN CSL_CITATION {"citationItems":[{"id":"ITEM-1","itemData":{"DOI":"10.1097/YIC.0b013e328338b884","ISSN":"0268-1315","author":[{"dropping-particle":"","family":"Kocabas","given":"Neslihan Aygun","non-dropping-particle":"","parse-names":false,"suffix":""},{"dropping-particle":"","family":"Faghel","given":"Carole","non-dropping-particle":"","parse-names":false,"suffix":""},{"dropping-particle":"","family":"Barreto","given":"Mara","non-dropping-particle":"","parse-names":false,"suffix":""},{"dropping-particle":"","family":"Kasper","given":"Siegfried","non-dropping-particle":"","parse-names":false,"suffix":""},{"dropping-particle":"","family":"Linotte","given":"Sylvie","non-dropping-particle":"","parse-names":false,"suffix":""},{"dropping-particle":"","family":"Mendlewicz","given":"Julien","non-dropping-particle":"","parse-names":false,"suffix":""},{"dropping-particle":"","family":"Noro","given":"Magali","non-dropping-particle":"","parse-names":false,"suffix":""},{"dropping-particle":"","family":"Oswald","given":"Pierre","non-dropping-particle":"","parse-names":false,"suffix":""},{"dropping-particle":"","family":"Souery","given":"Daniel","non-dropping-particle":"","parse-names":false,"suffix":""},{"dropping-particle":"","family":"Zohar","given":"Joseph","non-dropping-particle":"","parse-names":false,"suffix":""},{"dropping-particle":"","family":"Massat","given":"Isabelle","non-dropping-particle":"","parse-names":false,"suffix":""}],"container-title":"International Clinical Psychopharmacology","id":"ITEM-1","issue":"4","issued":{"date-parts":[["2010","7"]]},"page":"218-227","title":"The impact of catechol-O-methyltransferase SNPs and haplotypes on treatment response phenotypes in major depressive disorder: a case–control association study","type":"article-journal","volume":"25"},"uris":["http://www.mendeley.com/documents/?uuid=7e59080f-c31e-3218-82bd-12e31d02622a"]}],"mendeley":{"formattedCitation":"(Kocabas et al., 2010)","plainTextFormattedCitation":"(Kocabas et al., 2010)","previouslyFormattedCitation":"(Kocabas et al., 2010)"},"properties":{"noteIndex":0},"schema":"https://github.com/citation-style-language/schema/raw/master/csl-citation.json"}</w:instrText>
      </w:r>
      <w:r w:rsidRPr="006C023E">
        <w:rPr>
          <w:rFonts w:ascii="Times New Roman" w:hAnsi="Times New Roman" w:cs="Times New Roman"/>
          <w:sz w:val="24"/>
          <w:szCs w:val="24"/>
        </w:rPr>
        <w:fldChar w:fldCharType="separate"/>
      </w:r>
      <w:r w:rsidRPr="006C023E">
        <w:rPr>
          <w:rFonts w:ascii="Times New Roman" w:hAnsi="Times New Roman" w:cs="Times New Roman"/>
          <w:noProof/>
          <w:sz w:val="24"/>
          <w:szCs w:val="24"/>
        </w:rPr>
        <w:t>(Kocabas et al., 2010)</w:t>
      </w:r>
      <w:r w:rsidRPr="006C023E">
        <w:rPr>
          <w:rFonts w:ascii="Times New Roman" w:hAnsi="Times New Roman" w:cs="Times New Roman"/>
          <w:sz w:val="24"/>
          <w:szCs w:val="24"/>
        </w:rPr>
        <w:fldChar w:fldCharType="end"/>
      </w:r>
      <w:r w:rsidRPr="006C023E">
        <w:rPr>
          <w:rFonts w:ascii="Times New Roman" w:hAnsi="Times New Roman" w:cs="Times New Roman"/>
          <w:sz w:val="24"/>
          <w:szCs w:val="24"/>
        </w:rPr>
        <w:t xml:space="preserve">. </w:t>
      </w:r>
    </w:p>
    <w:p w14:paraId="3285AB17" w14:textId="77777777" w:rsidR="00E63DF9" w:rsidRPr="006C023E" w:rsidRDefault="00E63DF9" w:rsidP="008D10BD">
      <w:pPr>
        <w:spacing w:line="480" w:lineRule="auto"/>
        <w:rPr>
          <w:rFonts w:ascii="Times New Roman" w:hAnsi="Times New Roman" w:cs="Times New Roman"/>
          <w:sz w:val="24"/>
          <w:szCs w:val="24"/>
        </w:rPr>
      </w:pPr>
      <w:r w:rsidRPr="006C023E">
        <w:rPr>
          <w:rFonts w:ascii="Times New Roman" w:hAnsi="Times New Roman" w:cs="Times New Roman"/>
          <w:sz w:val="24"/>
          <w:szCs w:val="24"/>
        </w:rPr>
        <w:t xml:space="preserve">Even though the largest proportion of the human DBH activity is explained by variant rs1611115, two more SNPs in the DBH gene (rs2519152 and rs6271) were found to have incremental effects </w:t>
      </w:r>
      <w:r w:rsidRPr="006C023E">
        <w:rPr>
          <w:rFonts w:ascii="Times New Roman" w:hAnsi="Times New Roman" w:cs="Times New Roman"/>
          <w:sz w:val="24"/>
          <w:szCs w:val="24"/>
        </w:rPr>
        <w:fldChar w:fldCharType="begin" w:fldLock="1"/>
      </w:r>
      <w:r w:rsidRPr="006C023E">
        <w:rPr>
          <w:rFonts w:ascii="Times New Roman" w:hAnsi="Times New Roman" w:cs="Times New Roman"/>
          <w:sz w:val="24"/>
          <w:szCs w:val="24"/>
        </w:rPr>
        <w:instrText>ADDIN CSL_CITATION {"citationItems":[{"id":"ITEM-1","itemData":{"DOI":"10.1038/sj.ejhg.5201838","ISSN":"1018-4813","abstract":"Several variants at DBH are significantly associated with plasma DβH activity (pDβH). However, the overwhelming majority of data on this genotype–phenotype relationship has been gathered in samples from Europeans and European Americans (EAs). In this study, we examined the relationship between DBH polymorphisms and pDβH in samples from African-American (AA) subjects. Genotypes were determined at a 19-bp insertion/deletion polymorphism (ins/del) and four single-nucleotide polymorphisms (SNPs) at DBH in 109 samples. Analyses were performed using analyses of variance (ANOVAs) (for individual SNPs) and regression procedures (to assess the joint effects and the specific SNP-based haplotypes). We found: (1) single-variant analysis of all polymorphisms revealed apparent associations to pDβH, with rs1611115 accounting for the largest proportion of the variance in pDβH (28.7%) and ins/del the smallest (6.5%); (2) modest but significant linkage disequilibrium (LD) existed between ins/del and rs1611115; (3) LD between all other pairs of variants was not observed; (3) stepwise regression showed that a model containing rs1611115, rs2519152 and rs6271 accounted for 37.6% of the variance in pDβH, with rs6271 showing additional 7.6% above the effect of rs1611115, and rs2519152 showing additional 2% above rs1611115 and rs6271; (4) two common haplotypes, C-T-C and T-C-C at rs1611115-rs2519152-rs6271 were significantly associated with pDβH (P=0.0025 and 0.0036, respectively). The data support the validity of prior reported associations and underscore the importance of analyzing multiple SNPs across DBH in future association studies examining disease and biochemical phenotypes.","author":[{"dropping-particle":"","family":"Tang","given":"Yi-lang","non-dropping-particle":"","parse-names":false,"suffix":""},{"dropping-particle":"","family":"Epstein","given":"Michael P","non-dropping-particle":"","parse-names":false,"suffix":""},{"dropping-particle":"","family":"Anderson","given":"George M","non-dropping-particle":"","parse-names":false,"suffix":""},{"dropping-particle":"","family":"Zabetian","given":"Cyrus P","non-dropping-particle":"","parse-names":false,"suffix":""},{"dropping-particle":"","family":"Cubells","given":"Joseph F","non-dropping-particle":"","parse-names":false,"suffix":""}],"container-title":"European Journal of Human Genetics","id":"ITEM-1","issue":"8","issued":{"date-parts":[["2007","8","25"]]},"page":"878-883","publisher":"Nature Publishing Group","title":"Genotypic and haplotypic associations of the DBH gene with plasma dopamine β-hydroxylase activity in African Americans","type":"article-journal","volume":"15"},"uris":["http://www.mendeley.com/documents/?uuid=38a46ae9-b10a-3e8c-9941-0bc3a848aee8"]}],"mendeley":{"formattedCitation":"(Tang, Epstein, Anderson, Zabetian, &amp; Cubells, 2007)","plainTextFormattedCitation":"(Tang, Epstein, Anderson, Zabetian, &amp; Cubells, 2007)","previouslyFormattedCitation":"(Tang, Epstein, Anderson, Zabetian, &amp; Cubells, 2007)"},"properties":{"noteIndex":0},"schema":"https://github.com/citation-style-language/schema/raw/master/csl-citation.json"}</w:instrText>
      </w:r>
      <w:r w:rsidRPr="006C023E">
        <w:rPr>
          <w:rFonts w:ascii="Times New Roman" w:hAnsi="Times New Roman" w:cs="Times New Roman"/>
          <w:sz w:val="24"/>
          <w:szCs w:val="24"/>
        </w:rPr>
        <w:fldChar w:fldCharType="separate"/>
      </w:r>
      <w:r w:rsidRPr="006C023E">
        <w:rPr>
          <w:rFonts w:ascii="Times New Roman" w:hAnsi="Times New Roman" w:cs="Times New Roman"/>
          <w:noProof/>
          <w:sz w:val="24"/>
          <w:szCs w:val="24"/>
        </w:rPr>
        <w:t>(Tang, Epstein, Anderson, Zabetian, &amp; Cubells, 2007)</w:t>
      </w:r>
      <w:r w:rsidRPr="006C023E">
        <w:rPr>
          <w:rFonts w:ascii="Times New Roman" w:hAnsi="Times New Roman" w:cs="Times New Roman"/>
          <w:sz w:val="24"/>
          <w:szCs w:val="24"/>
        </w:rPr>
        <w:fldChar w:fldCharType="end"/>
      </w:r>
      <w:r w:rsidRPr="006C023E">
        <w:rPr>
          <w:rFonts w:ascii="Times New Roman" w:hAnsi="Times New Roman" w:cs="Times New Roman"/>
          <w:sz w:val="24"/>
          <w:szCs w:val="24"/>
        </w:rPr>
        <w:t xml:space="preserve">. </w:t>
      </w:r>
    </w:p>
    <w:p w14:paraId="4D015CA8" w14:textId="77777777" w:rsidR="00E63DF9" w:rsidRPr="006C023E" w:rsidRDefault="00E63DF9" w:rsidP="00E63DF9">
      <w:pPr>
        <w:pStyle w:val="NormalWeb"/>
        <w:spacing w:line="360" w:lineRule="auto"/>
        <w:sectPr w:rsidR="00E63DF9" w:rsidRPr="006C023E" w:rsidSect="009D1103">
          <w:pgSz w:w="12240" w:h="15840"/>
          <w:pgMar w:top="1440" w:right="1440" w:bottom="1440" w:left="1440" w:header="708" w:footer="708" w:gutter="0"/>
          <w:cols w:space="708"/>
          <w:docGrid w:linePitch="360"/>
        </w:sectPr>
      </w:pPr>
    </w:p>
    <w:p w14:paraId="484C87ED" w14:textId="77777777" w:rsidR="00E63DF9" w:rsidRPr="006C023E" w:rsidRDefault="00E63DF9" w:rsidP="00E63DF9">
      <w:pPr>
        <w:spacing w:line="360" w:lineRule="auto"/>
        <w:rPr>
          <w:rFonts w:ascii="Times New Roman" w:hAnsi="Times New Roman" w:cs="Times New Roman"/>
          <w:sz w:val="24"/>
          <w:szCs w:val="24"/>
        </w:rPr>
      </w:pPr>
      <w:r w:rsidRPr="006C023E">
        <w:rPr>
          <w:rFonts w:ascii="Times New Roman" w:hAnsi="Times New Roman" w:cs="Times New Roman"/>
          <w:b/>
          <w:sz w:val="24"/>
          <w:szCs w:val="24"/>
        </w:rPr>
        <w:lastRenderedPageBreak/>
        <w:t>Table S1.</w:t>
      </w:r>
      <w:r w:rsidRPr="006C023E">
        <w:rPr>
          <w:rFonts w:ascii="Times New Roman" w:hAnsi="Times New Roman" w:cs="Times New Roman"/>
          <w:sz w:val="24"/>
          <w:szCs w:val="24"/>
        </w:rPr>
        <w:t xml:space="preserve"> Commonly Studied Single Nucleotide Polymorphisms (SNP) in the Oxytocin and Dopamine Signaling Pathway</w:t>
      </w:r>
    </w:p>
    <w:tbl>
      <w:tblPr>
        <w:tblW w:w="12689" w:type="dxa"/>
        <w:tblCellMar>
          <w:left w:w="70" w:type="dxa"/>
          <w:right w:w="70" w:type="dxa"/>
        </w:tblCellMar>
        <w:tblLook w:val="04A0" w:firstRow="1" w:lastRow="0" w:firstColumn="1" w:lastColumn="0" w:noHBand="0" w:noVBand="1"/>
      </w:tblPr>
      <w:tblGrid>
        <w:gridCol w:w="1560"/>
        <w:gridCol w:w="960"/>
        <w:gridCol w:w="960"/>
        <w:gridCol w:w="1380"/>
        <w:gridCol w:w="669"/>
        <w:gridCol w:w="1251"/>
        <w:gridCol w:w="960"/>
        <w:gridCol w:w="1074"/>
        <w:gridCol w:w="960"/>
        <w:gridCol w:w="858"/>
        <w:gridCol w:w="1036"/>
        <w:gridCol w:w="1021"/>
      </w:tblGrid>
      <w:tr w:rsidR="00E63DF9" w:rsidRPr="006C023E" w14:paraId="488399DC" w14:textId="77777777" w:rsidTr="009B66A5">
        <w:trPr>
          <w:trHeight w:val="971"/>
        </w:trPr>
        <w:tc>
          <w:tcPr>
            <w:tcW w:w="1560" w:type="dxa"/>
            <w:tcBorders>
              <w:top w:val="single" w:sz="4" w:space="0" w:color="auto"/>
              <w:left w:val="nil"/>
              <w:bottom w:val="nil"/>
              <w:right w:val="nil"/>
            </w:tcBorders>
            <w:shd w:val="clear" w:color="auto" w:fill="auto"/>
            <w:noWrap/>
            <w:hideMark/>
          </w:tcPr>
          <w:p w14:paraId="3B076258" w14:textId="77777777" w:rsidR="00E63DF9" w:rsidRPr="006C023E" w:rsidRDefault="00E63DF9" w:rsidP="009B66A5">
            <w:pPr>
              <w:spacing w:after="0" w:line="360" w:lineRule="auto"/>
              <w:rPr>
                <w:rFonts w:ascii="Times New Roman" w:eastAsia="Times New Roman" w:hAnsi="Times New Roman" w:cs="Times New Roman"/>
                <w:bCs/>
                <w:sz w:val="24"/>
                <w:szCs w:val="24"/>
                <w:lang w:val="fi-FI" w:eastAsia="fi-FI"/>
              </w:rPr>
            </w:pPr>
            <w:r w:rsidRPr="006C023E">
              <w:rPr>
                <w:rFonts w:ascii="Times New Roman" w:eastAsia="Times New Roman" w:hAnsi="Times New Roman" w:cs="Times New Roman"/>
                <w:bCs/>
                <w:sz w:val="24"/>
                <w:szCs w:val="24"/>
                <w:lang w:val="fi-FI" w:eastAsia="fi-FI"/>
              </w:rPr>
              <w:t>SNP</w:t>
            </w:r>
          </w:p>
        </w:tc>
        <w:tc>
          <w:tcPr>
            <w:tcW w:w="960" w:type="dxa"/>
            <w:tcBorders>
              <w:top w:val="single" w:sz="4" w:space="0" w:color="auto"/>
              <w:left w:val="nil"/>
              <w:bottom w:val="nil"/>
              <w:right w:val="nil"/>
            </w:tcBorders>
            <w:shd w:val="clear" w:color="auto" w:fill="auto"/>
            <w:noWrap/>
            <w:hideMark/>
          </w:tcPr>
          <w:p w14:paraId="25549C3E" w14:textId="77777777" w:rsidR="00E63DF9" w:rsidRPr="006C023E" w:rsidRDefault="00E63DF9" w:rsidP="009B66A5">
            <w:pPr>
              <w:spacing w:after="0" w:line="360" w:lineRule="auto"/>
              <w:rPr>
                <w:rFonts w:ascii="Times New Roman" w:eastAsia="Times New Roman" w:hAnsi="Times New Roman" w:cs="Times New Roman"/>
                <w:bCs/>
                <w:sz w:val="24"/>
                <w:szCs w:val="24"/>
                <w:lang w:val="fi-FI" w:eastAsia="fi-FI"/>
              </w:rPr>
            </w:pPr>
            <w:r w:rsidRPr="006C023E">
              <w:rPr>
                <w:rFonts w:ascii="Times New Roman" w:eastAsia="Times New Roman" w:hAnsi="Times New Roman" w:cs="Times New Roman"/>
                <w:bCs/>
                <w:sz w:val="24"/>
                <w:szCs w:val="24"/>
                <w:lang w:val="fi-FI" w:eastAsia="fi-FI"/>
              </w:rPr>
              <w:t>Gene</w:t>
            </w:r>
          </w:p>
        </w:tc>
        <w:tc>
          <w:tcPr>
            <w:tcW w:w="960" w:type="dxa"/>
            <w:tcBorders>
              <w:top w:val="single" w:sz="4" w:space="0" w:color="auto"/>
              <w:left w:val="nil"/>
              <w:bottom w:val="nil"/>
              <w:right w:val="nil"/>
            </w:tcBorders>
            <w:shd w:val="clear" w:color="auto" w:fill="auto"/>
            <w:noWrap/>
            <w:hideMark/>
          </w:tcPr>
          <w:p w14:paraId="39FABAEF" w14:textId="77777777" w:rsidR="00E63DF9" w:rsidRPr="006C023E" w:rsidRDefault="00E63DF9" w:rsidP="009B66A5">
            <w:pPr>
              <w:spacing w:after="0" w:line="360" w:lineRule="auto"/>
              <w:rPr>
                <w:rFonts w:ascii="Times New Roman" w:eastAsia="Times New Roman" w:hAnsi="Times New Roman" w:cs="Times New Roman"/>
                <w:bCs/>
                <w:sz w:val="24"/>
                <w:szCs w:val="24"/>
                <w:lang w:val="fi-FI" w:eastAsia="fi-FI"/>
              </w:rPr>
            </w:pPr>
            <w:r w:rsidRPr="006C023E">
              <w:rPr>
                <w:rFonts w:ascii="Times New Roman" w:eastAsia="Times New Roman" w:hAnsi="Times New Roman" w:cs="Times New Roman"/>
                <w:bCs/>
                <w:sz w:val="24"/>
                <w:szCs w:val="24"/>
                <w:lang w:val="fi-FI" w:eastAsia="fi-FI"/>
              </w:rPr>
              <w:t>Chr</w:t>
            </w:r>
          </w:p>
        </w:tc>
        <w:tc>
          <w:tcPr>
            <w:tcW w:w="1380" w:type="dxa"/>
            <w:tcBorders>
              <w:top w:val="single" w:sz="4" w:space="0" w:color="auto"/>
              <w:left w:val="nil"/>
              <w:bottom w:val="nil"/>
              <w:right w:val="nil"/>
            </w:tcBorders>
            <w:shd w:val="clear" w:color="auto" w:fill="auto"/>
            <w:noWrap/>
            <w:hideMark/>
          </w:tcPr>
          <w:p w14:paraId="62E23671" w14:textId="77777777" w:rsidR="00E63DF9" w:rsidRPr="006C023E" w:rsidRDefault="00E63DF9" w:rsidP="009B66A5">
            <w:pPr>
              <w:spacing w:after="0" w:line="360" w:lineRule="auto"/>
              <w:rPr>
                <w:rFonts w:ascii="Times New Roman" w:eastAsia="Times New Roman" w:hAnsi="Times New Roman" w:cs="Times New Roman"/>
                <w:bCs/>
                <w:sz w:val="24"/>
                <w:szCs w:val="24"/>
                <w:lang w:val="fi-FI" w:eastAsia="fi-FI"/>
              </w:rPr>
            </w:pPr>
            <w:r w:rsidRPr="006C023E">
              <w:rPr>
                <w:rFonts w:ascii="Times New Roman" w:eastAsia="Times New Roman" w:hAnsi="Times New Roman" w:cs="Times New Roman"/>
                <w:bCs/>
                <w:sz w:val="24"/>
                <w:szCs w:val="24"/>
                <w:lang w:val="fi-FI" w:eastAsia="fi-FI"/>
              </w:rPr>
              <w:t>Position</w:t>
            </w:r>
          </w:p>
        </w:tc>
        <w:tc>
          <w:tcPr>
            <w:tcW w:w="1920" w:type="dxa"/>
            <w:gridSpan w:val="2"/>
            <w:tcBorders>
              <w:top w:val="single" w:sz="4" w:space="0" w:color="auto"/>
              <w:left w:val="nil"/>
              <w:bottom w:val="nil"/>
              <w:right w:val="nil"/>
            </w:tcBorders>
            <w:shd w:val="clear" w:color="auto" w:fill="auto"/>
            <w:noWrap/>
            <w:hideMark/>
          </w:tcPr>
          <w:p w14:paraId="1B4F822B" w14:textId="77777777" w:rsidR="00E63DF9" w:rsidRPr="006C023E" w:rsidRDefault="00E63DF9" w:rsidP="009B66A5">
            <w:pPr>
              <w:spacing w:after="0" w:line="360" w:lineRule="auto"/>
              <w:rPr>
                <w:rFonts w:ascii="Times New Roman" w:eastAsia="Times New Roman" w:hAnsi="Times New Roman" w:cs="Times New Roman"/>
                <w:bCs/>
                <w:sz w:val="24"/>
                <w:szCs w:val="24"/>
                <w:lang w:val="fi-FI" w:eastAsia="fi-FI"/>
              </w:rPr>
            </w:pPr>
            <w:r w:rsidRPr="006C023E">
              <w:rPr>
                <w:rFonts w:ascii="Times New Roman" w:eastAsia="Times New Roman" w:hAnsi="Times New Roman" w:cs="Times New Roman"/>
                <w:bCs/>
                <w:sz w:val="24"/>
                <w:szCs w:val="24"/>
                <w:lang w:val="fi-FI" w:eastAsia="fi-FI"/>
              </w:rPr>
              <w:t>Coded allele</w:t>
            </w:r>
          </w:p>
        </w:tc>
        <w:tc>
          <w:tcPr>
            <w:tcW w:w="960" w:type="dxa"/>
            <w:tcBorders>
              <w:top w:val="single" w:sz="4" w:space="0" w:color="auto"/>
              <w:left w:val="nil"/>
              <w:bottom w:val="nil"/>
              <w:right w:val="nil"/>
            </w:tcBorders>
            <w:shd w:val="clear" w:color="auto" w:fill="auto"/>
            <w:noWrap/>
            <w:hideMark/>
          </w:tcPr>
          <w:p w14:paraId="54415B6D" w14:textId="77777777" w:rsidR="00E63DF9" w:rsidRPr="006C023E" w:rsidRDefault="00E63DF9" w:rsidP="009B66A5">
            <w:pPr>
              <w:spacing w:after="0" w:line="360" w:lineRule="auto"/>
              <w:rPr>
                <w:rFonts w:ascii="Times New Roman" w:eastAsia="Times New Roman" w:hAnsi="Times New Roman" w:cs="Times New Roman"/>
                <w:bCs/>
                <w:sz w:val="24"/>
                <w:szCs w:val="24"/>
                <w:lang w:val="fi-FI" w:eastAsia="fi-FI"/>
              </w:rPr>
            </w:pPr>
            <w:r w:rsidRPr="006C023E">
              <w:rPr>
                <w:rFonts w:ascii="Times New Roman" w:eastAsia="Times New Roman" w:hAnsi="Times New Roman" w:cs="Times New Roman"/>
                <w:bCs/>
                <w:sz w:val="24"/>
                <w:szCs w:val="24"/>
                <w:lang w:val="fi-FI" w:eastAsia="fi-FI"/>
              </w:rPr>
              <w:t>Second allele</w:t>
            </w:r>
          </w:p>
        </w:tc>
        <w:tc>
          <w:tcPr>
            <w:tcW w:w="1074" w:type="dxa"/>
            <w:tcBorders>
              <w:top w:val="single" w:sz="4" w:space="0" w:color="auto"/>
              <w:left w:val="nil"/>
              <w:bottom w:val="nil"/>
              <w:right w:val="nil"/>
            </w:tcBorders>
            <w:shd w:val="clear" w:color="auto" w:fill="auto"/>
            <w:noWrap/>
            <w:hideMark/>
          </w:tcPr>
          <w:p w14:paraId="6A5D3A17" w14:textId="77777777" w:rsidR="00E63DF9" w:rsidRPr="006C023E" w:rsidRDefault="00E63DF9" w:rsidP="009B66A5">
            <w:pPr>
              <w:spacing w:after="0" w:line="360" w:lineRule="auto"/>
              <w:rPr>
                <w:rFonts w:ascii="Times New Roman" w:eastAsia="Times New Roman" w:hAnsi="Times New Roman" w:cs="Times New Roman"/>
                <w:bCs/>
                <w:sz w:val="24"/>
                <w:szCs w:val="24"/>
                <w:lang w:val="fi-FI" w:eastAsia="fi-FI"/>
              </w:rPr>
            </w:pPr>
            <w:r w:rsidRPr="006C023E">
              <w:rPr>
                <w:rFonts w:ascii="Times New Roman" w:eastAsia="Times New Roman" w:hAnsi="Times New Roman" w:cs="Times New Roman"/>
                <w:bCs/>
                <w:sz w:val="24"/>
                <w:szCs w:val="24"/>
                <w:lang w:val="fi-FI" w:eastAsia="fi-FI"/>
              </w:rPr>
              <w:t>Assumed risk allele</w:t>
            </w:r>
          </w:p>
        </w:tc>
        <w:tc>
          <w:tcPr>
            <w:tcW w:w="960" w:type="dxa"/>
            <w:tcBorders>
              <w:top w:val="single" w:sz="4" w:space="0" w:color="auto"/>
              <w:left w:val="nil"/>
              <w:bottom w:val="nil"/>
              <w:right w:val="nil"/>
            </w:tcBorders>
            <w:shd w:val="clear" w:color="auto" w:fill="auto"/>
            <w:noWrap/>
            <w:hideMark/>
          </w:tcPr>
          <w:p w14:paraId="158A67DD" w14:textId="77777777" w:rsidR="00E63DF9" w:rsidRPr="006C023E" w:rsidRDefault="00E63DF9" w:rsidP="009B66A5">
            <w:pPr>
              <w:spacing w:after="0" w:line="360" w:lineRule="auto"/>
              <w:rPr>
                <w:rFonts w:ascii="Times New Roman" w:eastAsia="Times New Roman" w:hAnsi="Times New Roman" w:cs="Times New Roman"/>
                <w:bCs/>
                <w:sz w:val="24"/>
                <w:szCs w:val="24"/>
                <w:lang w:val="fi-FI" w:eastAsia="fi-FI"/>
              </w:rPr>
            </w:pPr>
            <w:r w:rsidRPr="006C023E">
              <w:rPr>
                <w:rFonts w:ascii="Times New Roman" w:eastAsia="Times New Roman" w:hAnsi="Times New Roman" w:cs="Times New Roman"/>
                <w:bCs/>
                <w:sz w:val="24"/>
                <w:szCs w:val="24"/>
                <w:lang w:val="fi-FI" w:eastAsia="fi-FI"/>
              </w:rPr>
              <w:t>Funct-ional</w:t>
            </w:r>
          </w:p>
        </w:tc>
        <w:tc>
          <w:tcPr>
            <w:tcW w:w="858" w:type="dxa"/>
            <w:tcBorders>
              <w:top w:val="single" w:sz="4" w:space="0" w:color="auto"/>
              <w:left w:val="nil"/>
              <w:bottom w:val="nil"/>
              <w:right w:val="nil"/>
            </w:tcBorders>
            <w:shd w:val="clear" w:color="auto" w:fill="auto"/>
            <w:noWrap/>
            <w:hideMark/>
          </w:tcPr>
          <w:p w14:paraId="79BF4526" w14:textId="77777777" w:rsidR="00E63DF9" w:rsidRPr="006C023E" w:rsidRDefault="00E63DF9" w:rsidP="009B66A5">
            <w:pPr>
              <w:spacing w:after="0" w:line="360" w:lineRule="auto"/>
              <w:rPr>
                <w:rFonts w:ascii="Times New Roman" w:eastAsia="Times New Roman" w:hAnsi="Times New Roman" w:cs="Times New Roman"/>
                <w:bCs/>
                <w:sz w:val="24"/>
                <w:szCs w:val="24"/>
                <w:lang w:val="fi-FI" w:eastAsia="fi-FI"/>
              </w:rPr>
            </w:pPr>
            <w:r w:rsidRPr="006C023E">
              <w:rPr>
                <w:rFonts w:ascii="Times New Roman" w:eastAsia="Times New Roman" w:hAnsi="Times New Roman" w:cs="Times New Roman"/>
                <w:bCs/>
                <w:sz w:val="24"/>
                <w:szCs w:val="24"/>
                <w:lang w:val="fi-FI" w:eastAsia="fi-FI"/>
              </w:rPr>
              <w:t>MAF</w:t>
            </w:r>
          </w:p>
        </w:tc>
        <w:tc>
          <w:tcPr>
            <w:tcW w:w="1036" w:type="dxa"/>
            <w:tcBorders>
              <w:top w:val="single" w:sz="4" w:space="0" w:color="auto"/>
              <w:left w:val="nil"/>
              <w:bottom w:val="nil"/>
              <w:right w:val="nil"/>
            </w:tcBorders>
            <w:shd w:val="clear" w:color="auto" w:fill="auto"/>
            <w:hideMark/>
          </w:tcPr>
          <w:p w14:paraId="39CCC807" w14:textId="77777777" w:rsidR="00E63DF9" w:rsidRPr="006C023E" w:rsidRDefault="00E63DF9" w:rsidP="009B66A5">
            <w:pPr>
              <w:spacing w:after="0" w:line="360" w:lineRule="auto"/>
              <w:rPr>
                <w:rFonts w:ascii="Times New Roman" w:eastAsia="Times New Roman" w:hAnsi="Times New Roman" w:cs="Times New Roman"/>
                <w:bCs/>
                <w:sz w:val="24"/>
                <w:szCs w:val="24"/>
                <w:lang w:val="fi-FI" w:eastAsia="fi-FI"/>
              </w:rPr>
            </w:pPr>
            <w:r w:rsidRPr="006C023E">
              <w:rPr>
                <w:rFonts w:ascii="Times New Roman" w:eastAsia="Times New Roman" w:hAnsi="Times New Roman" w:cs="Times New Roman"/>
                <w:bCs/>
                <w:sz w:val="24"/>
                <w:szCs w:val="24"/>
                <w:lang w:val="fi-FI" w:eastAsia="fi-FI"/>
              </w:rPr>
              <w:t>HWE p-value</w:t>
            </w:r>
          </w:p>
        </w:tc>
        <w:tc>
          <w:tcPr>
            <w:tcW w:w="1021" w:type="dxa"/>
            <w:tcBorders>
              <w:top w:val="single" w:sz="4" w:space="0" w:color="auto"/>
              <w:left w:val="nil"/>
              <w:bottom w:val="nil"/>
              <w:right w:val="nil"/>
            </w:tcBorders>
            <w:shd w:val="clear" w:color="auto" w:fill="auto"/>
            <w:noWrap/>
            <w:hideMark/>
          </w:tcPr>
          <w:p w14:paraId="00228CE3" w14:textId="77777777" w:rsidR="00E63DF9" w:rsidRPr="006C023E" w:rsidRDefault="00E63DF9" w:rsidP="009B66A5">
            <w:pPr>
              <w:spacing w:after="0" w:line="360" w:lineRule="auto"/>
              <w:rPr>
                <w:rFonts w:ascii="Times New Roman" w:eastAsia="Times New Roman" w:hAnsi="Times New Roman" w:cs="Times New Roman"/>
                <w:bCs/>
                <w:sz w:val="24"/>
                <w:szCs w:val="24"/>
                <w:lang w:val="fi-FI" w:eastAsia="fi-FI"/>
              </w:rPr>
            </w:pPr>
            <w:r w:rsidRPr="006C023E">
              <w:rPr>
                <w:rFonts w:ascii="Times New Roman" w:eastAsia="Times New Roman" w:hAnsi="Times New Roman" w:cs="Times New Roman"/>
                <w:bCs/>
                <w:sz w:val="24"/>
                <w:szCs w:val="24"/>
                <w:lang w:val="fi-FI" w:eastAsia="fi-FI"/>
              </w:rPr>
              <w:t>Imputed</w:t>
            </w:r>
          </w:p>
        </w:tc>
      </w:tr>
      <w:tr w:rsidR="00E63DF9" w:rsidRPr="006C023E" w14:paraId="36CDC101" w14:textId="77777777" w:rsidTr="009B66A5">
        <w:trPr>
          <w:trHeight w:val="310"/>
        </w:trPr>
        <w:tc>
          <w:tcPr>
            <w:tcW w:w="1560" w:type="dxa"/>
            <w:tcBorders>
              <w:top w:val="nil"/>
              <w:left w:val="nil"/>
              <w:bottom w:val="nil"/>
              <w:right w:val="nil"/>
            </w:tcBorders>
            <w:shd w:val="clear" w:color="auto" w:fill="auto"/>
            <w:noWrap/>
            <w:vAlign w:val="center"/>
            <w:hideMark/>
          </w:tcPr>
          <w:p w14:paraId="7BB26C01"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rs53576</w:t>
            </w:r>
          </w:p>
        </w:tc>
        <w:tc>
          <w:tcPr>
            <w:tcW w:w="960" w:type="dxa"/>
            <w:tcBorders>
              <w:top w:val="nil"/>
              <w:left w:val="nil"/>
              <w:bottom w:val="nil"/>
              <w:right w:val="nil"/>
            </w:tcBorders>
            <w:shd w:val="clear" w:color="auto" w:fill="auto"/>
            <w:vAlign w:val="center"/>
            <w:hideMark/>
          </w:tcPr>
          <w:p w14:paraId="06E65DD9"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OXTR</w:t>
            </w:r>
          </w:p>
        </w:tc>
        <w:tc>
          <w:tcPr>
            <w:tcW w:w="960" w:type="dxa"/>
            <w:tcBorders>
              <w:top w:val="nil"/>
              <w:left w:val="nil"/>
              <w:bottom w:val="nil"/>
              <w:right w:val="nil"/>
            </w:tcBorders>
            <w:shd w:val="clear" w:color="auto" w:fill="auto"/>
            <w:noWrap/>
            <w:vAlign w:val="center"/>
            <w:hideMark/>
          </w:tcPr>
          <w:p w14:paraId="4EAB0E7F"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3</w:t>
            </w:r>
          </w:p>
        </w:tc>
        <w:tc>
          <w:tcPr>
            <w:tcW w:w="1380" w:type="dxa"/>
            <w:tcBorders>
              <w:top w:val="nil"/>
              <w:left w:val="nil"/>
              <w:bottom w:val="nil"/>
              <w:right w:val="nil"/>
            </w:tcBorders>
            <w:shd w:val="clear" w:color="auto" w:fill="auto"/>
            <w:noWrap/>
            <w:vAlign w:val="center"/>
            <w:hideMark/>
          </w:tcPr>
          <w:p w14:paraId="1357EE9D"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8804371</w:t>
            </w:r>
          </w:p>
        </w:tc>
        <w:tc>
          <w:tcPr>
            <w:tcW w:w="669" w:type="dxa"/>
            <w:tcBorders>
              <w:top w:val="nil"/>
              <w:left w:val="nil"/>
              <w:bottom w:val="nil"/>
              <w:right w:val="nil"/>
            </w:tcBorders>
            <w:shd w:val="clear" w:color="auto" w:fill="auto"/>
            <w:noWrap/>
            <w:vAlign w:val="center"/>
            <w:hideMark/>
          </w:tcPr>
          <w:p w14:paraId="2F69B3A9"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A</w:t>
            </w:r>
          </w:p>
        </w:tc>
        <w:tc>
          <w:tcPr>
            <w:tcW w:w="1251" w:type="dxa"/>
            <w:tcBorders>
              <w:top w:val="nil"/>
              <w:left w:val="nil"/>
              <w:bottom w:val="nil"/>
              <w:right w:val="nil"/>
            </w:tcBorders>
            <w:shd w:val="clear" w:color="auto" w:fill="auto"/>
            <w:vAlign w:val="center"/>
            <w:hideMark/>
          </w:tcPr>
          <w:p w14:paraId="051E1DD5"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(Minor)</w:t>
            </w:r>
          </w:p>
        </w:tc>
        <w:tc>
          <w:tcPr>
            <w:tcW w:w="960" w:type="dxa"/>
            <w:tcBorders>
              <w:top w:val="nil"/>
              <w:left w:val="nil"/>
              <w:bottom w:val="nil"/>
              <w:right w:val="nil"/>
            </w:tcBorders>
            <w:shd w:val="clear" w:color="auto" w:fill="auto"/>
            <w:noWrap/>
            <w:vAlign w:val="center"/>
            <w:hideMark/>
          </w:tcPr>
          <w:p w14:paraId="6F6B3A22"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G</w:t>
            </w:r>
          </w:p>
        </w:tc>
        <w:tc>
          <w:tcPr>
            <w:tcW w:w="1074" w:type="dxa"/>
            <w:tcBorders>
              <w:top w:val="nil"/>
              <w:left w:val="nil"/>
              <w:bottom w:val="nil"/>
              <w:right w:val="nil"/>
            </w:tcBorders>
            <w:shd w:val="clear" w:color="auto" w:fill="auto"/>
            <w:noWrap/>
            <w:vAlign w:val="center"/>
            <w:hideMark/>
          </w:tcPr>
          <w:p w14:paraId="7FA22EAC"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A</w:t>
            </w:r>
          </w:p>
        </w:tc>
        <w:tc>
          <w:tcPr>
            <w:tcW w:w="960" w:type="dxa"/>
            <w:tcBorders>
              <w:top w:val="nil"/>
              <w:left w:val="nil"/>
              <w:bottom w:val="nil"/>
              <w:right w:val="nil"/>
            </w:tcBorders>
            <w:shd w:val="clear" w:color="auto" w:fill="auto"/>
            <w:noWrap/>
            <w:vAlign w:val="center"/>
            <w:hideMark/>
          </w:tcPr>
          <w:p w14:paraId="0BE5744C"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p>
        </w:tc>
        <w:tc>
          <w:tcPr>
            <w:tcW w:w="858" w:type="dxa"/>
            <w:tcBorders>
              <w:top w:val="nil"/>
              <w:left w:val="nil"/>
              <w:bottom w:val="nil"/>
              <w:right w:val="nil"/>
            </w:tcBorders>
            <w:shd w:val="clear" w:color="auto" w:fill="auto"/>
            <w:noWrap/>
            <w:vAlign w:val="center"/>
            <w:hideMark/>
          </w:tcPr>
          <w:p w14:paraId="7CAB4C2A"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42,7</w:t>
            </w:r>
          </w:p>
        </w:tc>
        <w:tc>
          <w:tcPr>
            <w:tcW w:w="1036" w:type="dxa"/>
            <w:tcBorders>
              <w:top w:val="nil"/>
              <w:left w:val="nil"/>
              <w:bottom w:val="nil"/>
              <w:right w:val="nil"/>
            </w:tcBorders>
            <w:shd w:val="clear" w:color="auto" w:fill="auto"/>
            <w:vAlign w:val="center"/>
            <w:hideMark/>
          </w:tcPr>
          <w:p w14:paraId="5295EF2D" w14:textId="77777777" w:rsidR="00E63DF9" w:rsidRPr="006C023E" w:rsidRDefault="00E63DF9" w:rsidP="009B66A5">
            <w:pPr>
              <w:pStyle w:val="HTMLPreformatted"/>
              <w:shd w:val="clear" w:color="auto" w:fill="FFFFFF"/>
              <w:wordWrap w:val="0"/>
              <w:spacing w:line="360" w:lineRule="auto"/>
              <w:rPr>
                <w:rFonts w:ascii="Times New Roman" w:hAnsi="Times New Roman" w:cs="Times New Roman"/>
                <w:sz w:val="24"/>
                <w:szCs w:val="24"/>
              </w:rPr>
            </w:pPr>
            <w:r w:rsidRPr="006C023E">
              <w:rPr>
                <w:rStyle w:val="gd15mcfceub"/>
                <w:rFonts w:ascii="Times New Roman" w:hAnsi="Times New Roman" w:cs="Times New Roman"/>
                <w:sz w:val="24"/>
                <w:szCs w:val="24"/>
                <w:bdr w:val="none" w:sz="0" w:space="0" w:color="auto" w:frame="1"/>
              </w:rPr>
              <w:t>0.019</w:t>
            </w:r>
          </w:p>
        </w:tc>
        <w:tc>
          <w:tcPr>
            <w:tcW w:w="1021" w:type="dxa"/>
            <w:tcBorders>
              <w:top w:val="nil"/>
              <w:left w:val="nil"/>
              <w:bottom w:val="nil"/>
              <w:right w:val="nil"/>
            </w:tcBorders>
            <w:shd w:val="clear" w:color="auto" w:fill="auto"/>
            <w:noWrap/>
            <w:vAlign w:val="center"/>
            <w:hideMark/>
          </w:tcPr>
          <w:p w14:paraId="5D057E5E"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p>
        </w:tc>
      </w:tr>
      <w:tr w:rsidR="00E63DF9" w:rsidRPr="006C023E" w14:paraId="189EC123" w14:textId="77777777" w:rsidTr="009B66A5">
        <w:trPr>
          <w:trHeight w:val="310"/>
        </w:trPr>
        <w:tc>
          <w:tcPr>
            <w:tcW w:w="1560" w:type="dxa"/>
            <w:tcBorders>
              <w:top w:val="nil"/>
              <w:left w:val="nil"/>
              <w:bottom w:val="nil"/>
              <w:right w:val="nil"/>
            </w:tcBorders>
            <w:shd w:val="clear" w:color="auto" w:fill="auto"/>
            <w:noWrap/>
            <w:vAlign w:val="center"/>
            <w:hideMark/>
          </w:tcPr>
          <w:p w14:paraId="0E720993"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rs2254298</w:t>
            </w:r>
          </w:p>
        </w:tc>
        <w:tc>
          <w:tcPr>
            <w:tcW w:w="960" w:type="dxa"/>
            <w:tcBorders>
              <w:top w:val="nil"/>
              <w:left w:val="nil"/>
              <w:bottom w:val="nil"/>
              <w:right w:val="nil"/>
            </w:tcBorders>
            <w:shd w:val="clear" w:color="auto" w:fill="auto"/>
            <w:vAlign w:val="center"/>
            <w:hideMark/>
          </w:tcPr>
          <w:p w14:paraId="47E60772"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OXTR</w:t>
            </w:r>
          </w:p>
        </w:tc>
        <w:tc>
          <w:tcPr>
            <w:tcW w:w="960" w:type="dxa"/>
            <w:tcBorders>
              <w:top w:val="nil"/>
              <w:left w:val="nil"/>
              <w:bottom w:val="nil"/>
              <w:right w:val="nil"/>
            </w:tcBorders>
            <w:shd w:val="clear" w:color="auto" w:fill="auto"/>
            <w:noWrap/>
            <w:vAlign w:val="center"/>
            <w:hideMark/>
          </w:tcPr>
          <w:p w14:paraId="5EB87F59"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3</w:t>
            </w:r>
          </w:p>
        </w:tc>
        <w:tc>
          <w:tcPr>
            <w:tcW w:w="1380" w:type="dxa"/>
            <w:tcBorders>
              <w:top w:val="nil"/>
              <w:left w:val="nil"/>
              <w:bottom w:val="nil"/>
              <w:right w:val="nil"/>
            </w:tcBorders>
            <w:shd w:val="clear" w:color="auto" w:fill="auto"/>
            <w:noWrap/>
            <w:vAlign w:val="center"/>
            <w:hideMark/>
          </w:tcPr>
          <w:p w14:paraId="66FA587D"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8802228</w:t>
            </w:r>
          </w:p>
        </w:tc>
        <w:tc>
          <w:tcPr>
            <w:tcW w:w="669" w:type="dxa"/>
            <w:tcBorders>
              <w:top w:val="nil"/>
              <w:left w:val="nil"/>
              <w:bottom w:val="nil"/>
              <w:right w:val="nil"/>
            </w:tcBorders>
            <w:shd w:val="clear" w:color="auto" w:fill="auto"/>
            <w:noWrap/>
            <w:vAlign w:val="center"/>
            <w:hideMark/>
          </w:tcPr>
          <w:p w14:paraId="2D21A77A"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G</w:t>
            </w:r>
          </w:p>
        </w:tc>
        <w:tc>
          <w:tcPr>
            <w:tcW w:w="1251" w:type="dxa"/>
            <w:tcBorders>
              <w:top w:val="nil"/>
              <w:left w:val="nil"/>
              <w:bottom w:val="nil"/>
              <w:right w:val="nil"/>
            </w:tcBorders>
            <w:shd w:val="clear" w:color="auto" w:fill="auto"/>
            <w:vAlign w:val="center"/>
            <w:hideMark/>
          </w:tcPr>
          <w:p w14:paraId="7F22B4A7"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(Major)</w:t>
            </w:r>
          </w:p>
        </w:tc>
        <w:tc>
          <w:tcPr>
            <w:tcW w:w="960" w:type="dxa"/>
            <w:tcBorders>
              <w:top w:val="nil"/>
              <w:left w:val="nil"/>
              <w:bottom w:val="nil"/>
              <w:right w:val="nil"/>
            </w:tcBorders>
            <w:shd w:val="clear" w:color="auto" w:fill="auto"/>
            <w:noWrap/>
            <w:vAlign w:val="center"/>
            <w:hideMark/>
          </w:tcPr>
          <w:p w14:paraId="717979DA"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T</w:t>
            </w:r>
          </w:p>
        </w:tc>
        <w:tc>
          <w:tcPr>
            <w:tcW w:w="1074" w:type="dxa"/>
            <w:tcBorders>
              <w:top w:val="nil"/>
              <w:left w:val="nil"/>
              <w:bottom w:val="nil"/>
              <w:right w:val="nil"/>
            </w:tcBorders>
            <w:shd w:val="clear" w:color="auto" w:fill="auto"/>
            <w:noWrap/>
            <w:vAlign w:val="center"/>
            <w:hideMark/>
          </w:tcPr>
          <w:p w14:paraId="5C44A4E4"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T</w:t>
            </w:r>
          </w:p>
        </w:tc>
        <w:tc>
          <w:tcPr>
            <w:tcW w:w="960" w:type="dxa"/>
            <w:tcBorders>
              <w:top w:val="nil"/>
              <w:left w:val="nil"/>
              <w:bottom w:val="nil"/>
              <w:right w:val="nil"/>
            </w:tcBorders>
            <w:shd w:val="clear" w:color="auto" w:fill="auto"/>
            <w:noWrap/>
            <w:vAlign w:val="center"/>
            <w:hideMark/>
          </w:tcPr>
          <w:p w14:paraId="5076B30B"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p>
        </w:tc>
        <w:tc>
          <w:tcPr>
            <w:tcW w:w="858" w:type="dxa"/>
            <w:tcBorders>
              <w:top w:val="nil"/>
              <w:left w:val="nil"/>
              <w:bottom w:val="nil"/>
              <w:right w:val="nil"/>
            </w:tcBorders>
            <w:shd w:val="clear" w:color="auto" w:fill="auto"/>
            <w:noWrap/>
            <w:vAlign w:val="center"/>
            <w:hideMark/>
          </w:tcPr>
          <w:p w14:paraId="74BF7C44"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8,6</w:t>
            </w:r>
          </w:p>
        </w:tc>
        <w:tc>
          <w:tcPr>
            <w:tcW w:w="1036" w:type="dxa"/>
            <w:tcBorders>
              <w:top w:val="nil"/>
              <w:left w:val="nil"/>
              <w:bottom w:val="nil"/>
              <w:right w:val="nil"/>
            </w:tcBorders>
            <w:shd w:val="clear" w:color="auto" w:fill="auto"/>
            <w:vAlign w:val="center"/>
            <w:hideMark/>
          </w:tcPr>
          <w:p w14:paraId="710F43A5" w14:textId="77777777" w:rsidR="00E63DF9" w:rsidRPr="006C023E" w:rsidRDefault="00E63DF9" w:rsidP="009B66A5">
            <w:pPr>
              <w:pStyle w:val="HTMLPreformatted"/>
              <w:shd w:val="clear" w:color="auto" w:fill="FFFFFF"/>
              <w:wordWrap w:val="0"/>
              <w:spacing w:line="360" w:lineRule="auto"/>
              <w:rPr>
                <w:rFonts w:ascii="Times New Roman" w:hAnsi="Times New Roman" w:cs="Times New Roman"/>
                <w:sz w:val="24"/>
                <w:szCs w:val="24"/>
              </w:rPr>
            </w:pPr>
            <w:r w:rsidRPr="006C023E">
              <w:rPr>
                <w:rStyle w:val="gd15mcfceub"/>
                <w:rFonts w:ascii="Times New Roman" w:hAnsi="Times New Roman" w:cs="Times New Roman"/>
                <w:sz w:val="24"/>
                <w:szCs w:val="24"/>
                <w:bdr w:val="none" w:sz="0" w:space="0" w:color="auto" w:frame="1"/>
              </w:rPr>
              <w:t>0.584</w:t>
            </w:r>
          </w:p>
        </w:tc>
        <w:tc>
          <w:tcPr>
            <w:tcW w:w="1021" w:type="dxa"/>
            <w:tcBorders>
              <w:top w:val="nil"/>
              <w:left w:val="nil"/>
              <w:bottom w:val="nil"/>
              <w:right w:val="nil"/>
            </w:tcBorders>
            <w:shd w:val="clear" w:color="auto" w:fill="auto"/>
            <w:noWrap/>
            <w:vAlign w:val="center"/>
            <w:hideMark/>
          </w:tcPr>
          <w:p w14:paraId="71A31663"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Yes</w:t>
            </w:r>
          </w:p>
        </w:tc>
      </w:tr>
      <w:tr w:rsidR="00E63DF9" w:rsidRPr="006C023E" w14:paraId="45BB7139" w14:textId="77777777" w:rsidTr="009B66A5">
        <w:trPr>
          <w:trHeight w:val="310"/>
        </w:trPr>
        <w:tc>
          <w:tcPr>
            <w:tcW w:w="1560" w:type="dxa"/>
            <w:tcBorders>
              <w:top w:val="nil"/>
              <w:left w:val="nil"/>
              <w:bottom w:val="nil"/>
              <w:right w:val="nil"/>
            </w:tcBorders>
            <w:shd w:val="clear" w:color="auto" w:fill="auto"/>
            <w:noWrap/>
            <w:vAlign w:val="center"/>
            <w:hideMark/>
          </w:tcPr>
          <w:p w14:paraId="1D642838"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rs6449182</w:t>
            </w:r>
          </w:p>
        </w:tc>
        <w:tc>
          <w:tcPr>
            <w:tcW w:w="960" w:type="dxa"/>
            <w:tcBorders>
              <w:top w:val="nil"/>
              <w:left w:val="nil"/>
              <w:bottom w:val="nil"/>
              <w:right w:val="nil"/>
            </w:tcBorders>
            <w:shd w:val="clear" w:color="auto" w:fill="auto"/>
            <w:vAlign w:val="center"/>
            <w:hideMark/>
          </w:tcPr>
          <w:p w14:paraId="2667B148"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CD38</w:t>
            </w:r>
          </w:p>
        </w:tc>
        <w:tc>
          <w:tcPr>
            <w:tcW w:w="960" w:type="dxa"/>
            <w:tcBorders>
              <w:top w:val="nil"/>
              <w:left w:val="nil"/>
              <w:bottom w:val="nil"/>
              <w:right w:val="nil"/>
            </w:tcBorders>
            <w:shd w:val="clear" w:color="auto" w:fill="auto"/>
            <w:noWrap/>
            <w:vAlign w:val="center"/>
            <w:hideMark/>
          </w:tcPr>
          <w:p w14:paraId="7308CED3"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4</w:t>
            </w:r>
          </w:p>
        </w:tc>
        <w:tc>
          <w:tcPr>
            <w:tcW w:w="1380" w:type="dxa"/>
            <w:tcBorders>
              <w:top w:val="nil"/>
              <w:left w:val="nil"/>
              <w:bottom w:val="nil"/>
              <w:right w:val="nil"/>
            </w:tcBorders>
            <w:shd w:val="clear" w:color="auto" w:fill="auto"/>
            <w:noWrap/>
            <w:vAlign w:val="center"/>
            <w:hideMark/>
          </w:tcPr>
          <w:p w14:paraId="33F37348"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15780453</w:t>
            </w:r>
          </w:p>
        </w:tc>
        <w:tc>
          <w:tcPr>
            <w:tcW w:w="669" w:type="dxa"/>
            <w:tcBorders>
              <w:top w:val="nil"/>
              <w:left w:val="nil"/>
              <w:bottom w:val="nil"/>
              <w:right w:val="nil"/>
            </w:tcBorders>
            <w:shd w:val="clear" w:color="auto" w:fill="auto"/>
            <w:noWrap/>
            <w:vAlign w:val="center"/>
            <w:hideMark/>
          </w:tcPr>
          <w:p w14:paraId="1D9A6A19"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C</w:t>
            </w:r>
          </w:p>
        </w:tc>
        <w:tc>
          <w:tcPr>
            <w:tcW w:w="1251" w:type="dxa"/>
            <w:tcBorders>
              <w:top w:val="nil"/>
              <w:left w:val="nil"/>
              <w:bottom w:val="nil"/>
              <w:right w:val="nil"/>
            </w:tcBorders>
            <w:shd w:val="clear" w:color="auto" w:fill="auto"/>
            <w:vAlign w:val="center"/>
            <w:hideMark/>
          </w:tcPr>
          <w:p w14:paraId="47E50BDC"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(Major)</w:t>
            </w:r>
          </w:p>
        </w:tc>
        <w:tc>
          <w:tcPr>
            <w:tcW w:w="960" w:type="dxa"/>
            <w:tcBorders>
              <w:top w:val="nil"/>
              <w:left w:val="nil"/>
              <w:bottom w:val="nil"/>
              <w:right w:val="nil"/>
            </w:tcBorders>
            <w:shd w:val="clear" w:color="auto" w:fill="auto"/>
            <w:noWrap/>
            <w:vAlign w:val="center"/>
            <w:hideMark/>
          </w:tcPr>
          <w:p w14:paraId="3904DB67"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G</w:t>
            </w:r>
          </w:p>
        </w:tc>
        <w:tc>
          <w:tcPr>
            <w:tcW w:w="1074" w:type="dxa"/>
            <w:tcBorders>
              <w:top w:val="nil"/>
              <w:left w:val="nil"/>
              <w:bottom w:val="nil"/>
              <w:right w:val="nil"/>
            </w:tcBorders>
            <w:shd w:val="clear" w:color="auto" w:fill="auto"/>
            <w:noWrap/>
            <w:vAlign w:val="center"/>
            <w:hideMark/>
          </w:tcPr>
          <w:p w14:paraId="0A61C827"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G</w:t>
            </w:r>
          </w:p>
        </w:tc>
        <w:tc>
          <w:tcPr>
            <w:tcW w:w="960" w:type="dxa"/>
            <w:tcBorders>
              <w:top w:val="nil"/>
              <w:left w:val="nil"/>
              <w:bottom w:val="nil"/>
              <w:right w:val="nil"/>
            </w:tcBorders>
            <w:shd w:val="clear" w:color="auto" w:fill="auto"/>
            <w:noWrap/>
            <w:vAlign w:val="center"/>
            <w:hideMark/>
          </w:tcPr>
          <w:p w14:paraId="64482974"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p>
        </w:tc>
        <w:tc>
          <w:tcPr>
            <w:tcW w:w="858" w:type="dxa"/>
            <w:tcBorders>
              <w:top w:val="nil"/>
              <w:left w:val="nil"/>
              <w:bottom w:val="nil"/>
              <w:right w:val="nil"/>
            </w:tcBorders>
            <w:shd w:val="clear" w:color="auto" w:fill="auto"/>
            <w:noWrap/>
            <w:vAlign w:val="center"/>
            <w:hideMark/>
          </w:tcPr>
          <w:p w14:paraId="3F6B2434"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21,2</w:t>
            </w:r>
          </w:p>
        </w:tc>
        <w:tc>
          <w:tcPr>
            <w:tcW w:w="1036" w:type="dxa"/>
            <w:tcBorders>
              <w:top w:val="nil"/>
              <w:left w:val="nil"/>
              <w:bottom w:val="nil"/>
              <w:right w:val="nil"/>
            </w:tcBorders>
            <w:shd w:val="clear" w:color="auto" w:fill="auto"/>
            <w:vAlign w:val="center"/>
            <w:hideMark/>
          </w:tcPr>
          <w:p w14:paraId="0C58A94C" w14:textId="77777777" w:rsidR="00E63DF9" w:rsidRPr="006C023E" w:rsidRDefault="00E63DF9" w:rsidP="009B66A5">
            <w:pPr>
              <w:pStyle w:val="HTMLPreformatted"/>
              <w:shd w:val="clear" w:color="auto" w:fill="FFFFFF"/>
              <w:wordWrap w:val="0"/>
              <w:spacing w:line="360" w:lineRule="auto"/>
              <w:rPr>
                <w:rFonts w:ascii="Times New Roman" w:hAnsi="Times New Roman" w:cs="Times New Roman"/>
                <w:sz w:val="24"/>
                <w:szCs w:val="24"/>
              </w:rPr>
            </w:pPr>
            <w:r w:rsidRPr="006C023E">
              <w:rPr>
                <w:rStyle w:val="gd15mcfceub"/>
                <w:rFonts w:ascii="Times New Roman" w:hAnsi="Times New Roman" w:cs="Times New Roman"/>
                <w:sz w:val="24"/>
                <w:szCs w:val="24"/>
                <w:bdr w:val="none" w:sz="0" w:space="0" w:color="auto" w:frame="1"/>
              </w:rPr>
              <w:t>0.272</w:t>
            </w:r>
          </w:p>
        </w:tc>
        <w:tc>
          <w:tcPr>
            <w:tcW w:w="1021" w:type="dxa"/>
            <w:tcBorders>
              <w:top w:val="nil"/>
              <w:left w:val="nil"/>
              <w:bottom w:val="nil"/>
              <w:right w:val="nil"/>
            </w:tcBorders>
            <w:shd w:val="clear" w:color="auto" w:fill="auto"/>
            <w:noWrap/>
            <w:vAlign w:val="center"/>
            <w:hideMark/>
          </w:tcPr>
          <w:p w14:paraId="40638A3F"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Yes</w:t>
            </w:r>
          </w:p>
        </w:tc>
      </w:tr>
      <w:tr w:rsidR="00E63DF9" w:rsidRPr="006C023E" w14:paraId="7693E452" w14:textId="77777777" w:rsidTr="009B66A5">
        <w:trPr>
          <w:trHeight w:val="310"/>
        </w:trPr>
        <w:tc>
          <w:tcPr>
            <w:tcW w:w="1560" w:type="dxa"/>
            <w:tcBorders>
              <w:top w:val="nil"/>
              <w:left w:val="nil"/>
              <w:bottom w:val="nil"/>
              <w:right w:val="nil"/>
            </w:tcBorders>
            <w:shd w:val="clear" w:color="auto" w:fill="auto"/>
            <w:noWrap/>
            <w:vAlign w:val="center"/>
            <w:hideMark/>
          </w:tcPr>
          <w:p w14:paraId="42F3657C"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rs12644506</w:t>
            </w:r>
          </w:p>
        </w:tc>
        <w:tc>
          <w:tcPr>
            <w:tcW w:w="960" w:type="dxa"/>
            <w:tcBorders>
              <w:top w:val="nil"/>
              <w:left w:val="nil"/>
              <w:bottom w:val="nil"/>
              <w:right w:val="nil"/>
            </w:tcBorders>
            <w:shd w:val="clear" w:color="auto" w:fill="auto"/>
            <w:vAlign w:val="center"/>
            <w:hideMark/>
          </w:tcPr>
          <w:p w14:paraId="0E890E5B"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CD38</w:t>
            </w:r>
          </w:p>
        </w:tc>
        <w:tc>
          <w:tcPr>
            <w:tcW w:w="960" w:type="dxa"/>
            <w:tcBorders>
              <w:top w:val="nil"/>
              <w:left w:val="nil"/>
              <w:bottom w:val="nil"/>
              <w:right w:val="nil"/>
            </w:tcBorders>
            <w:shd w:val="clear" w:color="auto" w:fill="auto"/>
            <w:noWrap/>
            <w:vAlign w:val="center"/>
            <w:hideMark/>
          </w:tcPr>
          <w:p w14:paraId="3AF87766"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4</w:t>
            </w:r>
          </w:p>
        </w:tc>
        <w:tc>
          <w:tcPr>
            <w:tcW w:w="1380" w:type="dxa"/>
            <w:tcBorders>
              <w:top w:val="nil"/>
              <w:left w:val="nil"/>
              <w:bottom w:val="nil"/>
              <w:right w:val="nil"/>
            </w:tcBorders>
            <w:shd w:val="clear" w:color="auto" w:fill="auto"/>
            <w:noWrap/>
            <w:vAlign w:val="center"/>
            <w:hideMark/>
          </w:tcPr>
          <w:p w14:paraId="690962B0"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15799878</w:t>
            </w:r>
          </w:p>
        </w:tc>
        <w:tc>
          <w:tcPr>
            <w:tcW w:w="669" w:type="dxa"/>
            <w:tcBorders>
              <w:top w:val="nil"/>
              <w:left w:val="nil"/>
              <w:bottom w:val="nil"/>
              <w:right w:val="nil"/>
            </w:tcBorders>
            <w:shd w:val="clear" w:color="auto" w:fill="auto"/>
            <w:noWrap/>
            <w:vAlign w:val="center"/>
            <w:hideMark/>
          </w:tcPr>
          <w:p w14:paraId="281BE397"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C</w:t>
            </w:r>
          </w:p>
        </w:tc>
        <w:tc>
          <w:tcPr>
            <w:tcW w:w="1251" w:type="dxa"/>
            <w:tcBorders>
              <w:top w:val="nil"/>
              <w:left w:val="nil"/>
              <w:bottom w:val="nil"/>
              <w:right w:val="nil"/>
            </w:tcBorders>
            <w:shd w:val="clear" w:color="auto" w:fill="auto"/>
            <w:vAlign w:val="center"/>
            <w:hideMark/>
          </w:tcPr>
          <w:p w14:paraId="50F6CFAD"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(Major)</w:t>
            </w:r>
          </w:p>
        </w:tc>
        <w:tc>
          <w:tcPr>
            <w:tcW w:w="960" w:type="dxa"/>
            <w:tcBorders>
              <w:top w:val="nil"/>
              <w:left w:val="nil"/>
              <w:bottom w:val="nil"/>
              <w:right w:val="nil"/>
            </w:tcBorders>
            <w:shd w:val="clear" w:color="auto" w:fill="auto"/>
            <w:noWrap/>
            <w:vAlign w:val="center"/>
            <w:hideMark/>
          </w:tcPr>
          <w:p w14:paraId="278A060D"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T</w:t>
            </w:r>
          </w:p>
        </w:tc>
        <w:tc>
          <w:tcPr>
            <w:tcW w:w="1074" w:type="dxa"/>
            <w:tcBorders>
              <w:top w:val="nil"/>
              <w:left w:val="nil"/>
              <w:bottom w:val="nil"/>
              <w:right w:val="nil"/>
            </w:tcBorders>
            <w:shd w:val="clear" w:color="auto" w:fill="auto"/>
            <w:noWrap/>
            <w:vAlign w:val="center"/>
            <w:hideMark/>
          </w:tcPr>
          <w:p w14:paraId="7516F145"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T</w:t>
            </w:r>
          </w:p>
        </w:tc>
        <w:tc>
          <w:tcPr>
            <w:tcW w:w="960" w:type="dxa"/>
            <w:tcBorders>
              <w:top w:val="nil"/>
              <w:left w:val="nil"/>
              <w:bottom w:val="nil"/>
              <w:right w:val="nil"/>
            </w:tcBorders>
            <w:shd w:val="clear" w:color="auto" w:fill="auto"/>
            <w:noWrap/>
            <w:vAlign w:val="center"/>
            <w:hideMark/>
          </w:tcPr>
          <w:p w14:paraId="0C32C806"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p>
        </w:tc>
        <w:tc>
          <w:tcPr>
            <w:tcW w:w="858" w:type="dxa"/>
            <w:tcBorders>
              <w:top w:val="nil"/>
              <w:left w:val="nil"/>
              <w:bottom w:val="nil"/>
              <w:right w:val="nil"/>
            </w:tcBorders>
            <w:shd w:val="clear" w:color="auto" w:fill="auto"/>
            <w:noWrap/>
            <w:vAlign w:val="center"/>
            <w:hideMark/>
          </w:tcPr>
          <w:p w14:paraId="13304DA6"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14</w:t>
            </w:r>
          </w:p>
        </w:tc>
        <w:tc>
          <w:tcPr>
            <w:tcW w:w="1036" w:type="dxa"/>
            <w:tcBorders>
              <w:top w:val="nil"/>
              <w:left w:val="nil"/>
              <w:bottom w:val="nil"/>
              <w:right w:val="nil"/>
            </w:tcBorders>
            <w:shd w:val="clear" w:color="auto" w:fill="auto"/>
            <w:vAlign w:val="center"/>
            <w:hideMark/>
          </w:tcPr>
          <w:p w14:paraId="3F1F8703" w14:textId="77777777" w:rsidR="00E63DF9" w:rsidRPr="006C023E" w:rsidRDefault="00E63DF9" w:rsidP="009B66A5">
            <w:pPr>
              <w:pStyle w:val="HTMLPreformatted"/>
              <w:shd w:val="clear" w:color="auto" w:fill="FFFFFF"/>
              <w:wordWrap w:val="0"/>
              <w:spacing w:line="360" w:lineRule="auto"/>
              <w:rPr>
                <w:rFonts w:ascii="Times New Roman" w:hAnsi="Times New Roman" w:cs="Times New Roman"/>
                <w:sz w:val="24"/>
                <w:szCs w:val="24"/>
              </w:rPr>
            </w:pPr>
            <w:r w:rsidRPr="006C023E">
              <w:rPr>
                <w:rStyle w:val="gd15mcfceub"/>
                <w:rFonts w:ascii="Times New Roman" w:hAnsi="Times New Roman" w:cs="Times New Roman"/>
                <w:sz w:val="24"/>
                <w:szCs w:val="24"/>
                <w:bdr w:val="none" w:sz="0" w:space="0" w:color="auto" w:frame="1"/>
              </w:rPr>
              <w:t>0.331</w:t>
            </w:r>
          </w:p>
        </w:tc>
        <w:tc>
          <w:tcPr>
            <w:tcW w:w="1021" w:type="dxa"/>
            <w:tcBorders>
              <w:top w:val="nil"/>
              <w:left w:val="nil"/>
              <w:bottom w:val="nil"/>
              <w:right w:val="nil"/>
            </w:tcBorders>
            <w:shd w:val="clear" w:color="auto" w:fill="auto"/>
            <w:noWrap/>
            <w:vAlign w:val="center"/>
            <w:hideMark/>
          </w:tcPr>
          <w:p w14:paraId="378B5049"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Yes</w:t>
            </w:r>
          </w:p>
        </w:tc>
      </w:tr>
      <w:tr w:rsidR="00E63DF9" w:rsidRPr="006C023E" w14:paraId="0BB2302D" w14:textId="77777777" w:rsidTr="009B66A5">
        <w:trPr>
          <w:trHeight w:val="310"/>
        </w:trPr>
        <w:tc>
          <w:tcPr>
            <w:tcW w:w="1560" w:type="dxa"/>
            <w:tcBorders>
              <w:top w:val="nil"/>
              <w:left w:val="nil"/>
              <w:bottom w:val="nil"/>
              <w:right w:val="nil"/>
            </w:tcBorders>
            <w:shd w:val="clear" w:color="auto" w:fill="auto"/>
            <w:noWrap/>
            <w:vAlign w:val="center"/>
            <w:hideMark/>
          </w:tcPr>
          <w:p w14:paraId="22AB1BE5"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rs1801028</w:t>
            </w:r>
          </w:p>
        </w:tc>
        <w:tc>
          <w:tcPr>
            <w:tcW w:w="960" w:type="dxa"/>
            <w:tcBorders>
              <w:top w:val="nil"/>
              <w:left w:val="nil"/>
              <w:bottom w:val="nil"/>
              <w:right w:val="nil"/>
            </w:tcBorders>
            <w:shd w:val="clear" w:color="auto" w:fill="auto"/>
            <w:vAlign w:val="center"/>
            <w:hideMark/>
          </w:tcPr>
          <w:p w14:paraId="1959EEA5"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DRD2</w:t>
            </w:r>
          </w:p>
        </w:tc>
        <w:tc>
          <w:tcPr>
            <w:tcW w:w="960" w:type="dxa"/>
            <w:tcBorders>
              <w:top w:val="nil"/>
              <w:left w:val="nil"/>
              <w:bottom w:val="nil"/>
              <w:right w:val="nil"/>
            </w:tcBorders>
            <w:shd w:val="clear" w:color="auto" w:fill="auto"/>
            <w:noWrap/>
            <w:vAlign w:val="center"/>
            <w:hideMark/>
          </w:tcPr>
          <w:p w14:paraId="2A24EA3D"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11</w:t>
            </w:r>
          </w:p>
        </w:tc>
        <w:tc>
          <w:tcPr>
            <w:tcW w:w="1380" w:type="dxa"/>
            <w:tcBorders>
              <w:top w:val="nil"/>
              <w:left w:val="nil"/>
              <w:bottom w:val="nil"/>
              <w:right w:val="nil"/>
            </w:tcBorders>
            <w:shd w:val="clear" w:color="auto" w:fill="auto"/>
            <w:noWrap/>
            <w:vAlign w:val="center"/>
            <w:hideMark/>
          </w:tcPr>
          <w:p w14:paraId="653AE5C6"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113283484</w:t>
            </w:r>
          </w:p>
        </w:tc>
        <w:tc>
          <w:tcPr>
            <w:tcW w:w="669" w:type="dxa"/>
            <w:tcBorders>
              <w:top w:val="nil"/>
              <w:left w:val="nil"/>
              <w:bottom w:val="nil"/>
              <w:right w:val="nil"/>
            </w:tcBorders>
            <w:shd w:val="clear" w:color="auto" w:fill="auto"/>
            <w:noWrap/>
            <w:vAlign w:val="center"/>
            <w:hideMark/>
          </w:tcPr>
          <w:p w14:paraId="1F8DBEF0"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G</w:t>
            </w:r>
          </w:p>
        </w:tc>
        <w:tc>
          <w:tcPr>
            <w:tcW w:w="1251" w:type="dxa"/>
            <w:tcBorders>
              <w:top w:val="nil"/>
              <w:left w:val="nil"/>
              <w:bottom w:val="nil"/>
              <w:right w:val="nil"/>
            </w:tcBorders>
            <w:shd w:val="clear" w:color="auto" w:fill="auto"/>
            <w:vAlign w:val="center"/>
            <w:hideMark/>
          </w:tcPr>
          <w:p w14:paraId="1BE2C725"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(Major)</w:t>
            </w:r>
          </w:p>
        </w:tc>
        <w:tc>
          <w:tcPr>
            <w:tcW w:w="960" w:type="dxa"/>
            <w:tcBorders>
              <w:top w:val="nil"/>
              <w:left w:val="nil"/>
              <w:bottom w:val="nil"/>
              <w:right w:val="nil"/>
            </w:tcBorders>
            <w:shd w:val="clear" w:color="auto" w:fill="auto"/>
            <w:noWrap/>
            <w:vAlign w:val="center"/>
            <w:hideMark/>
          </w:tcPr>
          <w:p w14:paraId="65FE94A1"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C</w:t>
            </w:r>
          </w:p>
        </w:tc>
        <w:tc>
          <w:tcPr>
            <w:tcW w:w="1074" w:type="dxa"/>
            <w:tcBorders>
              <w:top w:val="nil"/>
              <w:left w:val="nil"/>
              <w:bottom w:val="nil"/>
              <w:right w:val="nil"/>
            </w:tcBorders>
            <w:shd w:val="clear" w:color="auto" w:fill="auto"/>
            <w:noWrap/>
            <w:vAlign w:val="center"/>
            <w:hideMark/>
          </w:tcPr>
          <w:p w14:paraId="7298DB8C"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G</w:t>
            </w:r>
          </w:p>
        </w:tc>
        <w:tc>
          <w:tcPr>
            <w:tcW w:w="960" w:type="dxa"/>
            <w:tcBorders>
              <w:top w:val="nil"/>
              <w:left w:val="nil"/>
              <w:bottom w:val="nil"/>
              <w:right w:val="nil"/>
            </w:tcBorders>
            <w:shd w:val="clear" w:color="auto" w:fill="auto"/>
            <w:noWrap/>
            <w:vAlign w:val="center"/>
            <w:hideMark/>
          </w:tcPr>
          <w:p w14:paraId="6D2B7BBF"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Yes</w:t>
            </w:r>
          </w:p>
        </w:tc>
        <w:tc>
          <w:tcPr>
            <w:tcW w:w="858" w:type="dxa"/>
            <w:tcBorders>
              <w:top w:val="nil"/>
              <w:left w:val="nil"/>
              <w:bottom w:val="nil"/>
              <w:right w:val="nil"/>
            </w:tcBorders>
            <w:shd w:val="clear" w:color="auto" w:fill="auto"/>
            <w:noWrap/>
            <w:vAlign w:val="center"/>
            <w:hideMark/>
          </w:tcPr>
          <w:p w14:paraId="38375230"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21,6</w:t>
            </w:r>
          </w:p>
        </w:tc>
        <w:tc>
          <w:tcPr>
            <w:tcW w:w="1036" w:type="dxa"/>
            <w:tcBorders>
              <w:top w:val="nil"/>
              <w:left w:val="nil"/>
              <w:bottom w:val="nil"/>
              <w:right w:val="nil"/>
            </w:tcBorders>
            <w:shd w:val="clear" w:color="auto" w:fill="auto"/>
            <w:vAlign w:val="center"/>
            <w:hideMark/>
          </w:tcPr>
          <w:p w14:paraId="3D58C265"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1.000</w:t>
            </w:r>
          </w:p>
        </w:tc>
        <w:tc>
          <w:tcPr>
            <w:tcW w:w="1021" w:type="dxa"/>
            <w:tcBorders>
              <w:top w:val="nil"/>
              <w:left w:val="nil"/>
              <w:bottom w:val="nil"/>
              <w:right w:val="nil"/>
            </w:tcBorders>
            <w:shd w:val="clear" w:color="auto" w:fill="auto"/>
            <w:noWrap/>
            <w:vAlign w:val="center"/>
            <w:hideMark/>
          </w:tcPr>
          <w:p w14:paraId="1126770F"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Yes</w:t>
            </w:r>
          </w:p>
        </w:tc>
      </w:tr>
      <w:tr w:rsidR="00E63DF9" w:rsidRPr="006C023E" w14:paraId="6F39D78B" w14:textId="77777777" w:rsidTr="009B66A5">
        <w:trPr>
          <w:trHeight w:val="310"/>
        </w:trPr>
        <w:tc>
          <w:tcPr>
            <w:tcW w:w="1560" w:type="dxa"/>
            <w:tcBorders>
              <w:top w:val="nil"/>
              <w:left w:val="nil"/>
              <w:bottom w:val="nil"/>
              <w:right w:val="nil"/>
            </w:tcBorders>
            <w:shd w:val="clear" w:color="auto" w:fill="auto"/>
            <w:noWrap/>
            <w:vAlign w:val="center"/>
            <w:hideMark/>
          </w:tcPr>
          <w:p w14:paraId="4DEEEAE4"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rs468317</w:t>
            </w:r>
          </w:p>
        </w:tc>
        <w:tc>
          <w:tcPr>
            <w:tcW w:w="960" w:type="dxa"/>
            <w:tcBorders>
              <w:top w:val="nil"/>
              <w:left w:val="nil"/>
              <w:bottom w:val="nil"/>
              <w:right w:val="nil"/>
            </w:tcBorders>
            <w:shd w:val="clear" w:color="auto" w:fill="auto"/>
            <w:vAlign w:val="center"/>
            <w:hideMark/>
          </w:tcPr>
          <w:p w14:paraId="61B5FDAD"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DRD2</w:t>
            </w:r>
          </w:p>
        </w:tc>
        <w:tc>
          <w:tcPr>
            <w:tcW w:w="960" w:type="dxa"/>
            <w:tcBorders>
              <w:top w:val="nil"/>
              <w:left w:val="nil"/>
              <w:bottom w:val="nil"/>
              <w:right w:val="nil"/>
            </w:tcBorders>
            <w:shd w:val="clear" w:color="auto" w:fill="auto"/>
            <w:noWrap/>
            <w:vAlign w:val="center"/>
            <w:hideMark/>
          </w:tcPr>
          <w:p w14:paraId="1DD1AF50"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21</w:t>
            </w:r>
          </w:p>
        </w:tc>
        <w:tc>
          <w:tcPr>
            <w:tcW w:w="1380" w:type="dxa"/>
            <w:tcBorders>
              <w:top w:val="nil"/>
              <w:left w:val="nil"/>
              <w:bottom w:val="nil"/>
              <w:right w:val="nil"/>
            </w:tcBorders>
            <w:shd w:val="clear" w:color="auto" w:fill="auto"/>
            <w:noWrap/>
            <w:vAlign w:val="center"/>
            <w:hideMark/>
          </w:tcPr>
          <w:p w14:paraId="103F6542"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19131877</w:t>
            </w:r>
          </w:p>
        </w:tc>
        <w:tc>
          <w:tcPr>
            <w:tcW w:w="669" w:type="dxa"/>
            <w:tcBorders>
              <w:top w:val="nil"/>
              <w:left w:val="nil"/>
              <w:bottom w:val="nil"/>
              <w:right w:val="nil"/>
            </w:tcBorders>
            <w:shd w:val="clear" w:color="auto" w:fill="auto"/>
            <w:noWrap/>
            <w:vAlign w:val="center"/>
            <w:hideMark/>
          </w:tcPr>
          <w:p w14:paraId="6B1C5C9B"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T</w:t>
            </w:r>
          </w:p>
        </w:tc>
        <w:tc>
          <w:tcPr>
            <w:tcW w:w="1251" w:type="dxa"/>
            <w:tcBorders>
              <w:top w:val="nil"/>
              <w:left w:val="nil"/>
              <w:bottom w:val="nil"/>
              <w:right w:val="nil"/>
            </w:tcBorders>
            <w:shd w:val="clear" w:color="auto" w:fill="auto"/>
            <w:vAlign w:val="center"/>
            <w:hideMark/>
          </w:tcPr>
          <w:p w14:paraId="3A199906"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(Minor)</w:t>
            </w:r>
          </w:p>
        </w:tc>
        <w:tc>
          <w:tcPr>
            <w:tcW w:w="960" w:type="dxa"/>
            <w:tcBorders>
              <w:top w:val="nil"/>
              <w:left w:val="nil"/>
              <w:bottom w:val="nil"/>
              <w:right w:val="nil"/>
            </w:tcBorders>
            <w:shd w:val="clear" w:color="auto" w:fill="auto"/>
            <w:noWrap/>
            <w:vAlign w:val="center"/>
            <w:hideMark/>
          </w:tcPr>
          <w:p w14:paraId="0310589F"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C</w:t>
            </w:r>
          </w:p>
        </w:tc>
        <w:tc>
          <w:tcPr>
            <w:tcW w:w="1074" w:type="dxa"/>
            <w:tcBorders>
              <w:top w:val="nil"/>
              <w:left w:val="nil"/>
              <w:bottom w:val="nil"/>
              <w:right w:val="nil"/>
            </w:tcBorders>
            <w:shd w:val="clear" w:color="auto" w:fill="FFFFFF" w:themeFill="background1"/>
            <w:noWrap/>
            <w:vAlign w:val="center"/>
            <w:hideMark/>
          </w:tcPr>
          <w:p w14:paraId="25246C48"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C</w:t>
            </w:r>
          </w:p>
        </w:tc>
        <w:tc>
          <w:tcPr>
            <w:tcW w:w="960" w:type="dxa"/>
            <w:tcBorders>
              <w:top w:val="nil"/>
              <w:left w:val="nil"/>
              <w:bottom w:val="nil"/>
              <w:right w:val="nil"/>
            </w:tcBorders>
            <w:shd w:val="clear" w:color="auto" w:fill="auto"/>
            <w:noWrap/>
            <w:vAlign w:val="center"/>
            <w:hideMark/>
          </w:tcPr>
          <w:p w14:paraId="015AD98F"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p>
        </w:tc>
        <w:tc>
          <w:tcPr>
            <w:tcW w:w="858" w:type="dxa"/>
            <w:tcBorders>
              <w:top w:val="nil"/>
              <w:left w:val="nil"/>
              <w:bottom w:val="nil"/>
              <w:right w:val="nil"/>
            </w:tcBorders>
            <w:shd w:val="clear" w:color="auto" w:fill="auto"/>
            <w:noWrap/>
            <w:vAlign w:val="center"/>
            <w:hideMark/>
          </w:tcPr>
          <w:p w14:paraId="1558ED70"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22,5</w:t>
            </w:r>
          </w:p>
        </w:tc>
        <w:tc>
          <w:tcPr>
            <w:tcW w:w="1036" w:type="dxa"/>
            <w:tcBorders>
              <w:top w:val="nil"/>
              <w:left w:val="nil"/>
              <w:bottom w:val="nil"/>
              <w:right w:val="nil"/>
            </w:tcBorders>
            <w:shd w:val="clear" w:color="auto" w:fill="auto"/>
            <w:vAlign w:val="center"/>
            <w:hideMark/>
          </w:tcPr>
          <w:p w14:paraId="0F9994CB" w14:textId="77777777" w:rsidR="00E63DF9" w:rsidRPr="006C023E" w:rsidRDefault="00E63DF9" w:rsidP="009B66A5">
            <w:pPr>
              <w:pStyle w:val="HTMLPreformatted"/>
              <w:shd w:val="clear" w:color="auto" w:fill="FFFFFF"/>
              <w:wordWrap w:val="0"/>
              <w:spacing w:line="360" w:lineRule="auto"/>
              <w:rPr>
                <w:rFonts w:ascii="Times New Roman" w:hAnsi="Times New Roman" w:cs="Times New Roman"/>
                <w:sz w:val="24"/>
                <w:szCs w:val="24"/>
              </w:rPr>
            </w:pPr>
            <w:r w:rsidRPr="006C023E">
              <w:rPr>
                <w:rStyle w:val="gd15mcfceub"/>
                <w:rFonts w:ascii="Times New Roman" w:hAnsi="Times New Roman" w:cs="Times New Roman"/>
                <w:sz w:val="24"/>
                <w:szCs w:val="24"/>
                <w:bdr w:val="none" w:sz="0" w:space="0" w:color="auto" w:frame="1"/>
              </w:rPr>
              <w:t>0.102</w:t>
            </w:r>
          </w:p>
        </w:tc>
        <w:tc>
          <w:tcPr>
            <w:tcW w:w="1021" w:type="dxa"/>
            <w:tcBorders>
              <w:top w:val="nil"/>
              <w:left w:val="nil"/>
              <w:bottom w:val="nil"/>
              <w:right w:val="nil"/>
            </w:tcBorders>
            <w:shd w:val="clear" w:color="auto" w:fill="auto"/>
            <w:noWrap/>
            <w:vAlign w:val="center"/>
            <w:hideMark/>
          </w:tcPr>
          <w:p w14:paraId="11EDEA15"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Yes</w:t>
            </w:r>
          </w:p>
        </w:tc>
      </w:tr>
      <w:tr w:rsidR="00E63DF9" w:rsidRPr="006C023E" w14:paraId="426A7E70" w14:textId="77777777" w:rsidTr="009B66A5">
        <w:trPr>
          <w:trHeight w:val="310"/>
        </w:trPr>
        <w:tc>
          <w:tcPr>
            <w:tcW w:w="1560" w:type="dxa"/>
            <w:tcBorders>
              <w:top w:val="nil"/>
              <w:left w:val="nil"/>
              <w:bottom w:val="nil"/>
              <w:right w:val="nil"/>
            </w:tcBorders>
            <w:shd w:val="clear" w:color="auto" w:fill="auto"/>
            <w:noWrap/>
            <w:vAlign w:val="center"/>
            <w:hideMark/>
          </w:tcPr>
          <w:p w14:paraId="190EE2A0"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rs4633</w:t>
            </w:r>
          </w:p>
        </w:tc>
        <w:tc>
          <w:tcPr>
            <w:tcW w:w="960" w:type="dxa"/>
            <w:tcBorders>
              <w:top w:val="nil"/>
              <w:left w:val="nil"/>
              <w:bottom w:val="nil"/>
              <w:right w:val="nil"/>
            </w:tcBorders>
            <w:shd w:val="clear" w:color="auto" w:fill="auto"/>
            <w:noWrap/>
            <w:vAlign w:val="center"/>
            <w:hideMark/>
          </w:tcPr>
          <w:p w14:paraId="6B18DE60"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COMT</w:t>
            </w:r>
          </w:p>
        </w:tc>
        <w:tc>
          <w:tcPr>
            <w:tcW w:w="960" w:type="dxa"/>
            <w:tcBorders>
              <w:top w:val="nil"/>
              <w:left w:val="nil"/>
              <w:bottom w:val="nil"/>
              <w:right w:val="nil"/>
            </w:tcBorders>
            <w:shd w:val="clear" w:color="auto" w:fill="auto"/>
            <w:noWrap/>
            <w:vAlign w:val="center"/>
            <w:hideMark/>
          </w:tcPr>
          <w:p w14:paraId="3418094E"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22</w:t>
            </w:r>
          </w:p>
        </w:tc>
        <w:tc>
          <w:tcPr>
            <w:tcW w:w="1380" w:type="dxa"/>
            <w:tcBorders>
              <w:top w:val="nil"/>
              <w:left w:val="nil"/>
              <w:bottom w:val="nil"/>
              <w:right w:val="nil"/>
            </w:tcBorders>
            <w:shd w:val="clear" w:color="auto" w:fill="auto"/>
            <w:noWrap/>
            <w:vAlign w:val="center"/>
            <w:hideMark/>
          </w:tcPr>
          <w:p w14:paraId="1929B5B4"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19950235</w:t>
            </w:r>
          </w:p>
        </w:tc>
        <w:tc>
          <w:tcPr>
            <w:tcW w:w="669" w:type="dxa"/>
            <w:tcBorders>
              <w:top w:val="nil"/>
              <w:left w:val="nil"/>
              <w:bottom w:val="nil"/>
              <w:right w:val="nil"/>
            </w:tcBorders>
            <w:shd w:val="clear" w:color="auto" w:fill="auto"/>
            <w:noWrap/>
            <w:vAlign w:val="center"/>
            <w:hideMark/>
          </w:tcPr>
          <w:p w14:paraId="702C6EFD"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C</w:t>
            </w:r>
          </w:p>
        </w:tc>
        <w:tc>
          <w:tcPr>
            <w:tcW w:w="1251" w:type="dxa"/>
            <w:tcBorders>
              <w:top w:val="nil"/>
              <w:left w:val="nil"/>
              <w:bottom w:val="nil"/>
              <w:right w:val="nil"/>
            </w:tcBorders>
            <w:shd w:val="clear" w:color="auto" w:fill="auto"/>
            <w:noWrap/>
            <w:vAlign w:val="center"/>
            <w:hideMark/>
          </w:tcPr>
          <w:p w14:paraId="73AACD61"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(Minor)</w:t>
            </w:r>
          </w:p>
        </w:tc>
        <w:tc>
          <w:tcPr>
            <w:tcW w:w="960" w:type="dxa"/>
            <w:tcBorders>
              <w:top w:val="nil"/>
              <w:left w:val="nil"/>
              <w:bottom w:val="nil"/>
              <w:right w:val="nil"/>
            </w:tcBorders>
            <w:shd w:val="clear" w:color="auto" w:fill="auto"/>
            <w:noWrap/>
            <w:vAlign w:val="center"/>
            <w:hideMark/>
          </w:tcPr>
          <w:p w14:paraId="7A95EA9C"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T</w:t>
            </w:r>
          </w:p>
        </w:tc>
        <w:tc>
          <w:tcPr>
            <w:tcW w:w="1074" w:type="dxa"/>
            <w:tcBorders>
              <w:top w:val="nil"/>
              <w:left w:val="nil"/>
              <w:bottom w:val="nil"/>
              <w:right w:val="nil"/>
            </w:tcBorders>
            <w:shd w:val="clear" w:color="auto" w:fill="FFFFFF" w:themeFill="background1"/>
            <w:noWrap/>
            <w:vAlign w:val="center"/>
            <w:hideMark/>
          </w:tcPr>
          <w:p w14:paraId="645663EC"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T</w:t>
            </w:r>
          </w:p>
        </w:tc>
        <w:tc>
          <w:tcPr>
            <w:tcW w:w="960" w:type="dxa"/>
            <w:tcBorders>
              <w:top w:val="nil"/>
              <w:left w:val="nil"/>
              <w:bottom w:val="nil"/>
              <w:right w:val="nil"/>
            </w:tcBorders>
            <w:shd w:val="clear" w:color="auto" w:fill="auto"/>
            <w:noWrap/>
            <w:vAlign w:val="center"/>
            <w:hideMark/>
          </w:tcPr>
          <w:p w14:paraId="61443B4F"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p>
        </w:tc>
        <w:tc>
          <w:tcPr>
            <w:tcW w:w="858" w:type="dxa"/>
            <w:tcBorders>
              <w:top w:val="nil"/>
              <w:left w:val="nil"/>
              <w:bottom w:val="nil"/>
              <w:right w:val="nil"/>
            </w:tcBorders>
            <w:shd w:val="clear" w:color="auto" w:fill="auto"/>
            <w:noWrap/>
            <w:vAlign w:val="center"/>
            <w:hideMark/>
          </w:tcPr>
          <w:p w14:paraId="11A43918"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44,7</w:t>
            </w:r>
          </w:p>
        </w:tc>
        <w:tc>
          <w:tcPr>
            <w:tcW w:w="1036" w:type="dxa"/>
            <w:tcBorders>
              <w:top w:val="nil"/>
              <w:left w:val="nil"/>
              <w:bottom w:val="nil"/>
              <w:right w:val="nil"/>
            </w:tcBorders>
            <w:shd w:val="clear" w:color="auto" w:fill="auto"/>
            <w:vAlign w:val="center"/>
            <w:hideMark/>
          </w:tcPr>
          <w:p w14:paraId="642EF6B4" w14:textId="77777777" w:rsidR="00E63DF9" w:rsidRPr="006C023E" w:rsidRDefault="00E63DF9" w:rsidP="009B66A5">
            <w:pPr>
              <w:pStyle w:val="HTMLPreformatted"/>
              <w:shd w:val="clear" w:color="auto" w:fill="FFFFFF"/>
              <w:wordWrap w:val="0"/>
              <w:spacing w:line="360" w:lineRule="auto"/>
              <w:rPr>
                <w:rFonts w:ascii="Times New Roman" w:hAnsi="Times New Roman" w:cs="Times New Roman"/>
                <w:sz w:val="24"/>
                <w:szCs w:val="24"/>
              </w:rPr>
            </w:pPr>
            <w:r w:rsidRPr="006C023E">
              <w:rPr>
                <w:rStyle w:val="gd15mcfceub"/>
                <w:rFonts w:ascii="Times New Roman" w:hAnsi="Times New Roman" w:cs="Times New Roman"/>
                <w:sz w:val="24"/>
                <w:szCs w:val="24"/>
                <w:bdr w:val="none" w:sz="0" w:space="0" w:color="auto" w:frame="1"/>
              </w:rPr>
              <w:t>0.694</w:t>
            </w:r>
          </w:p>
        </w:tc>
        <w:tc>
          <w:tcPr>
            <w:tcW w:w="1021" w:type="dxa"/>
            <w:tcBorders>
              <w:top w:val="nil"/>
              <w:left w:val="nil"/>
              <w:bottom w:val="nil"/>
              <w:right w:val="nil"/>
            </w:tcBorders>
            <w:shd w:val="clear" w:color="auto" w:fill="auto"/>
            <w:noWrap/>
            <w:vAlign w:val="center"/>
            <w:hideMark/>
          </w:tcPr>
          <w:p w14:paraId="78BB3EF0"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Yes</w:t>
            </w:r>
          </w:p>
        </w:tc>
      </w:tr>
      <w:tr w:rsidR="00E63DF9" w:rsidRPr="006C023E" w14:paraId="278039A8" w14:textId="77777777" w:rsidTr="009B66A5">
        <w:trPr>
          <w:trHeight w:val="310"/>
        </w:trPr>
        <w:tc>
          <w:tcPr>
            <w:tcW w:w="1560" w:type="dxa"/>
            <w:tcBorders>
              <w:top w:val="nil"/>
              <w:left w:val="nil"/>
              <w:bottom w:val="nil"/>
              <w:right w:val="nil"/>
            </w:tcBorders>
            <w:shd w:val="clear" w:color="auto" w:fill="auto"/>
            <w:noWrap/>
            <w:vAlign w:val="center"/>
            <w:hideMark/>
          </w:tcPr>
          <w:p w14:paraId="0A817545"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rs4818</w:t>
            </w:r>
          </w:p>
        </w:tc>
        <w:tc>
          <w:tcPr>
            <w:tcW w:w="960" w:type="dxa"/>
            <w:tcBorders>
              <w:top w:val="nil"/>
              <w:left w:val="nil"/>
              <w:bottom w:val="nil"/>
              <w:right w:val="nil"/>
            </w:tcBorders>
            <w:shd w:val="clear" w:color="auto" w:fill="auto"/>
            <w:noWrap/>
            <w:vAlign w:val="center"/>
            <w:hideMark/>
          </w:tcPr>
          <w:p w14:paraId="237C7EBB"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COMT</w:t>
            </w:r>
          </w:p>
        </w:tc>
        <w:tc>
          <w:tcPr>
            <w:tcW w:w="960" w:type="dxa"/>
            <w:tcBorders>
              <w:top w:val="nil"/>
              <w:left w:val="nil"/>
              <w:bottom w:val="nil"/>
              <w:right w:val="nil"/>
            </w:tcBorders>
            <w:shd w:val="clear" w:color="auto" w:fill="auto"/>
            <w:noWrap/>
            <w:vAlign w:val="center"/>
            <w:hideMark/>
          </w:tcPr>
          <w:p w14:paraId="7A169B48"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22</w:t>
            </w:r>
          </w:p>
        </w:tc>
        <w:tc>
          <w:tcPr>
            <w:tcW w:w="1380" w:type="dxa"/>
            <w:tcBorders>
              <w:top w:val="nil"/>
              <w:left w:val="nil"/>
              <w:bottom w:val="nil"/>
              <w:right w:val="nil"/>
            </w:tcBorders>
            <w:shd w:val="clear" w:color="auto" w:fill="auto"/>
            <w:noWrap/>
            <w:vAlign w:val="center"/>
            <w:hideMark/>
          </w:tcPr>
          <w:p w14:paraId="505000B5"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19951207</w:t>
            </w:r>
          </w:p>
        </w:tc>
        <w:tc>
          <w:tcPr>
            <w:tcW w:w="669" w:type="dxa"/>
            <w:tcBorders>
              <w:top w:val="nil"/>
              <w:left w:val="nil"/>
              <w:bottom w:val="nil"/>
              <w:right w:val="nil"/>
            </w:tcBorders>
            <w:shd w:val="clear" w:color="auto" w:fill="auto"/>
            <w:noWrap/>
            <w:vAlign w:val="center"/>
            <w:hideMark/>
          </w:tcPr>
          <w:p w14:paraId="2837FACB"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C</w:t>
            </w:r>
          </w:p>
        </w:tc>
        <w:tc>
          <w:tcPr>
            <w:tcW w:w="1251" w:type="dxa"/>
            <w:tcBorders>
              <w:top w:val="nil"/>
              <w:left w:val="nil"/>
              <w:bottom w:val="nil"/>
              <w:right w:val="nil"/>
            </w:tcBorders>
            <w:shd w:val="clear" w:color="auto" w:fill="auto"/>
            <w:noWrap/>
            <w:vAlign w:val="center"/>
            <w:hideMark/>
          </w:tcPr>
          <w:p w14:paraId="069D0BD3"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(Major)</w:t>
            </w:r>
          </w:p>
        </w:tc>
        <w:tc>
          <w:tcPr>
            <w:tcW w:w="960" w:type="dxa"/>
            <w:tcBorders>
              <w:top w:val="nil"/>
              <w:left w:val="nil"/>
              <w:bottom w:val="nil"/>
              <w:right w:val="nil"/>
            </w:tcBorders>
            <w:shd w:val="clear" w:color="auto" w:fill="auto"/>
            <w:noWrap/>
            <w:vAlign w:val="center"/>
            <w:hideMark/>
          </w:tcPr>
          <w:p w14:paraId="51DB5B78"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G</w:t>
            </w:r>
          </w:p>
        </w:tc>
        <w:tc>
          <w:tcPr>
            <w:tcW w:w="1074" w:type="dxa"/>
            <w:tcBorders>
              <w:top w:val="nil"/>
              <w:left w:val="nil"/>
              <w:bottom w:val="nil"/>
              <w:right w:val="nil"/>
            </w:tcBorders>
            <w:shd w:val="clear" w:color="auto" w:fill="FFFFFF" w:themeFill="background1"/>
            <w:noWrap/>
            <w:vAlign w:val="center"/>
            <w:hideMark/>
          </w:tcPr>
          <w:p w14:paraId="6750DED0"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G</w:t>
            </w:r>
          </w:p>
        </w:tc>
        <w:tc>
          <w:tcPr>
            <w:tcW w:w="960" w:type="dxa"/>
            <w:tcBorders>
              <w:top w:val="nil"/>
              <w:left w:val="nil"/>
              <w:bottom w:val="nil"/>
              <w:right w:val="nil"/>
            </w:tcBorders>
            <w:shd w:val="clear" w:color="auto" w:fill="auto"/>
            <w:noWrap/>
            <w:vAlign w:val="center"/>
            <w:hideMark/>
          </w:tcPr>
          <w:p w14:paraId="2480B1B3"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p>
        </w:tc>
        <w:tc>
          <w:tcPr>
            <w:tcW w:w="858" w:type="dxa"/>
            <w:tcBorders>
              <w:top w:val="nil"/>
              <w:left w:val="nil"/>
              <w:bottom w:val="nil"/>
              <w:right w:val="nil"/>
            </w:tcBorders>
            <w:shd w:val="clear" w:color="auto" w:fill="auto"/>
            <w:noWrap/>
            <w:vAlign w:val="center"/>
            <w:hideMark/>
          </w:tcPr>
          <w:p w14:paraId="782DD539"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30,6</w:t>
            </w:r>
          </w:p>
        </w:tc>
        <w:tc>
          <w:tcPr>
            <w:tcW w:w="1036" w:type="dxa"/>
            <w:tcBorders>
              <w:top w:val="nil"/>
              <w:left w:val="nil"/>
              <w:bottom w:val="nil"/>
              <w:right w:val="nil"/>
            </w:tcBorders>
            <w:shd w:val="clear" w:color="auto" w:fill="auto"/>
            <w:vAlign w:val="center"/>
            <w:hideMark/>
          </w:tcPr>
          <w:p w14:paraId="1159EA90" w14:textId="77777777" w:rsidR="00E63DF9" w:rsidRPr="006C023E" w:rsidRDefault="00E63DF9" w:rsidP="009B66A5">
            <w:pPr>
              <w:pStyle w:val="HTMLPreformatted"/>
              <w:shd w:val="clear" w:color="auto" w:fill="FFFFFF"/>
              <w:wordWrap w:val="0"/>
              <w:spacing w:line="360" w:lineRule="auto"/>
              <w:rPr>
                <w:rFonts w:ascii="Times New Roman" w:hAnsi="Times New Roman" w:cs="Times New Roman"/>
                <w:sz w:val="24"/>
                <w:szCs w:val="24"/>
              </w:rPr>
            </w:pPr>
            <w:r w:rsidRPr="006C023E">
              <w:rPr>
                <w:rStyle w:val="gd15mcfceub"/>
                <w:rFonts w:ascii="Times New Roman" w:hAnsi="Times New Roman" w:cs="Times New Roman"/>
                <w:sz w:val="24"/>
                <w:szCs w:val="24"/>
                <w:bdr w:val="none" w:sz="0" w:space="0" w:color="auto" w:frame="1"/>
              </w:rPr>
              <w:t>0.224</w:t>
            </w:r>
          </w:p>
        </w:tc>
        <w:tc>
          <w:tcPr>
            <w:tcW w:w="1021" w:type="dxa"/>
            <w:tcBorders>
              <w:top w:val="nil"/>
              <w:left w:val="nil"/>
              <w:bottom w:val="nil"/>
              <w:right w:val="nil"/>
            </w:tcBorders>
            <w:shd w:val="clear" w:color="auto" w:fill="auto"/>
            <w:noWrap/>
            <w:vAlign w:val="center"/>
            <w:hideMark/>
          </w:tcPr>
          <w:p w14:paraId="41885DB8"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Yes</w:t>
            </w:r>
          </w:p>
        </w:tc>
      </w:tr>
      <w:tr w:rsidR="00E63DF9" w:rsidRPr="006C023E" w14:paraId="5755FEC8" w14:textId="77777777" w:rsidTr="009B66A5">
        <w:trPr>
          <w:trHeight w:val="310"/>
        </w:trPr>
        <w:tc>
          <w:tcPr>
            <w:tcW w:w="1560" w:type="dxa"/>
            <w:tcBorders>
              <w:top w:val="nil"/>
              <w:left w:val="nil"/>
              <w:right w:val="nil"/>
            </w:tcBorders>
            <w:shd w:val="clear" w:color="auto" w:fill="auto"/>
            <w:noWrap/>
            <w:vAlign w:val="center"/>
            <w:hideMark/>
          </w:tcPr>
          <w:p w14:paraId="7D30A563"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rs2519152</w:t>
            </w:r>
          </w:p>
        </w:tc>
        <w:tc>
          <w:tcPr>
            <w:tcW w:w="960" w:type="dxa"/>
            <w:tcBorders>
              <w:top w:val="nil"/>
              <w:left w:val="nil"/>
              <w:right w:val="nil"/>
            </w:tcBorders>
            <w:shd w:val="clear" w:color="auto" w:fill="auto"/>
            <w:noWrap/>
            <w:vAlign w:val="center"/>
            <w:hideMark/>
          </w:tcPr>
          <w:p w14:paraId="4E45D27B"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DBH</w:t>
            </w:r>
          </w:p>
        </w:tc>
        <w:tc>
          <w:tcPr>
            <w:tcW w:w="960" w:type="dxa"/>
            <w:tcBorders>
              <w:top w:val="nil"/>
              <w:left w:val="nil"/>
              <w:right w:val="nil"/>
            </w:tcBorders>
            <w:shd w:val="clear" w:color="auto" w:fill="auto"/>
            <w:noWrap/>
            <w:vAlign w:val="center"/>
            <w:hideMark/>
          </w:tcPr>
          <w:p w14:paraId="67A89AEA"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9</w:t>
            </w:r>
          </w:p>
        </w:tc>
        <w:tc>
          <w:tcPr>
            <w:tcW w:w="1380" w:type="dxa"/>
            <w:tcBorders>
              <w:top w:val="nil"/>
              <w:left w:val="nil"/>
              <w:right w:val="nil"/>
            </w:tcBorders>
            <w:shd w:val="clear" w:color="auto" w:fill="auto"/>
            <w:noWrap/>
            <w:vAlign w:val="center"/>
            <w:hideMark/>
          </w:tcPr>
          <w:p w14:paraId="4A4BE1DE"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136509634</w:t>
            </w:r>
          </w:p>
        </w:tc>
        <w:tc>
          <w:tcPr>
            <w:tcW w:w="669" w:type="dxa"/>
            <w:tcBorders>
              <w:top w:val="nil"/>
              <w:left w:val="nil"/>
              <w:right w:val="nil"/>
            </w:tcBorders>
            <w:shd w:val="clear" w:color="auto" w:fill="auto"/>
            <w:noWrap/>
            <w:vAlign w:val="center"/>
            <w:hideMark/>
          </w:tcPr>
          <w:p w14:paraId="5C24D9D6"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T</w:t>
            </w:r>
          </w:p>
        </w:tc>
        <w:tc>
          <w:tcPr>
            <w:tcW w:w="1251" w:type="dxa"/>
            <w:tcBorders>
              <w:top w:val="nil"/>
              <w:left w:val="nil"/>
              <w:right w:val="nil"/>
            </w:tcBorders>
            <w:shd w:val="clear" w:color="auto" w:fill="auto"/>
            <w:noWrap/>
            <w:vAlign w:val="center"/>
            <w:hideMark/>
          </w:tcPr>
          <w:p w14:paraId="0CC5DEEE"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(Major)</w:t>
            </w:r>
          </w:p>
        </w:tc>
        <w:tc>
          <w:tcPr>
            <w:tcW w:w="960" w:type="dxa"/>
            <w:tcBorders>
              <w:top w:val="nil"/>
              <w:left w:val="nil"/>
              <w:right w:val="nil"/>
            </w:tcBorders>
            <w:shd w:val="clear" w:color="auto" w:fill="auto"/>
            <w:noWrap/>
            <w:vAlign w:val="center"/>
            <w:hideMark/>
          </w:tcPr>
          <w:p w14:paraId="1E06116D"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C</w:t>
            </w:r>
          </w:p>
        </w:tc>
        <w:tc>
          <w:tcPr>
            <w:tcW w:w="1074" w:type="dxa"/>
            <w:tcBorders>
              <w:top w:val="nil"/>
              <w:left w:val="nil"/>
              <w:right w:val="nil"/>
            </w:tcBorders>
            <w:shd w:val="clear" w:color="auto" w:fill="FFFFFF" w:themeFill="background1"/>
            <w:noWrap/>
            <w:vAlign w:val="center"/>
            <w:hideMark/>
          </w:tcPr>
          <w:p w14:paraId="69D74894"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T</w:t>
            </w:r>
          </w:p>
        </w:tc>
        <w:tc>
          <w:tcPr>
            <w:tcW w:w="960" w:type="dxa"/>
            <w:tcBorders>
              <w:top w:val="nil"/>
              <w:left w:val="nil"/>
              <w:right w:val="nil"/>
            </w:tcBorders>
            <w:shd w:val="clear" w:color="auto" w:fill="auto"/>
            <w:noWrap/>
            <w:vAlign w:val="center"/>
            <w:hideMark/>
          </w:tcPr>
          <w:p w14:paraId="030848A2"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p>
        </w:tc>
        <w:tc>
          <w:tcPr>
            <w:tcW w:w="858" w:type="dxa"/>
            <w:tcBorders>
              <w:top w:val="nil"/>
              <w:left w:val="nil"/>
              <w:right w:val="nil"/>
            </w:tcBorders>
            <w:shd w:val="clear" w:color="auto" w:fill="auto"/>
            <w:noWrap/>
            <w:vAlign w:val="center"/>
            <w:hideMark/>
          </w:tcPr>
          <w:p w14:paraId="6FD733C8"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42,7</w:t>
            </w:r>
          </w:p>
        </w:tc>
        <w:tc>
          <w:tcPr>
            <w:tcW w:w="1036" w:type="dxa"/>
            <w:tcBorders>
              <w:top w:val="nil"/>
              <w:left w:val="nil"/>
              <w:right w:val="nil"/>
            </w:tcBorders>
            <w:shd w:val="clear" w:color="auto" w:fill="auto"/>
            <w:vAlign w:val="center"/>
            <w:hideMark/>
          </w:tcPr>
          <w:p w14:paraId="2DEA840F" w14:textId="77777777" w:rsidR="00E63DF9" w:rsidRPr="006C023E" w:rsidRDefault="00E63DF9" w:rsidP="009B66A5">
            <w:pPr>
              <w:pStyle w:val="HTMLPreformatted"/>
              <w:shd w:val="clear" w:color="auto" w:fill="FFFFFF"/>
              <w:wordWrap w:val="0"/>
              <w:spacing w:line="360" w:lineRule="auto"/>
              <w:rPr>
                <w:rFonts w:ascii="Times New Roman" w:hAnsi="Times New Roman" w:cs="Times New Roman"/>
                <w:sz w:val="24"/>
                <w:szCs w:val="24"/>
              </w:rPr>
            </w:pPr>
            <w:r w:rsidRPr="006C023E">
              <w:rPr>
                <w:rStyle w:val="gd15mcfceub"/>
                <w:rFonts w:ascii="Times New Roman" w:hAnsi="Times New Roman" w:cs="Times New Roman"/>
                <w:sz w:val="24"/>
                <w:szCs w:val="24"/>
                <w:bdr w:val="none" w:sz="0" w:space="0" w:color="auto" w:frame="1"/>
              </w:rPr>
              <w:t>0.248</w:t>
            </w:r>
          </w:p>
        </w:tc>
        <w:tc>
          <w:tcPr>
            <w:tcW w:w="1021" w:type="dxa"/>
            <w:tcBorders>
              <w:top w:val="nil"/>
              <w:left w:val="nil"/>
              <w:right w:val="nil"/>
            </w:tcBorders>
            <w:shd w:val="clear" w:color="auto" w:fill="auto"/>
            <w:noWrap/>
            <w:vAlign w:val="center"/>
            <w:hideMark/>
          </w:tcPr>
          <w:p w14:paraId="18D8FC5B"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Yes</w:t>
            </w:r>
          </w:p>
        </w:tc>
      </w:tr>
      <w:tr w:rsidR="00E63DF9" w:rsidRPr="006C023E" w14:paraId="113B5C4F" w14:textId="77777777" w:rsidTr="009B66A5">
        <w:trPr>
          <w:trHeight w:val="310"/>
        </w:trPr>
        <w:tc>
          <w:tcPr>
            <w:tcW w:w="1560" w:type="dxa"/>
            <w:tcBorders>
              <w:top w:val="nil"/>
              <w:left w:val="nil"/>
              <w:bottom w:val="single" w:sz="4" w:space="0" w:color="auto"/>
              <w:right w:val="nil"/>
            </w:tcBorders>
            <w:shd w:val="clear" w:color="auto" w:fill="auto"/>
            <w:noWrap/>
            <w:vAlign w:val="center"/>
            <w:hideMark/>
          </w:tcPr>
          <w:p w14:paraId="191C22B0"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rs6271</w:t>
            </w:r>
          </w:p>
        </w:tc>
        <w:tc>
          <w:tcPr>
            <w:tcW w:w="960" w:type="dxa"/>
            <w:tcBorders>
              <w:top w:val="nil"/>
              <w:left w:val="nil"/>
              <w:bottom w:val="single" w:sz="4" w:space="0" w:color="auto"/>
              <w:right w:val="nil"/>
            </w:tcBorders>
            <w:shd w:val="clear" w:color="auto" w:fill="auto"/>
            <w:noWrap/>
            <w:vAlign w:val="center"/>
            <w:hideMark/>
          </w:tcPr>
          <w:p w14:paraId="676B8038"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DBH</w:t>
            </w:r>
          </w:p>
        </w:tc>
        <w:tc>
          <w:tcPr>
            <w:tcW w:w="960" w:type="dxa"/>
            <w:tcBorders>
              <w:top w:val="nil"/>
              <w:left w:val="nil"/>
              <w:bottom w:val="single" w:sz="4" w:space="0" w:color="auto"/>
              <w:right w:val="nil"/>
            </w:tcBorders>
            <w:shd w:val="clear" w:color="auto" w:fill="auto"/>
            <w:noWrap/>
            <w:vAlign w:val="center"/>
            <w:hideMark/>
          </w:tcPr>
          <w:p w14:paraId="2222CCB9"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9</w:t>
            </w:r>
          </w:p>
        </w:tc>
        <w:tc>
          <w:tcPr>
            <w:tcW w:w="1380" w:type="dxa"/>
            <w:tcBorders>
              <w:top w:val="nil"/>
              <w:left w:val="nil"/>
              <w:bottom w:val="single" w:sz="4" w:space="0" w:color="auto"/>
              <w:right w:val="nil"/>
            </w:tcBorders>
            <w:shd w:val="clear" w:color="auto" w:fill="auto"/>
            <w:noWrap/>
            <w:vAlign w:val="center"/>
            <w:hideMark/>
          </w:tcPr>
          <w:p w14:paraId="2C1489A9"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136522274</w:t>
            </w:r>
          </w:p>
        </w:tc>
        <w:tc>
          <w:tcPr>
            <w:tcW w:w="669" w:type="dxa"/>
            <w:tcBorders>
              <w:top w:val="nil"/>
              <w:left w:val="nil"/>
              <w:bottom w:val="single" w:sz="4" w:space="0" w:color="auto"/>
              <w:right w:val="nil"/>
            </w:tcBorders>
            <w:shd w:val="clear" w:color="auto" w:fill="auto"/>
            <w:noWrap/>
            <w:vAlign w:val="center"/>
            <w:hideMark/>
          </w:tcPr>
          <w:p w14:paraId="2AF1D191"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C</w:t>
            </w:r>
          </w:p>
        </w:tc>
        <w:tc>
          <w:tcPr>
            <w:tcW w:w="1251" w:type="dxa"/>
            <w:tcBorders>
              <w:top w:val="nil"/>
              <w:left w:val="nil"/>
              <w:bottom w:val="single" w:sz="4" w:space="0" w:color="auto"/>
              <w:right w:val="nil"/>
            </w:tcBorders>
            <w:shd w:val="clear" w:color="auto" w:fill="auto"/>
            <w:noWrap/>
            <w:vAlign w:val="center"/>
            <w:hideMark/>
          </w:tcPr>
          <w:p w14:paraId="1A0171DC"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(Major)</w:t>
            </w:r>
          </w:p>
        </w:tc>
        <w:tc>
          <w:tcPr>
            <w:tcW w:w="960" w:type="dxa"/>
            <w:tcBorders>
              <w:top w:val="nil"/>
              <w:left w:val="nil"/>
              <w:bottom w:val="single" w:sz="4" w:space="0" w:color="auto"/>
              <w:right w:val="nil"/>
            </w:tcBorders>
            <w:shd w:val="clear" w:color="auto" w:fill="auto"/>
            <w:noWrap/>
            <w:vAlign w:val="center"/>
            <w:hideMark/>
          </w:tcPr>
          <w:p w14:paraId="4479B1A7"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T</w:t>
            </w:r>
          </w:p>
        </w:tc>
        <w:tc>
          <w:tcPr>
            <w:tcW w:w="1074" w:type="dxa"/>
            <w:tcBorders>
              <w:top w:val="nil"/>
              <w:left w:val="nil"/>
              <w:bottom w:val="single" w:sz="4" w:space="0" w:color="auto"/>
              <w:right w:val="nil"/>
            </w:tcBorders>
            <w:shd w:val="clear" w:color="auto" w:fill="FFFFFF" w:themeFill="background1"/>
            <w:noWrap/>
            <w:vAlign w:val="center"/>
            <w:hideMark/>
          </w:tcPr>
          <w:p w14:paraId="0BA13E5F"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C</w:t>
            </w:r>
          </w:p>
        </w:tc>
        <w:tc>
          <w:tcPr>
            <w:tcW w:w="960" w:type="dxa"/>
            <w:tcBorders>
              <w:top w:val="nil"/>
              <w:left w:val="nil"/>
              <w:bottom w:val="single" w:sz="4" w:space="0" w:color="auto"/>
              <w:right w:val="nil"/>
            </w:tcBorders>
            <w:shd w:val="clear" w:color="auto" w:fill="auto"/>
            <w:noWrap/>
            <w:vAlign w:val="center"/>
            <w:hideMark/>
          </w:tcPr>
          <w:p w14:paraId="43E268CD"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p>
        </w:tc>
        <w:tc>
          <w:tcPr>
            <w:tcW w:w="858" w:type="dxa"/>
            <w:tcBorders>
              <w:top w:val="nil"/>
              <w:left w:val="nil"/>
              <w:bottom w:val="single" w:sz="4" w:space="0" w:color="auto"/>
              <w:right w:val="nil"/>
            </w:tcBorders>
            <w:shd w:val="clear" w:color="auto" w:fill="auto"/>
            <w:noWrap/>
            <w:vAlign w:val="center"/>
            <w:hideMark/>
          </w:tcPr>
          <w:p w14:paraId="5FDB5357"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7,7</w:t>
            </w:r>
          </w:p>
        </w:tc>
        <w:tc>
          <w:tcPr>
            <w:tcW w:w="1036" w:type="dxa"/>
            <w:tcBorders>
              <w:top w:val="nil"/>
              <w:left w:val="nil"/>
              <w:bottom w:val="single" w:sz="4" w:space="0" w:color="auto"/>
              <w:right w:val="nil"/>
            </w:tcBorders>
            <w:shd w:val="clear" w:color="auto" w:fill="auto"/>
            <w:vAlign w:val="center"/>
            <w:hideMark/>
          </w:tcPr>
          <w:p w14:paraId="7C192CC2" w14:textId="77777777" w:rsidR="00E63DF9" w:rsidRPr="006C023E" w:rsidRDefault="00E63DF9" w:rsidP="009B66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bdr w:val="none" w:sz="0" w:space="0" w:color="auto" w:frame="1"/>
                <w:lang w:val="fi-FI" w:eastAsia="fi-FI"/>
              </w:rPr>
              <w:t>0.029</w:t>
            </w:r>
          </w:p>
        </w:tc>
        <w:tc>
          <w:tcPr>
            <w:tcW w:w="1021" w:type="dxa"/>
            <w:tcBorders>
              <w:top w:val="nil"/>
              <w:left w:val="nil"/>
              <w:bottom w:val="single" w:sz="4" w:space="0" w:color="auto"/>
              <w:right w:val="nil"/>
            </w:tcBorders>
            <w:shd w:val="clear" w:color="auto" w:fill="auto"/>
            <w:noWrap/>
            <w:vAlign w:val="center"/>
            <w:hideMark/>
          </w:tcPr>
          <w:p w14:paraId="6CD70DDA"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Yes</w:t>
            </w:r>
          </w:p>
        </w:tc>
      </w:tr>
    </w:tbl>
    <w:p w14:paraId="2D50FCC5" w14:textId="77777777" w:rsidR="00E63DF9" w:rsidRPr="006C023E" w:rsidRDefault="00E63DF9" w:rsidP="008D10BD">
      <w:pPr>
        <w:spacing w:line="480" w:lineRule="auto"/>
        <w:rPr>
          <w:rFonts w:ascii="Times New Roman" w:hAnsi="Times New Roman" w:cs="Times New Roman"/>
          <w:sz w:val="24"/>
          <w:szCs w:val="24"/>
        </w:rPr>
      </w:pPr>
      <w:r w:rsidRPr="006C023E">
        <w:rPr>
          <w:rFonts w:ascii="Times New Roman" w:hAnsi="Times New Roman" w:cs="Times New Roman"/>
          <w:i/>
          <w:sz w:val="24"/>
          <w:szCs w:val="24"/>
        </w:rPr>
        <w:t>Notes.</w:t>
      </w:r>
      <w:r w:rsidRPr="006C023E">
        <w:rPr>
          <w:rFonts w:ascii="Times New Roman" w:hAnsi="Times New Roman" w:cs="Times New Roman"/>
          <w:sz w:val="24"/>
          <w:szCs w:val="24"/>
        </w:rPr>
        <w:t xml:space="preserve"> </w:t>
      </w:r>
      <w:proofErr w:type="spellStart"/>
      <w:r w:rsidRPr="006C023E">
        <w:rPr>
          <w:rFonts w:ascii="Times New Roman" w:hAnsi="Times New Roman" w:cs="Times New Roman"/>
          <w:sz w:val="24"/>
          <w:szCs w:val="24"/>
        </w:rPr>
        <w:t>Chr</w:t>
      </w:r>
      <w:proofErr w:type="spellEnd"/>
      <w:r w:rsidRPr="006C023E">
        <w:rPr>
          <w:rFonts w:ascii="Times New Roman" w:hAnsi="Times New Roman" w:cs="Times New Roman"/>
          <w:sz w:val="24"/>
          <w:szCs w:val="24"/>
        </w:rPr>
        <w:t xml:space="preserve"> = Chromosome, MAF = Minor allele frequency, HWE = Hardy-Weinberg Equilibrium</w:t>
      </w:r>
    </w:p>
    <w:p w14:paraId="16FDE2A4" w14:textId="77777777" w:rsidR="00E63DF9" w:rsidRPr="006C023E" w:rsidRDefault="00E63DF9" w:rsidP="00E63DF9">
      <w:pPr>
        <w:rPr>
          <w:rFonts w:ascii="Times New Roman" w:hAnsi="Times New Roman" w:cs="Times New Roman"/>
          <w:sz w:val="24"/>
          <w:szCs w:val="24"/>
        </w:rPr>
      </w:pPr>
      <w:r w:rsidRPr="006C023E">
        <w:rPr>
          <w:rFonts w:ascii="Times New Roman" w:hAnsi="Times New Roman" w:cs="Times New Roman"/>
          <w:sz w:val="24"/>
          <w:szCs w:val="24"/>
        </w:rPr>
        <w:br w:type="page"/>
      </w:r>
    </w:p>
    <w:tbl>
      <w:tblPr>
        <w:tblW w:w="13260" w:type="dxa"/>
        <w:tblCellMar>
          <w:left w:w="70" w:type="dxa"/>
          <w:right w:w="70" w:type="dxa"/>
        </w:tblCellMar>
        <w:tblLook w:val="04A0" w:firstRow="1" w:lastRow="0" w:firstColumn="1" w:lastColumn="0" w:noHBand="0" w:noVBand="1"/>
      </w:tblPr>
      <w:tblGrid>
        <w:gridCol w:w="2660"/>
        <w:gridCol w:w="1007"/>
        <w:gridCol w:w="960"/>
        <w:gridCol w:w="960"/>
        <w:gridCol w:w="960"/>
        <w:gridCol w:w="966"/>
        <w:gridCol w:w="992"/>
        <w:gridCol w:w="993"/>
        <w:gridCol w:w="3762"/>
      </w:tblGrid>
      <w:tr w:rsidR="00E63DF9" w:rsidRPr="006C023E" w14:paraId="1E67C453" w14:textId="77777777" w:rsidTr="009B66A5">
        <w:trPr>
          <w:trHeight w:val="310"/>
        </w:trPr>
        <w:tc>
          <w:tcPr>
            <w:tcW w:w="13260" w:type="dxa"/>
            <w:gridSpan w:val="9"/>
            <w:tcBorders>
              <w:top w:val="nil"/>
              <w:left w:val="nil"/>
              <w:bottom w:val="nil"/>
              <w:right w:val="nil"/>
            </w:tcBorders>
            <w:shd w:val="clear" w:color="auto" w:fill="auto"/>
            <w:noWrap/>
            <w:vAlign w:val="center"/>
            <w:hideMark/>
          </w:tcPr>
          <w:p w14:paraId="24EC7596" w14:textId="77777777" w:rsidR="00E63DF9" w:rsidRPr="006C023E" w:rsidRDefault="00E63DF9" w:rsidP="008D10BD">
            <w:pPr>
              <w:spacing w:after="0" w:line="480" w:lineRule="auto"/>
              <w:rPr>
                <w:rFonts w:ascii="Times New Roman" w:eastAsia="Times New Roman" w:hAnsi="Times New Roman" w:cs="Times New Roman"/>
                <w:sz w:val="24"/>
                <w:szCs w:val="24"/>
                <w:lang w:eastAsia="fi-FI"/>
              </w:rPr>
            </w:pPr>
            <w:r w:rsidRPr="006C023E">
              <w:rPr>
                <w:rFonts w:ascii="Times New Roman" w:hAnsi="Times New Roman" w:cs="Times New Roman"/>
                <w:b/>
                <w:sz w:val="24"/>
                <w:szCs w:val="24"/>
              </w:rPr>
              <w:lastRenderedPageBreak/>
              <w:t>Table S2.</w:t>
            </w:r>
            <w:r w:rsidRPr="006C023E">
              <w:rPr>
                <w:rFonts w:ascii="Times New Roman" w:hAnsi="Times New Roman" w:cs="Times New Roman"/>
                <w:sz w:val="24"/>
                <w:szCs w:val="24"/>
              </w:rPr>
              <w:t xml:space="preserve"> </w:t>
            </w:r>
            <w:r w:rsidRPr="006C023E">
              <w:rPr>
                <w:rFonts w:ascii="Times New Roman" w:eastAsia="Times New Roman" w:hAnsi="Times New Roman" w:cs="Times New Roman"/>
                <w:sz w:val="24"/>
                <w:szCs w:val="24"/>
                <w:lang w:eastAsia="fi-FI"/>
              </w:rPr>
              <w:t xml:space="preserve">Robustness Checks by Repeating the Analyses with Commonly Studied </w:t>
            </w:r>
            <w:r w:rsidRPr="006C023E">
              <w:rPr>
                <w:rFonts w:ascii="Times New Roman" w:hAnsi="Times New Roman" w:cs="Times New Roman"/>
                <w:sz w:val="24"/>
                <w:szCs w:val="24"/>
              </w:rPr>
              <w:t xml:space="preserve">Single Nucleotide Polymorphisms (SNP) </w:t>
            </w:r>
          </w:p>
        </w:tc>
      </w:tr>
      <w:tr w:rsidR="00E63DF9" w:rsidRPr="006C023E" w14:paraId="78FF8721" w14:textId="77777777" w:rsidTr="009B66A5">
        <w:trPr>
          <w:gridAfter w:val="1"/>
          <w:wAfter w:w="3762" w:type="dxa"/>
          <w:trHeight w:val="310"/>
        </w:trPr>
        <w:tc>
          <w:tcPr>
            <w:tcW w:w="2660" w:type="dxa"/>
            <w:tcBorders>
              <w:top w:val="single" w:sz="4" w:space="0" w:color="auto"/>
              <w:left w:val="nil"/>
              <w:bottom w:val="nil"/>
              <w:right w:val="nil"/>
            </w:tcBorders>
            <w:shd w:val="clear" w:color="auto" w:fill="auto"/>
            <w:noWrap/>
            <w:vAlign w:val="bottom"/>
            <w:hideMark/>
          </w:tcPr>
          <w:p w14:paraId="0DE36CE9" w14:textId="77777777" w:rsidR="00E63DF9" w:rsidRPr="006C023E" w:rsidRDefault="00E63DF9" w:rsidP="009B66A5">
            <w:pPr>
              <w:spacing w:after="0" w:line="360" w:lineRule="auto"/>
              <w:rPr>
                <w:rFonts w:ascii="Times New Roman" w:eastAsia="Times New Roman" w:hAnsi="Times New Roman" w:cs="Times New Roman"/>
                <w:i/>
                <w:iCs/>
                <w:sz w:val="24"/>
                <w:szCs w:val="24"/>
                <w:lang w:eastAsia="fi-FI"/>
              </w:rPr>
            </w:pPr>
          </w:p>
        </w:tc>
        <w:tc>
          <w:tcPr>
            <w:tcW w:w="1007" w:type="dxa"/>
            <w:tcBorders>
              <w:top w:val="single" w:sz="4" w:space="0" w:color="auto"/>
              <w:left w:val="nil"/>
              <w:bottom w:val="nil"/>
              <w:right w:val="nil"/>
            </w:tcBorders>
            <w:shd w:val="clear" w:color="auto" w:fill="auto"/>
            <w:noWrap/>
            <w:vAlign w:val="bottom"/>
            <w:hideMark/>
          </w:tcPr>
          <w:p w14:paraId="68D5E86E" w14:textId="77777777" w:rsidR="00E63DF9" w:rsidRPr="006C023E" w:rsidRDefault="00E63DF9" w:rsidP="009B66A5">
            <w:pPr>
              <w:spacing w:after="0" w:line="360" w:lineRule="auto"/>
              <w:rPr>
                <w:rFonts w:ascii="Times New Roman" w:eastAsia="Times New Roman" w:hAnsi="Times New Roman" w:cs="Times New Roman"/>
                <w:i/>
                <w:iCs/>
                <w:sz w:val="24"/>
                <w:szCs w:val="24"/>
                <w:lang w:val="fi-FI" w:eastAsia="fi-FI"/>
              </w:rPr>
            </w:pPr>
            <w:r w:rsidRPr="006C023E">
              <w:rPr>
                <w:rFonts w:ascii="Times New Roman" w:eastAsia="Times New Roman" w:hAnsi="Times New Roman" w:cs="Times New Roman"/>
                <w:i/>
                <w:iCs/>
                <w:sz w:val="24"/>
                <w:szCs w:val="24"/>
                <w:lang w:eastAsia="fi-FI"/>
              </w:rPr>
              <w:t>Initial levels</w:t>
            </w:r>
          </w:p>
        </w:tc>
        <w:tc>
          <w:tcPr>
            <w:tcW w:w="960" w:type="dxa"/>
            <w:tcBorders>
              <w:top w:val="single" w:sz="4" w:space="0" w:color="auto"/>
              <w:left w:val="nil"/>
              <w:bottom w:val="nil"/>
              <w:right w:val="nil"/>
            </w:tcBorders>
            <w:shd w:val="clear" w:color="auto" w:fill="auto"/>
            <w:noWrap/>
            <w:vAlign w:val="bottom"/>
            <w:hideMark/>
          </w:tcPr>
          <w:p w14:paraId="7142B03B" w14:textId="77777777" w:rsidR="00E63DF9" w:rsidRPr="006C023E" w:rsidRDefault="00E63DF9" w:rsidP="009B66A5">
            <w:pPr>
              <w:spacing w:after="0" w:line="360" w:lineRule="auto"/>
              <w:rPr>
                <w:rFonts w:ascii="Times New Roman" w:eastAsia="Times New Roman" w:hAnsi="Times New Roman" w:cs="Times New Roman"/>
                <w:i/>
                <w:iCs/>
                <w:sz w:val="24"/>
                <w:szCs w:val="24"/>
                <w:lang w:val="fi-FI" w:eastAsia="fi-FI"/>
              </w:rPr>
            </w:pPr>
            <w:r w:rsidRPr="006C023E">
              <w:rPr>
                <w:rFonts w:ascii="Times New Roman" w:eastAsia="Times New Roman" w:hAnsi="Times New Roman" w:cs="Times New Roman"/>
                <w:i/>
                <w:iCs/>
                <w:sz w:val="24"/>
                <w:szCs w:val="24"/>
                <w:lang w:eastAsia="fi-FI"/>
              </w:rPr>
              <w:t xml:space="preserve"> (SE)</w:t>
            </w:r>
          </w:p>
        </w:tc>
        <w:tc>
          <w:tcPr>
            <w:tcW w:w="960" w:type="dxa"/>
            <w:tcBorders>
              <w:top w:val="single" w:sz="4" w:space="0" w:color="auto"/>
              <w:left w:val="nil"/>
              <w:bottom w:val="nil"/>
              <w:right w:val="nil"/>
            </w:tcBorders>
            <w:shd w:val="clear" w:color="auto" w:fill="auto"/>
            <w:noWrap/>
            <w:vAlign w:val="bottom"/>
            <w:hideMark/>
          </w:tcPr>
          <w:p w14:paraId="266FB355" w14:textId="77777777" w:rsidR="00E63DF9" w:rsidRPr="006C023E" w:rsidRDefault="00E63DF9" w:rsidP="009B66A5">
            <w:pPr>
              <w:spacing w:after="0" w:line="360" w:lineRule="auto"/>
              <w:rPr>
                <w:rFonts w:ascii="Times New Roman" w:eastAsia="Times New Roman" w:hAnsi="Times New Roman" w:cs="Times New Roman"/>
                <w:i/>
                <w:iCs/>
                <w:sz w:val="24"/>
                <w:szCs w:val="24"/>
                <w:lang w:val="fi-FI" w:eastAsia="fi-FI"/>
              </w:rPr>
            </w:pPr>
            <w:r w:rsidRPr="006C023E">
              <w:rPr>
                <w:rFonts w:ascii="Times New Roman" w:eastAsia="Times New Roman" w:hAnsi="Times New Roman" w:cs="Times New Roman"/>
                <w:i/>
                <w:iCs/>
                <w:sz w:val="24"/>
                <w:szCs w:val="24"/>
                <w:lang w:eastAsia="fi-FI"/>
              </w:rPr>
              <w:t xml:space="preserve">p </w:t>
            </w:r>
          </w:p>
        </w:tc>
        <w:tc>
          <w:tcPr>
            <w:tcW w:w="960" w:type="dxa"/>
            <w:tcBorders>
              <w:top w:val="single" w:sz="4" w:space="0" w:color="auto"/>
              <w:left w:val="nil"/>
              <w:bottom w:val="nil"/>
              <w:right w:val="nil"/>
            </w:tcBorders>
            <w:shd w:val="clear" w:color="auto" w:fill="auto"/>
            <w:noWrap/>
            <w:vAlign w:val="bottom"/>
            <w:hideMark/>
          </w:tcPr>
          <w:p w14:paraId="263F8CF0" w14:textId="77777777" w:rsidR="00E63DF9" w:rsidRPr="006C023E" w:rsidRDefault="00E63DF9" w:rsidP="009B66A5">
            <w:pPr>
              <w:spacing w:after="0" w:line="360" w:lineRule="auto"/>
              <w:rPr>
                <w:rFonts w:ascii="Times New Roman" w:eastAsia="Times New Roman" w:hAnsi="Times New Roman" w:cs="Times New Roman"/>
                <w:i/>
                <w:iCs/>
                <w:sz w:val="24"/>
                <w:szCs w:val="24"/>
                <w:lang w:val="fi-FI" w:eastAsia="fi-FI"/>
              </w:rPr>
            </w:pPr>
            <w:r w:rsidRPr="006C023E">
              <w:rPr>
                <w:rFonts w:ascii="Times New Roman" w:eastAsia="Times New Roman" w:hAnsi="Times New Roman" w:cs="Times New Roman"/>
                <w:i/>
                <w:iCs/>
                <w:sz w:val="24"/>
                <w:szCs w:val="24"/>
                <w:lang w:eastAsia="fi-FI"/>
              </w:rPr>
              <w:t> </w:t>
            </w:r>
          </w:p>
        </w:tc>
        <w:tc>
          <w:tcPr>
            <w:tcW w:w="966" w:type="dxa"/>
            <w:tcBorders>
              <w:top w:val="single" w:sz="4" w:space="0" w:color="auto"/>
              <w:left w:val="nil"/>
              <w:bottom w:val="nil"/>
              <w:right w:val="nil"/>
            </w:tcBorders>
            <w:shd w:val="clear" w:color="auto" w:fill="auto"/>
            <w:noWrap/>
            <w:vAlign w:val="bottom"/>
            <w:hideMark/>
          </w:tcPr>
          <w:p w14:paraId="6F0E8A7B" w14:textId="77777777" w:rsidR="00E63DF9" w:rsidRPr="006C023E" w:rsidRDefault="00E63DF9" w:rsidP="009B66A5">
            <w:pPr>
              <w:spacing w:after="0" w:line="360" w:lineRule="auto"/>
              <w:rPr>
                <w:rFonts w:ascii="Times New Roman" w:eastAsia="Times New Roman" w:hAnsi="Times New Roman" w:cs="Times New Roman"/>
                <w:i/>
                <w:iCs/>
                <w:sz w:val="24"/>
                <w:szCs w:val="24"/>
                <w:lang w:val="fi-FI" w:eastAsia="fi-FI"/>
              </w:rPr>
            </w:pPr>
            <w:r w:rsidRPr="006C023E">
              <w:rPr>
                <w:rFonts w:ascii="Times New Roman" w:eastAsia="Times New Roman" w:hAnsi="Times New Roman" w:cs="Times New Roman"/>
                <w:iCs/>
                <w:sz w:val="24"/>
                <w:szCs w:val="24"/>
                <w:lang w:eastAsia="fi-FI"/>
              </w:rPr>
              <w:t>Change over time</w:t>
            </w:r>
          </w:p>
        </w:tc>
        <w:tc>
          <w:tcPr>
            <w:tcW w:w="992" w:type="dxa"/>
            <w:tcBorders>
              <w:top w:val="single" w:sz="4" w:space="0" w:color="auto"/>
              <w:left w:val="nil"/>
              <w:bottom w:val="nil"/>
              <w:right w:val="nil"/>
            </w:tcBorders>
            <w:shd w:val="clear" w:color="auto" w:fill="auto"/>
            <w:noWrap/>
            <w:vAlign w:val="bottom"/>
            <w:hideMark/>
          </w:tcPr>
          <w:p w14:paraId="1BE392D6" w14:textId="77777777" w:rsidR="00E63DF9" w:rsidRPr="006C023E" w:rsidRDefault="00E63DF9" w:rsidP="009B66A5">
            <w:pPr>
              <w:spacing w:after="0" w:line="360" w:lineRule="auto"/>
              <w:rPr>
                <w:rFonts w:ascii="Times New Roman" w:eastAsia="Times New Roman" w:hAnsi="Times New Roman" w:cs="Times New Roman"/>
                <w:i/>
                <w:iCs/>
                <w:sz w:val="24"/>
                <w:szCs w:val="24"/>
                <w:lang w:val="fi-FI" w:eastAsia="fi-FI"/>
              </w:rPr>
            </w:pPr>
            <w:r w:rsidRPr="006C023E">
              <w:rPr>
                <w:rFonts w:ascii="Times New Roman" w:eastAsia="Times New Roman" w:hAnsi="Times New Roman" w:cs="Times New Roman"/>
                <w:i/>
                <w:iCs/>
                <w:sz w:val="24"/>
                <w:szCs w:val="24"/>
                <w:lang w:eastAsia="fi-FI"/>
              </w:rPr>
              <w:t>(SE)</w:t>
            </w:r>
          </w:p>
        </w:tc>
        <w:tc>
          <w:tcPr>
            <w:tcW w:w="993" w:type="dxa"/>
            <w:tcBorders>
              <w:top w:val="single" w:sz="4" w:space="0" w:color="auto"/>
              <w:left w:val="nil"/>
              <w:bottom w:val="nil"/>
              <w:right w:val="nil"/>
            </w:tcBorders>
            <w:shd w:val="clear" w:color="auto" w:fill="auto"/>
            <w:noWrap/>
            <w:vAlign w:val="bottom"/>
            <w:hideMark/>
          </w:tcPr>
          <w:p w14:paraId="0484E2DA" w14:textId="77777777" w:rsidR="00E63DF9" w:rsidRPr="006C023E" w:rsidRDefault="00E63DF9" w:rsidP="009B66A5">
            <w:pPr>
              <w:spacing w:after="0" w:line="360" w:lineRule="auto"/>
              <w:rPr>
                <w:rFonts w:ascii="Times New Roman" w:eastAsia="Times New Roman" w:hAnsi="Times New Roman" w:cs="Times New Roman"/>
                <w:i/>
                <w:iCs/>
                <w:sz w:val="24"/>
                <w:szCs w:val="24"/>
                <w:lang w:val="fi-FI" w:eastAsia="fi-FI"/>
              </w:rPr>
            </w:pPr>
            <w:r w:rsidRPr="006C023E">
              <w:rPr>
                <w:rFonts w:ascii="Times New Roman" w:eastAsia="Times New Roman" w:hAnsi="Times New Roman" w:cs="Times New Roman"/>
                <w:i/>
                <w:iCs/>
                <w:sz w:val="24"/>
                <w:szCs w:val="24"/>
                <w:lang w:eastAsia="fi-FI"/>
              </w:rPr>
              <w:t>p</w:t>
            </w:r>
          </w:p>
        </w:tc>
      </w:tr>
      <w:tr w:rsidR="00E63DF9" w:rsidRPr="006C023E" w14:paraId="06263867" w14:textId="77777777" w:rsidTr="009B66A5">
        <w:trPr>
          <w:gridAfter w:val="1"/>
          <w:wAfter w:w="3762" w:type="dxa"/>
          <w:trHeight w:val="310"/>
        </w:trPr>
        <w:tc>
          <w:tcPr>
            <w:tcW w:w="2660" w:type="dxa"/>
            <w:tcBorders>
              <w:top w:val="nil"/>
              <w:left w:val="nil"/>
              <w:bottom w:val="nil"/>
              <w:right w:val="nil"/>
            </w:tcBorders>
            <w:shd w:val="clear" w:color="auto" w:fill="auto"/>
            <w:noWrap/>
            <w:vAlign w:val="center"/>
          </w:tcPr>
          <w:p w14:paraId="7DEFF731"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p>
        </w:tc>
        <w:tc>
          <w:tcPr>
            <w:tcW w:w="1007" w:type="dxa"/>
            <w:tcBorders>
              <w:top w:val="nil"/>
              <w:left w:val="nil"/>
              <w:bottom w:val="nil"/>
              <w:right w:val="nil"/>
            </w:tcBorders>
            <w:shd w:val="clear" w:color="auto" w:fill="auto"/>
            <w:noWrap/>
            <w:vAlign w:val="center"/>
            <w:hideMark/>
          </w:tcPr>
          <w:p w14:paraId="79EB1CE4"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p>
        </w:tc>
        <w:tc>
          <w:tcPr>
            <w:tcW w:w="960" w:type="dxa"/>
            <w:tcBorders>
              <w:top w:val="nil"/>
              <w:left w:val="nil"/>
              <w:bottom w:val="nil"/>
              <w:right w:val="nil"/>
            </w:tcBorders>
            <w:shd w:val="clear" w:color="auto" w:fill="auto"/>
            <w:noWrap/>
            <w:vAlign w:val="center"/>
            <w:hideMark/>
          </w:tcPr>
          <w:p w14:paraId="4BC04E0A"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p>
        </w:tc>
        <w:tc>
          <w:tcPr>
            <w:tcW w:w="960" w:type="dxa"/>
            <w:tcBorders>
              <w:top w:val="nil"/>
              <w:left w:val="nil"/>
              <w:bottom w:val="nil"/>
              <w:right w:val="nil"/>
            </w:tcBorders>
            <w:shd w:val="clear" w:color="auto" w:fill="auto"/>
            <w:noWrap/>
            <w:vAlign w:val="center"/>
            <w:hideMark/>
          </w:tcPr>
          <w:p w14:paraId="2B7EAF2C"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p>
        </w:tc>
        <w:tc>
          <w:tcPr>
            <w:tcW w:w="960" w:type="dxa"/>
            <w:tcBorders>
              <w:top w:val="nil"/>
              <w:left w:val="nil"/>
              <w:bottom w:val="nil"/>
              <w:right w:val="nil"/>
            </w:tcBorders>
            <w:shd w:val="clear" w:color="auto" w:fill="auto"/>
            <w:noWrap/>
            <w:vAlign w:val="center"/>
            <w:hideMark/>
          </w:tcPr>
          <w:p w14:paraId="36130726"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p>
        </w:tc>
        <w:tc>
          <w:tcPr>
            <w:tcW w:w="966" w:type="dxa"/>
            <w:tcBorders>
              <w:top w:val="nil"/>
              <w:left w:val="nil"/>
              <w:bottom w:val="nil"/>
              <w:right w:val="nil"/>
            </w:tcBorders>
            <w:shd w:val="clear" w:color="auto" w:fill="auto"/>
            <w:noWrap/>
            <w:vAlign w:val="center"/>
            <w:hideMark/>
          </w:tcPr>
          <w:p w14:paraId="13060051"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p>
        </w:tc>
        <w:tc>
          <w:tcPr>
            <w:tcW w:w="992" w:type="dxa"/>
            <w:tcBorders>
              <w:top w:val="nil"/>
              <w:left w:val="nil"/>
              <w:bottom w:val="nil"/>
              <w:right w:val="nil"/>
            </w:tcBorders>
            <w:shd w:val="clear" w:color="auto" w:fill="auto"/>
            <w:noWrap/>
            <w:vAlign w:val="center"/>
            <w:hideMark/>
          </w:tcPr>
          <w:p w14:paraId="6846F026"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p>
        </w:tc>
        <w:tc>
          <w:tcPr>
            <w:tcW w:w="993" w:type="dxa"/>
            <w:tcBorders>
              <w:top w:val="nil"/>
              <w:left w:val="nil"/>
              <w:bottom w:val="nil"/>
              <w:right w:val="nil"/>
            </w:tcBorders>
            <w:shd w:val="clear" w:color="auto" w:fill="auto"/>
            <w:noWrap/>
            <w:vAlign w:val="center"/>
            <w:hideMark/>
          </w:tcPr>
          <w:p w14:paraId="0477E203"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p>
        </w:tc>
      </w:tr>
      <w:tr w:rsidR="00E63DF9" w:rsidRPr="006C023E" w14:paraId="75C9F74D" w14:textId="77777777" w:rsidTr="009B66A5">
        <w:trPr>
          <w:gridAfter w:val="1"/>
          <w:wAfter w:w="3762" w:type="dxa"/>
          <w:trHeight w:val="310"/>
        </w:trPr>
        <w:tc>
          <w:tcPr>
            <w:tcW w:w="2660" w:type="dxa"/>
            <w:tcBorders>
              <w:top w:val="nil"/>
              <w:left w:val="nil"/>
              <w:bottom w:val="nil"/>
              <w:right w:val="nil"/>
            </w:tcBorders>
            <w:shd w:val="clear" w:color="auto" w:fill="auto"/>
            <w:noWrap/>
            <w:vAlign w:val="center"/>
            <w:hideMark/>
          </w:tcPr>
          <w:p w14:paraId="034E7A73"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rs53576 (OXTR)</w:t>
            </w:r>
          </w:p>
        </w:tc>
        <w:tc>
          <w:tcPr>
            <w:tcW w:w="1007" w:type="dxa"/>
            <w:tcBorders>
              <w:top w:val="nil"/>
              <w:left w:val="nil"/>
              <w:bottom w:val="nil"/>
              <w:right w:val="nil"/>
            </w:tcBorders>
            <w:shd w:val="clear" w:color="auto" w:fill="auto"/>
            <w:noWrap/>
            <w:vAlign w:val="center"/>
            <w:hideMark/>
          </w:tcPr>
          <w:p w14:paraId="74BC35A3"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0.016</w:t>
            </w:r>
          </w:p>
        </w:tc>
        <w:tc>
          <w:tcPr>
            <w:tcW w:w="960" w:type="dxa"/>
            <w:tcBorders>
              <w:top w:val="nil"/>
              <w:left w:val="nil"/>
              <w:bottom w:val="nil"/>
              <w:right w:val="nil"/>
            </w:tcBorders>
            <w:shd w:val="clear" w:color="auto" w:fill="auto"/>
            <w:noWrap/>
            <w:vAlign w:val="center"/>
            <w:hideMark/>
          </w:tcPr>
          <w:p w14:paraId="7362A055"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0.033 </w:t>
            </w:r>
          </w:p>
        </w:tc>
        <w:tc>
          <w:tcPr>
            <w:tcW w:w="960" w:type="dxa"/>
            <w:tcBorders>
              <w:top w:val="nil"/>
              <w:left w:val="nil"/>
              <w:bottom w:val="nil"/>
              <w:right w:val="nil"/>
            </w:tcBorders>
            <w:shd w:val="clear" w:color="auto" w:fill="auto"/>
            <w:noWrap/>
            <w:vAlign w:val="center"/>
            <w:hideMark/>
          </w:tcPr>
          <w:p w14:paraId="29ADBFDC"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.621</w:t>
            </w:r>
          </w:p>
        </w:tc>
        <w:tc>
          <w:tcPr>
            <w:tcW w:w="960" w:type="dxa"/>
            <w:tcBorders>
              <w:top w:val="nil"/>
              <w:left w:val="nil"/>
              <w:bottom w:val="nil"/>
              <w:right w:val="nil"/>
            </w:tcBorders>
            <w:shd w:val="clear" w:color="auto" w:fill="auto"/>
            <w:noWrap/>
            <w:vAlign w:val="center"/>
            <w:hideMark/>
          </w:tcPr>
          <w:p w14:paraId="09A632D1"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p>
        </w:tc>
        <w:tc>
          <w:tcPr>
            <w:tcW w:w="966" w:type="dxa"/>
            <w:tcBorders>
              <w:top w:val="nil"/>
              <w:left w:val="nil"/>
              <w:bottom w:val="nil"/>
              <w:right w:val="nil"/>
            </w:tcBorders>
            <w:shd w:val="clear" w:color="auto" w:fill="auto"/>
            <w:noWrap/>
            <w:vAlign w:val="center"/>
            <w:hideMark/>
          </w:tcPr>
          <w:p w14:paraId="47F831E0"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0.003 </w:t>
            </w:r>
          </w:p>
        </w:tc>
        <w:tc>
          <w:tcPr>
            <w:tcW w:w="992" w:type="dxa"/>
            <w:tcBorders>
              <w:top w:val="nil"/>
              <w:left w:val="nil"/>
              <w:bottom w:val="nil"/>
              <w:right w:val="nil"/>
            </w:tcBorders>
            <w:shd w:val="clear" w:color="auto" w:fill="auto"/>
            <w:noWrap/>
            <w:vAlign w:val="center"/>
            <w:hideMark/>
          </w:tcPr>
          <w:p w14:paraId="179E2FD3"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0.020</w:t>
            </w:r>
          </w:p>
        </w:tc>
        <w:tc>
          <w:tcPr>
            <w:tcW w:w="993" w:type="dxa"/>
            <w:tcBorders>
              <w:top w:val="nil"/>
              <w:left w:val="nil"/>
              <w:bottom w:val="nil"/>
              <w:right w:val="nil"/>
            </w:tcBorders>
            <w:shd w:val="clear" w:color="auto" w:fill="auto"/>
            <w:noWrap/>
            <w:vAlign w:val="center"/>
            <w:hideMark/>
          </w:tcPr>
          <w:p w14:paraId="2A9D7623"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.878</w:t>
            </w:r>
          </w:p>
        </w:tc>
      </w:tr>
      <w:tr w:rsidR="00E63DF9" w:rsidRPr="006C023E" w14:paraId="3ABD61F3" w14:textId="77777777" w:rsidTr="009B66A5">
        <w:trPr>
          <w:gridAfter w:val="1"/>
          <w:wAfter w:w="3762" w:type="dxa"/>
          <w:trHeight w:val="310"/>
        </w:trPr>
        <w:tc>
          <w:tcPr>
            <w:tcW w:w="2660" w:type="dxa"/>
            <w:tcBorders>
              <w:top w:val="nil"/>
              <w:left w:val="nil"/>
              <w:bottom w:val="nil"/>
              <w:right w:val="nil"/>
            </w:tcBorders>
            <w:shd w:val="clear" w:color="auto" w:fill="auto"/>
            <w:noWrap/>
            <w:vAlign w:val="center"/>
            <w:hideMark/>
          </w:tcPr>
          <w:p w14:paraId="602135F6"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rs2254298 (OXTR)</w:t>
            </w:r>
          </w:p>
        </w:tc>
        <w:tc>
          <w:tcPr>
            <w:tcW w:w="1007" w:type="dxa"/>
            <w:tcBorders>
              <w:top w:val="nil"/>
              <w:left w:val="nil"/>
              <w:bottom w:val="nil"/>
              <w:right w:val="nil"/>
            </w:tcBorders>
            <w:shd w:val="clear" w:color="auto" w:fill="auto"/>
            <w:noWrap/>
            <w:vAlign w:val="center"/>
            <w:hideMark/>
          </w:tcPr>
          <w:p w14:paraId="75201B45"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0.011 </w:t>
            </w:r>
          </w:p>
        </w:tc>
        <w:tc>
          <w:tcPr>
            <w:tcW w:w="960" w:type="dxa"/>
            <w:tcBorders>
              <w:top w:val="nil"/>
              <w:left w:val="nil"/>
              <w:bottom w:val="nil"/>
              <w:right w:val="nil"/>
            </w:tcBorders>
            <w:shd w:val="clear" w:color="auto" w:fill="auto"/>
            <w:noWrap/>
            <w:vAlign w:val="center"/>
            <w:hideMark/>
          </w:tcPr>
          <w:p w14:paraId="6BC31E66"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0.058 </w:t>
            </w:r>
          </w:p>
        </w:tc>
        <w:tc>
          <w:tcPr>
            <w:tcW w:w="960" w:type="dxa"/>
            <w:tcBorders>
              <w:top w:val="nil"/>
              <w:left w:val="nil"/>
              <w:bottom w:val="nil"/>
              <w:right w:val="nil"/>
            </w:tcBorders>
            <w:shd w:val="clear" w:color="auto" w:fill="auto"/>
            <w:noWrap/>
            <w:vAlign w:val="center"/>
            <w:hideMark/>
          </w:tcPr>
          <w:p w14:paraId="37722478"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.850</w:t>
            </w:r>
          </w:p>
        </w:tc>
        <w:tc>
          <w:tcPr>
            <w:tcW w:w="960" w:type="dxa"/>
            <w:tcBorders>
              <w:top w:val="nil"/>
              <w:left w:val="nil"/>
              <w:bottom w:val="nil"/>
              <w:right w:val="nil"/>
            </w:tcBorders>
            <w:shd w:val="clear" w:color="auto" w:fill="auto"/>
            <w:noWrap/>
            <w:vAlign w:val="center"/>
            <w:hideMark/>
          </w:tcPr>
          <w:p w14:paraId="30EDDB59"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p>
        </w:tc>
        <w:tc>
          <w:tcPr>
            <w:tcW w:w="966" w:type="dxa"/>
            <w:tcBorders>
              <w:top w:val="nil"/>
              <w:left w:val="nil"/>
              <w:bottom w:val="nil"/>
              <w:right w:val="nil"/>
            </w:tcBorders>
            <w:shd w:val="clear" w:color="auto" w:fill="auto"/>
            <w:noWrap/>
            <w:vAlign w:val="center"/>
            <w:hideMark/>
          </w:tcPr>
          <w:p w14:paraId="3004B150"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0.017</w:t>
            </w:r>
          </w:p>
        </w:tc>
        <w:tc>
          <w:tcPr>
            <w:tcW w:w="992" w:type="dxa"/>
            <w:tcBorders>
              <w:top w:val="nil"/>
              <w:left w:val="nil"/>
              <w:bottom w:val="nil"/>
              <w:right w:val="nil"/>
            </w:tcBorders>
            <w:shd w:val="clear" w:color="auto" w:fill="auto"/>
            <w:noWrap/>
            <w:vAlign w:val="center"/>
            <w:hideMark/>
          </w:tcPr>
          <w:p w14:paraId="3F130495"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0.036 </w:t>
            </w:r>
          </w:p>
        </w:tc>
        <w:tc>
          <w:tcPr>
            <w:tcW w:w="993" w:type="dxa"/>
            <w:tcBorders>
              <w:top w:val="nil"/>
              <w:left w:val="nil"/>
              <w:bottom w:val="nil"/>
              <w:right w:val="nil"/>
            </w:tcBorders>
            <w:shd w:val="clear" w:color="auto" w:fill="auto"/>
            <w:noWrap/>
            <w:vAlign w:val="center"/>
            <w:hideMark/>
          </w:tcPr>
          <w:p w14:paraId="57A39CA6"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.634</w:t>
            </w:r>
          </w:p>
        </w:tc>
      </w:tr>
      <w:tr w:rsidR="00E63DF9" w:rsidRPr="006C023E" w14:paraId="3581721F" w14:textId="77777777" w:rsidTr="009B66A5">
        <w:trPr>
          <w:gridAfter w:val="1"/>
          <w:wAfter w:w="3762" w:type="dxa"/>
          <w:trHeight w:val="310"/>
        </w:trPr>
        <w:tc>
          <w:tcPr>
            <w:tcW w:w="2660" w:type="dxa"/>
            <w:tcBorders>
              <w:top w:val="nil"/>
              <w:left w:val="nil"/>
              <w:bottom w:val="nil"/>
              <w:right w:val="nil"/>
            </w:tcBorders>
            <w:shd w:val="clear" w:color="auto" w:fill="auto"/>
            <w:noWrap/>
            <w:vAlign w:val="center"/>
            <w:hideMark/>
          </w:tcPr>
          <w:p w14:paraId="0E63725C"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rs6449182 (CD38)</w:t>
            </w:r>
          </w:p>
        </w:tc>
        <w:tc>
          <w:tcPr>
            <w:tcW w:w="1007" w:type="dxa"/>
            <w:tcBorders>
              <w:top w:val="nil"/>
              <w:left w:val="nil"/>
              <w:bottom w:val="nil"/>
              <w:right w:val="nil"/>
            </w:tcBorders>
            <w:shd w:val="clear" w:color="auto" w:fill="auto"/>
            <w:noWrap/>
            <w:vAlign w:val="center"/>
            <w:hideMark/>
          </w:tcPr>
          <w:p w14:paraId="1826E70D"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0.050</w:t>
            </w:r>
          </w:p>
        </w:tc>
        <w:tc>
          <w:tcPr>
            <w:tcW w:w="960" w:type="dxa"/>
            <w:tcBorders>
              <w:top w:val="nil"/>
              <w:left w:val="nil"/>
              <w:bottom w:val="nil"/>
              <w:right w:val="nil"/>
            </w:tcBorders>
            <w:shd w:val="clear" w:color="auto" w:fill="auto"/>
            <w:noWrap/>
            <w:vAlign w:val="center"/>
            <w:hideMark/>
          </w:tcPr>
          <w:p w14:paraId="277A96F8"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0.040 </w:t>
            </w:r>
          </w:p>
        </w:tc>
        <w:tc>
          <w:tcPr>
            <w:tcW w:w="960" w:type="dxa"/>
            <w:tcBorders>
              <w:top w:val="nil"/>
              <w:left w:val="nil"/>
              <w:bottom w:val="nil"/>
              <w:right w:val="nil"/>
            </w:tcBorders>
            <w:shd w:val="clear" w:color="auto" w:fill="auto"/>
            <w:noWrap/>
            <w:vAlign w:val="center"/>
            <w:hideMark/>
          </w:tcPr>
          <w:p w14:paraId="24FE793E"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.208</w:t>
            </w:r>
          </w:p>
        </w:tc>
        <w:tc>
          <w:tcPr>
            <w:tcW w:w="960" w:type="dxa"/>
            <w:tcBorders>
              <w:top w:val="nil"/>
              <w:left w:val="nil"/>
              <w:bottom w:val="nil"/>
              <w:right w:val="nil"/>
            </w:tcBorders>
            <w:shd w:val="clear" w:color="auto" w:fill="auto"/>
            <w:noWrap/>
            <w:vAlign w:val="center"/>
            <w:hideMark/>
          </w:tcPr>
          <w:p w14:paraId="517E0E7F"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p>
        </w:tc>
        <w:tc>
          <w:tcPr>
            <w:tcW w:w="966" w:type="dxa"/>
            <w:tcBorders>
              <w:top w:val="nil"/>
              <w:left w:val="nil"/>
              <w:bottom w:val="nil"/>
              <w:right w:val="nil"/>
            </w:tcBorders>
            <w:shd w:val="clear" w:color="auto" w:fill="auto"/>
            <w:noWrap/>
            <w:vAlign w:val="center"/>
            <w:hideMark/>
          </w:tcPr>
          <w:p w14:paraId="6BFF0935"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-0.037</w:t>
            </w:r>
          </w:p>
        </w:tc>
        <w:tc>
          <w:tcPr>
            <w:tcW w:w="992" w:type="dxa"/>
            <w:tcBorders>
              <w:top w:val="nil"/>
              <w:left w:val="nil"/>
              <w:bottom w:val="nil"/>
              <w:right w:val="nil"/>
            </w:tcBorders>
            <w:shd w:val="clear" w:color="auto" w:fill="auto"/>
            <w:noWrap/>
            <w:vAlign w:val="center"/>
            <w:hideMark/>
          </w:tcPr>
          <w:p w14:paraId="321125C0"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0.024</w:t>
            </w:r>
          </w:p>
        </w:tc>
        <w:tc>
          <w:tcPr>
            <w:tcW w:w="993" w:type="dxa"/>
            <w:tcBorders>
              <w:top w:val="nil"/>
              <w:left w:val="nil"/>
              <w:bottom w:val="nil"/>
              <w:right w:val="nil"/>
            </w:tcBorders>
            <w:shd w:val="clear" w:color="auto" w:fill="auto"/>
            <w:noWrap/>
            <w:vAlign w:val="center"/>
            <w:hideMark/>
          </w:tcPr>
          <w:p w14:paraId="56E1F504"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.131</w:t>
            </w:r>
          </w:p>
        </w:tc>
      </w:tr>
      <w:tr w:rsidR="00E63DF9" w:rsidRPr="006C023E" w14:paraId="7A77A9C2" w14:textId="77777777" w:rsidTr="009B66A5">
        <w:trPr>
          <w:gridAfter w:val="1"/>
          <w:wAfter w:w="3762" w:type="dxa"/>
          <w:trHeight w:val="310"/>
        </w:trPr>
        <w:tc>
          <w:tcPr>
            <w:tcW w:w="2660" w:type="dxa"/>
            <w:tcBorders>
              <w:top w:val="nil"/>
              <w:left w:val="nil"/>
              <w:bottom w:val="nil"/>
              <w:right w:val="nil"/>
            </w:tcBorders>
            <w:shd w:val="clear" w:color="auto" w:fill="auto"/>
            <w:noWrap/>
            <w:vAlign w:val="center"/>
            <w:hideMark/>
          </w:tcPr>
          <w:p w14:paraId="4203D6AB"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rs12644506 (CD38)</w:t>
            </w:r>
          </w:p>
        </w:tc>
        <w:tc>
          <w:tcPr>
            <w:tcW w:w="1007" w:type="dxa"/>
            <w:tcBorders>
              <w:top w:val="nil"/>
              <w:left w:val="nil"/>
              <w:bottom w:val="nil"/>
              <w:right w:val="nil"/>
            </w:tcBorders>
            <w:shd w:val="clear" w:color="auto" w:fill="auto"/>
            <w:noWrap/>
            <w:vAlign w:val="center"/>
            <w:hideMark/>
          </w:tcPr>
          <w:p w14:paraId="284F3BEF"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0.026 </w:t>
            </w:r>
          </w:p>
        </w:tc>
        <w:tc>
          <w:tcPr>
            <w:tcW w:w="960" w:type="dxa"/>
            <w:tcBorders>
              <w:top w:val="nil"/>
              <w:left w:val="nil"/>
              <w:bottom w:val="nil"/>
              <w:right w:val="nil"/>
            </w:tcBorders>
            <w:shd w:val="clear" w:color="auto" w:fill="auto"/>
            <w:noWrap/>
            <w:vAlign w:val="center"/>
            <w:hideMark/>
          </w:tcPr>
          <w:p w14:paraId="02BB0330"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0.047</w:t>
            </w:r>
          </w:p>
        </w:tc>
        <w:tc>
          <w:tcPr>
            <w:tcW w:w="960" w:type="dxa"/>
            <w:tcBorders>
              <w:top w:val="nil"/>
              <w:left w:val="nil"/>
              <w:bottom w:val="nil"/>
              <w:right w:val="nil"/>
            </w:tcBorders>
            <w:shd w:val="clear" w:color="auto" w:fill="auto"/>
            <w:noWrap/>
            <w:vAlign w:val="center"/>
            <w:hideMark/>
          </w:tcPr>
          <w:p w14:paraId="5B76073A"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.579</w:t>
            </w:r>
          </w:p>
        </w:tc>
        <w:tc>
          <w:tcPr>
            <w:tcW w:w="960" w:type="dxa"/>
            <w:tcBorders>
              <w:top w:val="nil"/>
              <w:left w:val="nil"/>
              <w:bottom w:val="nil"/>
              <w:right w:val="nil"/>
            </w:tcBorders>
            <w:shd w:val="clear" w:color="auto" w:fill="auto"/>
            <w:noWrap/>
            <w:vAlign w:val="center"/>
            <w:hideMark/>
          </w:tcPr>
          <w:p w14:paraId="5A001E27"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p>
        </w:tc>
        <w:tc>
          <w:tcPr>
            <w:tcW w:w="966" w:type="dxa"/>
            <w:tcBorders>
              <w:top w:val="nil"/>
              <w:left w:val="nil"/>
              <w:bottom w:val="nil"/>
              <w:right w:val="nil"/>
            </w:tcBorders>
            <w:shd w:val="clear" w:color="auto" w:fill="auto"/>
            <w:noWrap/>
            <w:vAlign w:val="center"/>
            <w:hideMark/>
          </w:tcPr>
          <w:p w14:paraId="5191A618"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0.004</w:t>
            </w:r>
          </w:p>
        </w:tc>
        <w:tc>
          <w:tcPr>
            <w:tcW w:w="992" w:type="dxa"/>
            <w:tcBorders>
              <w:top w:val="nil"/>
              <w:left w:val="nil"/>
              <w:bottom w:val="nil"/>
              <w:right w:val="nil"/>
            </w:tcBorders>
            <w:shd w:val="clear" w:color="auto" w:fill="auto"/>
            <w:noWrap/>
            <w:vAlign w:val="center"/>
            <w:hideMark/>
          </w:tcPr>
          <w:p w14:paraId="5B9DBE15"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0.028</w:t>
            </w:r>
          </w:p>
        </w:tc>
        <w:tc>
          <w:tcPr>
            <w:tcW w:w="993" w:type="dxa"/>
            <w:tcBorders>
              <w:top w:val="nil"/>
              <w:left w:val="nil"/>
              <w:bottom w:val="nil"/>
              <w:right w:val="nil"/>
            </w:tcBorders>
            <w:shd w:val="clear" w:color="auto" w:fill="auto"/>
            <w:noWrap/>
            <w:vAlign w:val="center"/>
            <w:hideMark/>
          </w:tcPr>
          <w:p w14:paraId="4D9223E3"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.894</w:t>
            </w:r>
          </w:p>
        </w:tc>
      </w:tr>
      <w:tr w:rsidR="00E63DF9" w:rsidRPr="006C023E" w14:paraId="46774679" w14:textId="77777777" w:rsidTr="009B66A5">
        <w:trPr>
          <w:gridAfter w:val="1"/>
          <w:wAfter w:w="3762" w:type="dxa"/>
          <w:trHeight w:val="310"/>
        </w:trPr>
        <w:tc>
          <w:tcPr>
            <w:tcW w:w="2660" w:type="dxa"/>
            <w:tcBorders>
              <w:top w:val="nil"/>
              <w:left w:val="nil"/>
              <w:bottom w:val="nil"/>
              <w:right w:val="nil"/>
            </w:tcBorders>
            <w:shd w:val="clear" w:color="auto" w:fill="auto"/>
            <w:noWrap/>
            <w:vAlign w:val="center"/>
            <w:hideMark/>
          </w:tcPr>
          <w:p w14:paraId="5BB85FB3"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rs1801028 (DRD2)</w:t>
            </w:r>
          </w:p>
        </w:tc>
        <w:tc>
          <w:tcPr>
            <w:tcW w:w="1007" w:type="dxa"/>
            <w:tcBorders>
              <w:top w:val="nil"/>
              <w:left w:val="nil"/>
              <w:bottom w:val="nil"/>
              <w:right w:val="nil"/>
            </w:tcBorders>
            <w:shd w:val="clear" w:color="auto" w:fill="auto"/>
            <w:noWrap/>
            <w:vAlign w:val="center"/>
            <w:hideMark/>
          </w:tcPr>
          <w:p w14:paraId="4B3C4957"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0.115</w:t>
            </w:r>
          </w:p>
        </w:tc>
        <w:tc>
          <w:tcPr>
            <w:tcW w:w="960" w:type="dxa"/>
            <w:tcBorders>
              <w:top w:val="nil"/>
              <w:left w:val="nil"/>
              <w:bottom w:val="nil"/>
              <w:right w:val="nil"/>
            </w:tcBorders>
            <w:shd w:val="clear" w:color="auto" w:fill="auto"/>
            <w:noWrap/>
            <w:vAlign w:val="center"/>
            <w:hideMark/>
          </w:tcPr>
          <w:p w14:paraId="62D67D59"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0.117 </w:t>
            </w:r>
          </w:p>
        </w:tc>
        <w:tc>
          <w:tcPr>
            <w:tcW w:w="960" w:type="dxa"/>
            <w:tcBorders>
              <w:top w:val="nil"/>
              <w:left w:val="nil"/>
              <w:bottom w:val="nil"/>
              <w:right w:val="nil"/>
            </w:tcBorders>
            <w:shd w:val="clear" w:color="auto" w:fill="auto"/>
            <w:noWrap/>
            <w:vAlign w:val="center"/>
            <w:hideMark/>
          </w:tcPr>
          <w:p w14:paraId="5993AB01"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.325</w:t>
            </w:r>
          </w:p>
        </w:tc>
        <w:tc>
          <w:tcPr>
            <w:tcW w:w="960" w:type="dxa"/>
            <w:tcBorders>
              <w:top w:val="nil"/>
              <w:left w:val="nil"/>
              <w:bottom w:val="nil"/>
              <w:right w:val="nil"/>
            </w:tcBorders>
            <w:shd w:val="clear" w:color="auto" w:fill="auto"/>
            <w:noWrap/>
            <w:vAlign w:val="center"/>
            <w:hideMark/>
          </w:tcPr>
          <w:p w14:paraId="11141FE1"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p>
        </w:tc>
        <w:tc>
          <w:tcPr>
            <w:tcW w:w="966" w:type="dxa"/>
            <w:tcBorders>
              <w:top w:val="nil"/>
              <w:left w:val="nil"/>
              <w:bottom w:val="nil"/>
              <w:right w:val="nil"/>
            </w:tcBorders>
            <w:shd w:val="clear" w:color="auto" w:fill="auto"/>
            <w:noWrap/>
            <w:vAlign w:val="center"/>
            <w:hideMark/>
          </w:tcPr>
          <w:p w14:paraId="4C17BE66"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0.018 </w:t>
            </w:r>
          </w:p>
        </w:tc>
        <w:tc>
          <w:tcPr>
            <w:tcW w:w="992" w:type="dxa"/>
            <w:tcBorders>
              <w:top w:val="nil"/>
              <w:left w:val="nil"/>
              <w:bottom w:val="nil"/>
              <w:right w:val="nil"/>
            </w:tcBorders>
            <w:shd w:val="clear" w:color="auto" w:fill="auto"/>
            <w:noWrap/>
            <w:vAlign w:val="center"/>
            <w:hideMark/>
          </w:tcPr>
          <w:p w14:paraId="45F029B8"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0.073 </w:t>
            </w:r>
          </w:p>
        </w:tc>
        <w:tc>
          <w:tcPr>
            <w:tcW w:w="993" w:type="dxa"/>
            <w:tcBorders>
              <w:top w:val="nil"/>
              <w:left w:val="nil"/>
              <w:bottom w:val="nil"/>
              <w:right w:val="nil"/>
            </w:tcBorders>
            <w:shd w:val="clear" w:color="auto" w:fill="auto"/>
            <w:noWrap/>
            <w:vAlign w:val="center"/>
            <w:hideMark/>
          </w:tcPr>
          <w:p w14:paraId="297D4971"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.804</w:t>
            </w:r>
          </w:p>
        </w:tc>
      </w:tr>
      <w:tr w:rsidR="00E63DF9" w:rsidRPr="006C023E" w14:paraId="166AA9F1" w14:textId="77777777" w:rsidTr="009B66A5">
        <w:trPr>
          <w:gridAfter w:val="1"/>
          <w:wAfter w:w="3762" w:type="dxa"/>
          <w:trHeight w:val="310"/>
        </w:trPr>
        <w:tc>
          <w:tcPr>
            <w:tcW w:w="2660" w:type="dxa"/>
            <w:tcBorders>
              <w:top w:val="nil"/>
              <w:left w:val="nil"/>
              <w:bottom w:val="nil"/>
              <w:right w:val="nil"/>
            </w:tcBorders>
            <w:shd w:val="clear" w:color="auto" w:fill="auto"/>
            <w:noWrap/>
            <w:vAlign w:val="center"/>
            <w:hideMark/>
          </w:tcPr>
          <w:p w14:paraId="68D7624D"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rs468317 (DRD2)</w:t>
            </w:r>
          </w:p>
        </w:tc>
        <w:tc>
          <w:tcPr>
            <w:tcW w:w="1007" w:type="dxa"/>
            <w:tcBorders>
              <w:top w:val="nil"/>
              <w:left w:val="nil"/>
              <w:bottom w:val="nil"/>
              <w:right w:val="nil"/>
            </w:tcBorders>
            <w:shd w:val="clear" w:color="auto" w:fill="auto"/>
            <w:noWrap/>
            <w:vAlign w:val="center"/>
            <w:hideMark/>
          </w:tcPr>
          <w:p w14:paraId="29E315B7"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0.068 </w:t>
            </w:r>
          </w:p>
        </w:tc>
        <w:tc>
          <w:tcPr>
            <w:tcW w:w="960" w:type="dxa"/>
            <w:tcBorders>
              <w:top w:val="nil"/>
              <w:left w:val="nil"/>
              <w:bottom w:val="nil"/>
              <w:right w:val="nil"/>
            </w:tcBorders>
            <w:shd w:val="clear" w:color="auto" w:fill="auto"/>
            <w:noWrap/>
            <w:vAlign w:val="center"/>
            <w:hideMark/>
          </w:tcPr>
          <w:p w14:paraId="07C4DCFC"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0.040</w:t>
            </w:r>
          </w:p>
        </w:tc>
        <w:tc>
          <w:tcPr>
            <w:tcW w:w="960" w:type="dxa"/>
            <w:tcBorders>
              <w:top w:val="nil"/>
              <w:left w:val="nil"/>
              <w:bottom w:val="nil"/>
              <w:right w:val="nil"/>
            </w:tcBorders>
            <w:shd w:val="clear" w:color="auto" w:fill="auto"/>
            <w:noWrap/>
            <w:vAlign w:val="center"/>
            <w:hideMark/>
          </w:tcPr>
          <w:p w14:paraId="265E584F"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.086</w:t>
            </w:r>
          </w:p>
        </w:tc>
        <w:tc>
          <w:tcPr>
            <w:tcW w:w="960" w:type="dxa"/>
            <w:tcBorders>
              <w:top w:val="nil"/>
              <w:left w:val="nil"/>
              <w:bottom w:val="nil"/>
              <w:right w:val="nil"/>
            </w:tcBorders>
            <w:shd w:val="clear" w:color="auto" w:fill="auto"/>
            <w:noWrap/>
            <w:vAlign w:val="center"/>
            <w:hideMark/>
          </w:tcPr>
          <w:p w14:paraId="0C6EA159"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p>
        </w:tc>
        <w:tc>
          <w:tcPr>
            <w:tcW w:w="966" w:type="dxa"/>
            <w:tcBorders>
              <w:top w:val="nil"/>
              <w:left w:val="nil"/>
              <w:bottom w:val="nil"/>
              <w:right w:val="nil"/>
            </w:tcBorders>
            <w:shd w:val="clear" w:color="auto" w:fill="auto"/>
            <w:noWrap/>
            <w:vAlign w:val="center"/>
            <w:hideMark/>
          </w:tcPr>
          <w:p w14:paraId="0B309439"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0.024 </w:t>
            </w:r>
          </w:p>
        </w:tc>
        <w:tc>
          <w:tcPr>
            <w:tcW w:w="992" w:type="dxa"/>
            <w:tcBorders>
              <w:top w:val="nil"/>
              <w:left w:val="nil"/>
              <w:bottom w:val="nil"/>
              <w:right w:val="nil"/>
            </w:tcBorders>
            <w:shd w:val="clear" w:color="auto" w:fill="auto"/>
            <w:noWrap/>
            <w:vAlign w:val="center"/>
            <w:hideMark/>
          </w:tcPr>
          <w:p w14:paraId="61B30DB8"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0.024</w:t>
            </w:r>
          </w:p>
        </w:tc>
        <w:tc>
          <w:tcPr>
            <w:tcW w:w="993" w:type="dxa"/>
            <w:tcBorders>
              <w:top w:val="nil"/>
              <w:left w:val="nil"/>
              <w:bottom w:val="nil"/>
              <w:right w:val="nil"/>
            </w:tcBorders>
            <w:shd w:val="clear" w:color="auto" w:fill="auto"/>
            <w:noWrap/>
            <w:vAlign w:val="center"/>
            <w:hideMark/>
          </w:tcPr>
          <w:p w14:paraId="2D2242D5"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.325</w:t>
            </w:r>
          </w:p>
        </w:tc>
      </w:tr>
      <w:tr w:rsidR="00E63DF9" w:rsidRPr="006C023E" w14:paraId="53581C14" w14:textId="77777777" w:rsidTr="009B66A5">
        <w:trPr>
          <w:gridAfter w:val="1"/>
          <w:wAfter w:w="3762" w:type="dxa"/>
          <w:trHeight w:val="310"/>
        </w:trPr>
        <w:tc>
          <w:tcPr>
            <w:tcW w:w="2660" w:type="dxa"/>
            <w:tcBorders>
              <w:top w:val="nil"/>
              <w:left w:val="nil"/>
              <w:bottom w:val="nil"/>
              <w:right w:val="nil"/>
            </w:tcBorders>
            <w:shd w:val="clear" w:color="auto" w:fill="auto"/>
            <w:noWrap/>
            <w:vAlign w:val="center"/>
            <w:hideMark/>
          </w:tcPr>
          <w:p w14:paraId="15063DBF"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rs4633 (COMT)</w:t>
            </w:r>
          </w:p>
        </w:tc>
        <w:tc>
          <w:tcPr>
            <w:tcW w:w="1007" w:type="dxa"/>
            <w:tcBorders>
              <w:top w:val="nil"/>
              <w:left w:val="nil"/>
              <w:bottom w:val="nil"/>
              <w:right w:val="nil"/>
            </w:tcBorders>
            <w:shd w:val="clear" w:color="auto" w:fill="auto"/>
            <w:noWrap/>
            <w:vAlign w:val="center"/>
            <w:hideMark/>
          </w:tcPr>
          <w:p w14:paraId="2B7B8EE5"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0.007</w:t>
            </w:r>
          </w:p>
        </w:tc>
        <w:tc>
          <w:tcPr>
            <w:tcW w:w="960" w:type="dxa"/>
            <w:tcBorders>
              <w:top w:val="nil"/>
              <w:left w:val="nil"/>
              <w:bottom w:val="nil"/>
              <w:right w:val="nil"/>
            </w:tcBorders>
            <w:shd w:val="clear" w:color="auto" w:fill="auto"/>
            <w:noWrap/>
            <w:vAlign w:val="center"/>
            <w:hideMark/>
          </w:tcPr>
          <w:p w14:paraId="3E25BE1C"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0.033</w:t>
            </w:r>
          </w:p>
        </w:tc>
        <w:tc>
          <w:tcPr>
            <w:tcW w:w="960" w:type="dxa"/>
            <w:tcBorders>
              <w:top w:val="nil"/>
              <w:left w:val="nil"/>
              <w:bottom w:val="nil"/>
              <w:right w:val="nil"/>
            </w:tcBorders>
            <w:shd w:val="clear" w:color="auto" w:fill="auto"/>
            <w:noWrap/>
            <w:vAlign w:val="center"/>
            <w:hideMark/>
          </w:tcPr>
          <w:p w14:paraId="48FB069F"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.827 </w:t>
            </w:r>
          </w:p>
        </w:tc>
        <w:tc>
          <w:tcPr>
            <w:tcW w:w="960" w:type="dxa"/>
            <w:tcBorders>
              <w:top w:val="nil"/>
              <w:left w:val="nil"/>
              <w:bottom w:val="nil"/>
              <w:right w:val="nil"/>
            </w:tcBorders>
            <w:shd w:val="clear" w:color="auto" w:fill="auto"/>
            <w:noWrap/>
            <w:vAlign w:val="center"/>
            <w:hideMark/>
          </w:tcPr>
          <w:p w14:paraId="6139E26B"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p>
        </w:tc>
        <w:tc>
          <w:tcPr>
            <w:tcW w:w="966" w:type="dxa"/>
            <w:tcBorders>
              <w:top w:val="nil"/>
              <w:left w:val="nil"/>
              <w:bottom w:val="nil"/>
              <w:right w:val="nil"/>
            </w:tcBorders>
            <w:shd w:val="clear" w:color="auto" w:fill="auto"/>
            <w:noWrap/>
            <w:vAlign w:val="center"/>
            <w:hideMark/>
          </w:tcPr>
          <w:p w14:paraId="04B008DA"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0.006 </w:t>
            </w:r>
          </w:p>
        </w:tc>
        <w:tc>
          <w:tcPr>
            <w:tcW w:w="992" w:type="dxa"/>
            <w:tcBorders>
              <w:top w:val="nil"/>
              <w:left w:val="nil"/>
              <w:bottom w:val="nil"/>
              <w:right w:val="nil"/>
            </w:tcBorders>
            <w:shd w:val="clear" w:color="auto" w:fill="auto"/>
            <w:noWrap/>
            <w:vAlign w:val="center"/>
            <w:hideMark/>
          </w:tcPr>
          <w:p w14:paraId="70504ED6"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0.020 </w:t>
            </w:r>
          </w:p>
        </w:tc>
        <w:tc>
          <w:tcPr>
            <w:tcW w:w="993" w:type="dxa"/>
            <w:tcBorders>
              <w:top w:val="nil"/>
              <w:left w:val="nil"/>
              <w:bottom w:val="nil"/>
              <w:right w:val="nil"/>
            </w:tcBorders>
            <w:shd w:val="clear" w:color="auto" w:fill="auto"/>
            <w:noWrap/>
            <w:vAlign w:val="center"/>
            <w:hideMark/>
          </w:tcPr>
          <w:p w14:paraId="53ED580F"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.749</w:t>
            </w:r>
          </w:p>
        </w:tc>
      </w:tr>
      <w:tr w:rsidR="00E63DF9" w:rsidRPr="006C023E" w14:paraId="00C87A6D" w14:textId="77777777" w:rsidTr="009B66A5">
        <w:trPr>
          <w:gridAfter w:val="1"/>
          <w:wAfter w:w="3762" w:type="dxa"/>
          <w:trHeight w:val="310"/>
        </w:trPr>
        <w:tc>
          <w:tcPr>
            <w:tcW w:w="2660" w:type="dxa"/>
            <w:tcBorders>
              <w:top w:val="nil"/>
              <w:left w:val="nil"/>
              <w:bottom w:val="nil"/>
              <w:right w:val="nil"/>
            </w:tcBorders>
            <w:shd w:val="clear" w:color="auto" w:fill="auto"/>
            <w:noWrap/>
            <w:vAlign w:val="center"/>
            <w:hideMark/>
          </w:tcPr>
          <w:p w14:paraId="763A02EE"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rs4818 (COMT)</w:t>
            </w:r>
          </w:p>
        </w:tc>
        <w:tc>
          <w:tcPr>
            <w:tcW w:w="1007" w:type="dxa"/>
            <w:tcBorders>
              <w:top w:val="nil"/>
              <w:left w:val="nil"/>
              <w:bottom w:val="nil"/>
              <w:right w:val="nil"/>
            </w:tcBorders>
            <w:shd w:val="clear" w:color="auto" w:fill="auto"/>
            <w:noWrap/>
            <w:vAlign w:val="center"/>
            <w:hideMark/>
          </w:tcPr>
          <w:p w14:paraId="2A8F523C"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0.033</w:t>
            </w:r>
          </w:p>
        </w:tc>
        <w:tc>
          <w:tcPr>
            <w:tcW w:w="960" w:type="dxa"/>
            <w:tcBorders>
              <w:top w:val="nil"/>
              <w:left w:val="nil"/>
              <w:bottom w:val="nil"/>
              <w:right w:val="nil"/>
            </w:tcBorders>
            <w:shd w:val="clear" w:color="auto" w:fill="auto"/>
            <w:noWrap/>
            <w:vAlign w:val="center"/>
            <w:hideMark/>
          </w:tcPr>
          <w:p w14:paraId="57527F51"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0.035 </w:t>
            </w:r>
          </w:p>
        </w:tc>
        <w:tc>
          <w:tcPr>
            <w:tcW w:w="960" w:type="dxa"/>
            <w:tcBorders>
              <w:top w:val="nil"/>
              <w:left w:val="nil"/>
              <w:bottom w:val="nil"/>
              <w:right w:val="nil"/>
            </w:tcBorders>
            <w:shd w:val="clear" w:color="auto" w:fill="auto"/>
            <w:noWrap/>
            <w:vAlign w:val="center"/>
            <w:hideMark/>
          </w:tcPr>
          <w:p w14:paraId="12EB371F"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.351</w:t>
            </w:r>
          </w:p>
        </w:tc>
        <w:tc>
          <w:tcPr>
            <w:tcW w:w="960" w:type="dxa"/>
            <w:tcBorders>
              <w:top w:val="nil"/>
              <w:left w:val="nil"/>
              <w:bottom w:val="nil"/>
              <w:right w:val="nil"/>
            </w:tcBorders>
            <w:shd w:val="clear" w:color="auto" w:fill="auto"/>
            <w:noWrap/>
            <w:vAlign w:val="center"/>
            <w:hideMark/>
          </w:tcPr>
          <w:p w14:paraId="64AE5AEE"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p>
        </w:tc>
        <w:tc>
          <w:tcPr>
            <w:tcW w:w="966" w:type="dxa"/>
            <w:tcBorders>
              <w:top w:val="nil"/>
              <w:left w:val="nil"/>
              <w:bottom w:val="nil"/>
              <w:right w:val="nil"/>
            </w:tcBorders>
            <w:shd w:val="clear" w:color="auto" w:fill="auto"/>
            <w:noWrap/>
            <w:vAlign w:val="center"/>
            <w:hideMark/>
          </w:tcPr>
          <w:p w14:paraId="0FE33EEC"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0.012</w:t>
            </w:r>
          </w:p>
        </w:tc>
        <w:tc>
          <w:tcPr>
            <w:tcW w:w="992" w:type="dxa"/>
            <w:tcBorders>
              <w:top w:val="nil"/>
              <w:left w:val="nil"/>
              <w:bottom w:val="nil"/>
              <w:right w:val="nil"/>
            </w:tcBorders>
            <w:shd w:val="clear" w:color="auto" w:fill="auto"/>
            <w:noWrap/>
            <w:vAlign w:val="center"/>
            <w:hideMark/>
          </w:tcPr>
          <w:p w14:paraId="1BF18AC6"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0.021 </w:t>
            </w:r>
          </w:p>
        </w:tc>
        <w:tc>
          <w:tcPr>
            <w:tcW w:w="993" w:type="dxa"/>
            <w:tcBorders>
              <w:top w:val="nil"/>
              <w:left w:val="nil"/>
              <w:bottom w:val="nil"/>
              <w:right w:val="nil"/>
            </w:tcBorders>
            <w:shd w:val="clear" w:color="auto" w:fill="auto"/>
            <w:noWrap/>
            <w:vAlign w:val="center"/>
            <w:hideMark/>
          </w:tcPr>
          <w:p w14:paraId="1C6599C2"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.584</w:t>
            </w:r>
          </w:p>
        </w:tc>
      </w:tr>
      <w:tr w:rsidR="00E63DF9" w:rsidRPr="006C023E" w14:paraId="7A157BF2" w14:textId="77777777" w:rsidTr="009B66A5">
        <w:trPr>
          <w:gridAfter w:val="1"/>
          <w:wAfter w:w="3762" w:type="dxa"/>
          <w:trHeight w:val="310"/>
        </w:trPr>
        <w:tc>
          <w:tcPr>
            <w:tcW w:w="2660" w:type="dxa"/>
            <w:tcBorders>
              <w:top w:val="nil"/>
              <w:left w:val="nil"/>
              <w:right w:val="nil"/>
            </w:tcBorders>
            <w:shd w:val="clear" w:color="auto" w:fill="auto"/>
            <w:noWrap/>
            <w:vAlign w:val="center"/>
            <w:hideMark/>
          </w:tcPr>
          <w:p w14:paraId="260D5DFF"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rs2519152 (DBH)</w:t>
            </w:r>
          </w:p>
        </w:tc>
        <w:tc>
          <w:tcPr>
            <w:tcW w:w="1007" w:type="dxa"/>
            <w:tcBorders>
              <w:top w:val="nil"/>
              <w:left w:val="nil"/>
              <w:right w:val="nil"/>
            </w:tcBorders>
            <w:shd w:val="clear" w:color="auto" w:fill="auto"/>
            <w:noWrap/>
            <w:vAlign w:val="center"/>
            <w:hideMark/>
          </w:tcPr>
          <w:p w14:paraId="69DBD488"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0.031</w:t>
            </w:r>
          </w:p>
        </w:tc>
        <w:tc>
          <w:tcPr>
            <w:tcW w:w="960" w:type="dxa"/>
            <w:tcBorders>
              <w:top w:val="nil"/>
              <w:left w:val="nil"/>
              <w:right w:val="nil"/>
            </w:tcBorders>
            <w:shd w:val="clear" w:color="auto" w:fill="auto"/>
            <w:noWrap/>
            <w:vAlign w:val="center"/>
            <w:hideMark/>
          </w:tcPr>
          <w:p w14:paraId="31754308"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0.034 </w:t>
            </w:r>
          </w:p>
        </w:tc>
        <w:tc>
          <w:tcPr>
            <w:tcW w:w="960" w:type="dxa"/>
            <w:tcBorders>
              <w:top w:val="nil"/>
              <w:left w:val="nil"/>
              <w:right w:val="nil"/>
            </w:tcBorders>
            <w:shd w:val="clear" w:color="auto" w:fill="auto"/>
            <w:noWrap/>
            <w:vAlign w:val="center"/>
            <w:hideMark/>
          </w:tcPr>
          <w:p w14:paraId="7A994EFD"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.361</w:t>
            </w:r>
          </w:p>
        </w:tc>
        <w:tc>
          <w:tcPr>
            <w:tcW w:w="960" w:type="dxa"/>
            <w:tcBorders>
              <w:top w:val="nil"/>
              <w:left w:val="nil"/>
              <w:right w:val="nil"/>
            </w:tcBorders>
            <w:shd w:val="clear" w:color="auto" w:fill="auto"/>
            <w:noWrap/>
            <w:vAlign w:val="center"/>
            <w:hideMark/>
          </w:tcPr>
          <w:p w14:paraId="66782BE1"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p>
        </w:tc>
        <w:tc>
          <w:tcPr>
            <w:tcW w:w="966" w:type="dxa"/>
            <w:tcBorders>
              <w:top w:val="nil"/>
              <w:left w:val="nil"/>
              <w:right w:val="nil"/>
            </w:tcBorders>
            <w:shd w:val="clear" w:color="auto" w:fill="auto"/>
            <w:noWrap/>
            <w:vAlign w:val="center"/>
            <w:hideMark/>
          </w:tcPr>
          <w:p w14:paraId="2B384D34"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0.031</w:t>
            </w:r>
          </w:p>
        </w:tc>
        <w:tc>
          <w:tcPr>
            <w:tcW w:w="992" w:type="dxa"/>
            <w:tcBorders>
              <w:top w:val="nil"/>
              <w:left w:val="nil"/>
              <w:right w:val="nil"/>
            </w:tcBorders>
            <w:shd w:val="clear" w:color="auto" w:fill="auto"/>
            <w:noWrap/>
            <w:vAlign w:val="center"/>
            <w:hideMark/>
          </w:tcPr>
          <w:p w14:paraId="29F67E09"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0.021</w:t>
            </w:r>
          </w:p>
        </w:tc>
        <w:tc>
          <w:tcPr>
            <w:tcW w:w="993" w:type="dxa"/>
            <w:tcBorders>
              <w:top w:val="nil"/>
              <w:left w:val="nil"/>
              <w:right w:val="nil"/>
            </w:tcBorders>
            <w:shd w:val="clear" w:color="auto" w:fill="auto"/>
            <w:noWrap/>
            <w:vAlign w:val="center"/>
            <w:hideMark/>
          </w:tcPr>
          <w:p w14:paraId="704DF74F"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.142</w:t>
            </w:r>
          </w:p>
        </w:tc>
      </w:tr>
      <w:tr w:rsidR="00E63DF9" w:rsidRPr="006C023E" w14:paraId="2BAD2BB2" w14:textId="77777777" w:rsidTr="009B66A5">
        <w:trPr>
          <w:gridAfter w:val="1"/>
          <w:wAfter w:w="3762" w:type="dxa"/>
          <w:trHeight w:val="310"/>
        </w:trPr>
        <w:tc>
          <w:tcPr>
            <w:tcW w:w="2660" w:type="dxa"/>
            <w:tcBorders>
              <w:top w:val="nil"/>
              <w:left w:val="nil"/>
              <w:bottom w:val="single" w:sz="4" w:space="0" w:color="auto"/>
              <w:right w:val="nil"/>
            </w:tcBorders>
            <w:shd w:val="clear" w:color="auto" w:fill="auto"/>
            <w:noWrap/>
            <w:vAlign w:val="center"/>
            <w:hideMark/>
          </w:tcPr>
          <w:p w14:paraId="2540E2A2"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rs6271 (DBH)</w:t>
            </w:r>
          </w:p>
        </w:tc>
        <w:tc>
          <w:tcPr>
            <w:tcW w:w="1007" w:type="dxa"/>
            <w:tcBorders>
              <w:top w:val="nil"/>
              <w:left w:val="nil"/>
              <w:bottom w:val="single" w:sz="4" w:space="0" w:color="auto"/>
              <w:right w:val="nil"/>
            </w:tcBorders>
            <w:shd w:val="clear" w:color="auto" w:fill="auto"/>
            <w:noWrap/>
            <w:vAlign w:val="center"/>
            <w:hideMark/>
          </w:tcPr>
          <w:p w14:paraId="45433419"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0.019</w:t>
            </w:r>
          </w:p>
        </w:tc>
        <w:tc>
          <w:tcPr>
            <w:tcW w:w="960" w:type="dxa"/>
            <w:tcBorders>
              <w:top w:val="nil"/>
              <w:left w:val="nil"/>
              <w:bottom w:val="single" w:sz="4" w:space="0" w:color="auto"/>
              <w:right w:val="nil"/>
            </w:tcBorders>
            <w:shd w:val="clear" w:color="auto" w:fill="auto"/>
            <w:noWrap/>
            <w:vAlign w:val="center"/>
            <w:hideMark/>
          </w:tcPr>
          <w:p w14:paraId="3E32755B"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0.068</w:t>
            </w:r>
          </w:p>
        </w:tc>
        <w:tc>
          <w:tcPr>
            <w:tcW w:w="960" w:type="dxa"/>
            <w:tcBorders>
              <w:top w:val="nil"/>
              <w:left w:val="nil"/>
              <w:bottom w:val="single" w:sz="4" w:space="0" w:color="auto"/>
              <w:right w:val="nil"/>
            </w:tcBorders>
            <w:shd w:val="clear" w:color="auto" w:fill="auto"/>
            <w:noWrap/>
            <w:vAlign w:val="center"/>
            <w:hideMark/>
          </w:tcPr>
          <w:p w14:paraId="30CCE878"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.780</w:t>
            </w:r>
          </w:p>
        </w:tc>
        <w:tc>
          <w:tcPr>
            <w:tcW w:w="960" w:type="dxa"/>
            <w:tcBorders>
              <w:top w:val="nil"/>
              <w:left w:val="nil"/>
              <w:bottom w:val="single" w:sz="4" w:space="0" w:color="auto"/>
              <w:right w:val="nil"/>
            </w:tcBorders>
            <w:shd w:val="clear" w:color="auto" w:fill="auto"/>
            <w:noWrap/>
            <w:vAlign w:val="center"/>
            <w:hideMark/>
          </w:tcPr>
          <w:p w14:paraId="3FFF1737"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p>
        </w:tc>
        <w:tc>
          <w:tcPr>
            <w:tcW w:w="966" w:type="dxa"/>
            <w:tcBorders>
              <w:top w:val="nil"/>
              <w:left w:val="nil"/>
              <w:bottom w:val="single" w:sz="4" w:space="0" w:color="auto"/>
              <w:right w:val="nil"/>
            </w:tcBorders>
            <w:shd w:val="clear" w:color="auto" w:fill="auto"/>
            <w:noWrap/>
            <w:vAlign w:val="center"/>
            <w:hideMark/>
          </w:tcPr>
          <w:p w14:paraId="382A67BB"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0.032</w:t>
            </w:r>
          </w:p>
        </w:tc>
        <w:tc>
          <w:tcPr>
            <w:tcW w:w="992" w:type="dxa"/>
            <w:tcBorders>
              <w:top w:val="nil"/>
              <w:left w:val="nil"/>
              <w:bottom w:val="single" w:sz="4" w:space="0" w:color="auto"/>
              <w:right w:val="nil"/>
            </w:tcBorders>
            <w:shd w:val="clear" w:color="auto" w:fill="auto"/>
            <w:noWrap/>
            <w:vAlign w:val="center"/>
            <w:hideMark/>
          </w:tcPr>
          <w:p w14:paraId="4DDA471A"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0.041</w:t>
            </w:r>
          </w:p>
        </w:tc>
        <w:tc>
          <w:tcPr>
            <w:tcW w:w="993" w:type="dxa"/>
            <w:tcBorders>
              <w:top w:val="nil"/>
              <w:left w:val="nil"/>
              <w:bottom w:val="single" w:sz="4" w:space="0" w:color="auto"/>
              <w:right w:val="nil"/>
            </w:tcBorders>
            <w:shd w:val="clear" w:color="auto" w:fill="auto"/>
            <w:noWrap/>
            <w:vAlign w:val="center"/>
            <w:hideMark/>
          </w:tcPr>
          <w:p w14:paraId="49E685F0" w14:textId="77777777" w:rsidR="00E63DF9" w:rsidRPr="006C023E" w:rsidRDefault="00E63DF9" w:rsidP="009B66A5">
            <w:pPr>
              <w:spacing w:after="0" w:line="36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.444</w:t>
            </w:r>
          </w:p>
        </w:tc>
      </w:tr>
    </w:tbl>
    <w:p w14:paraId="1D8BB412" w14:textId="77777777" w:rsidR="009D1103" w:rsidRPr="006C023E" w:rsidRDefault="00E63DF9" w:rsidP="008D10BD">
      <w:pPr>
        <w:spacing w:line="480" w:lineRule="auto"/>
        <w:rPr>
          <w:rFonts w:ascii="Times New Roman" w:hAnsi="Times New Roman" w:cs="Times New Roman"/>
          <w:sz w:val="24"/>
          <w:szCs w:val="24"/>
        </w:rPr>
      </w:pPr>
      <w:r w:rsidRPr="006C023E">
        <w:rPr>
          <w:rFonts w:ascii="Times New Roman" w:hAnsi="Times New Roman" w:cs="Times New Roman"/>
          <w:sz w:val="24"/>
          <w:szCs w:val="24"/>
        </w:rPr>
        <w:t>Notes. In all models, included covariates were year of birth, gender, childhood and adulthood socioeconomic status, and the top 10 genetic principal components. Across models, RMSEAs = 0.033 and CFIs = 0.913</w:t>
      </w:r>
    </w:p>
    <w:p w14:paraId="426CB629" w14:textId="77777777" w:rsidR="009D1103" w:rsidRPr="006C023E" w:rsidRDefault="009D1103" w:rsidP="008D10BD">
      <w:pPr>
        <w:spacing w:line="480" w:lineRule="auto"/>
        <w:rPr>
          <w:rFonts w:ascii="Times New Roman" w:hAnsi="Times New Roman" w:cs="Times New Roman"/>
          <w:sz w:val="24"/>
          <w:szCs w:val="24"/>
        </w:rPr>
        <w:sectPr w:rsidR="009D1103" w:rsidRPr="006C023E" w:rsidSect="009D1103">
          <w:pgSz w:w="16838" w:h="11906" w:orient="landscape"/>
          <w:pgMar w:top="1134" w:right="1418" w:bottom="1134" w:left="1418" w:header="709" w:footer="709" w:gutter="0"/>
          <w:cols w:space="708"/>
          <w:docGrid w:linePitch="360"/>
        </w:sectPr>
      </w:pPr>
    </w:p>
    <w:p w14:paraId="430E26ED" w14:textId="3C5FE2E0" w:rsidR="009D1103" w:rsidRPr="006C023E" w:rsidRDefault="009D1103" w:rsidP="00987CDA">
      <w:pPr>
        <w:pStyle w:val="NormalWeb"/>
        <w:spacing w:line="480" w:lineRule="auto"/>
        <w:rPr>
          <w:rStyle w:val="gd15mcfceub"/>
          <w:i/>
          <w:iCs/>
          <w:bdr w:val="none" w:sz="0" w:space="0" w:color="auto" w:frame="1"/>
        </w:rPr>
      </w:pPr>
      <w:r w:rsidRPr="006C023E">
        <w:lastRenderedPageBreak/>
        <w:t xml:space="preserve">S2) </w:t>
      </w:r>
      <w:r w:rsidRPr="006C023E">
        <w:rPr>
          <w:rStyle w:val="gd15mcfceub"/>
          <w:i/>
          <w:iCs/>
          <w:bdr w:val="none" w:sz="0" w:space="0" w:color="auto" w:frame="1"/>
        </w:rPr>
        <w:t>Factor structure of the TCI Compassion (vs. Revengefulness) scale.</w:t>
      </w:r>
    </w:p>
    <w:p w14:paraId="10F83262" w14:textId="4661AEAE" w:rsidR="009D1103" w:rsidRPr="006C023E" w:rsidRDefault="009D1103" w:rsidP="00987CDA">
      <w:pPr>
        <w:pStyle w:val="NormalWeb"/>
        <w:spacing w:line="480" w:lineRule="auto"/>
      </w:pPr>
      <w:r w:rsidRPr="006C023E">
        <w:t xml:space="preserve">We used YFS data from 1997 (T1), when participants were from 20 to 35 years old (n= 2130), to assess the factor structure of the TCI </w:t>
      </w:r>
      <w:r w:rsidR="00395CCD" w:rsidRPr="006C023E">
        <w:t>c</w:t>
      </w:r>
      <w:r w:rsidRPr="006C023E">
        <w:t xml:space="preserve">ompassion (vs. </w:t>
      </w:r>
      <w:r w:rsidR="00395CCD" w:rsidRPr="006C023E">
        <w:t>r</w:t>
      </w:r>
      <w:r w:rsidRPr="006C023E">
        <w:t>evengefulness) scale. The five items measuring revengefulness have been reverse</w:t>
      </w:r>
      <w:r w:rsidR="0058603F" w:rsidRPr="006C023E">
        <w:t>ly scored</w:t>
      </w:r>
      <w:r w:rsidRPr="006C023E">
        <w:t xml:space="preserve"> before the analyses.</w:t>
      </w:r>
    </w:p>
    <w:p w14:paraId="1CB19CBD" w14:textId="4B6055E8" w:rsidR="009D1103" w:rsidRPr="006C023E" w:rsidRDefault="009D1103" w:rsidP="00987CDA">
      <w:pPr>
        <w:pStyle w:val="NormalWeb"/>
        <w:spacing w:line="480" w:lineRule="auto"/>
      </w:pPr>
      <w:r w:rsidRPr="006C023E">
        <w:t xml:space="preserve">A confirmatory factor analysis (CFA) with all ten items loading on a single latent factor (Figure S1) resulted in a rather poor fit to the data (RMSEA = 0.119 / CFI = 0.880). </w:t>
      </w:r>
      <w:r w:rsidR="007E3679" w:rsidRPr="006C023E">
        <w:t>The BIC was 40178.84.</w:t>
      </w:r>
    </w:p>
    <w:p w14:paraId="2004D35B" w14:textId="5D8EC9E4" w:rsidR="00987CDA" w:rsidRPr="006C023E" w:rsidRDefault="009D1103" w:rsidP="00987CDA">
      <w:pPr>
        <w:pStyle w:val="NormalWeb"/>
        <w:spacing w:line="480" w:lineRule="auto"/>
        <w:rPr>
          <w:rStyle w:val="gd15mcfceub"/>
          <w:bdr w:val="none" w:sz="0" w:space="0" w:color="auto" w:frame="1"/>
        </w:rPr>
      </w:pPr>
      <w:r w:rsidRPr="006C023E">
        <w:t xml:space="preserve">When modeling two separate oblique factors of </w:t>
      </w:r>
      <w:r w:rsidR="00395CCD" w:rsidRPr="006C023E">
        <w:t>c</w:t>
      </w:r>
      <w:r w:rsidRPr="006C023E">
        <w:t xml:space="preserve">ompassion and </w:t>
      </w:r>
      <w:r w:rsidR="00395CCD" w:rsidRPr="006C023E">
        <w:t>r</w:t>
      </w:r>
      <w:r w:rsidRPr="006C023E">
        <w:t xml:space="preserve">evengefulness (Figure S2) the model fit improved (RMSEA = 0.077 / CFI = 0.951). </w:t>
      </w:r>
      <w:r w:rsidR="007E3679" w:rsidRPr="006C023E">
        <w:t xml:space="preserve">BIC reduced to 39712.50, indicating </w:t>
      </w:r>
      <w:r w:rsidR="00196046" w:rsidRPr="006C023E">
        <w:t xml:space="preserve">a </w:t>
      </w:r>
      <w:r w:rsidR="007E3679" w:rsidRPr="006C023E">
        <w:t xml:space="preserve">better fit of this model to the data than for the previous model. </w:t>
      </w:r>
      <w:r w:rsidRPr="006C023E">
        <w:t>Unlike in other compassion scales and samples</w:t>
      </w:r>
      <w:r w:rsidRPr="006C023E">
        <w:rPr>
          <w:rStyle w:val="gd15mcfceub"/>
          <w:bdr w:val="none" w:sz="0" w:space="0" w:color="auto" w:frame="1"/>
        </w:rPr>
        <w:t xml:space="preserve"> </w:t>
      </w:r>
      <w:r w:rsidRPr="006C023E">
        <w:rPr>
          <w:rStyle w:val="gd15mcfceub"/>
          <w:bdr w:val="none" w:sz="0" w:space="0" w:color="auto" w:frame="1"/>
        </w:rPr>
        <w:fldChar w:fldCharType="begin" w:fldLock="1"/>
      </w:r>
      <w:r w:rsidRPr="006C023E">
        <w:rPr>
          <w:rStyle w:val="gd15mcfceub"/>
          <w:bdr w:val="none" w:sz="0" w:space="0" w:color="auto" w:frame="1"/>
        </w:rPr>
        <w:instrText>ADDIN CSL_CITATION {"citationItems":[{"id":"ITEM-1","itemData":{"DOI":"10.1177/0146167213499024","ISSN":"01461672","PMID":"23969620","abstract":"The present research examined the notion that the prosocial attitude of compassion is positively related to the antisocial attitude of hostility given that compassion and hostility entail elements reflecting vigilant, prevention-focused self-regulation. In fact, it was found in four samples (N = 4,903) that individuals with a strong vigilant prevention focus reported higher levels on measures of hostility as well as higher levels on compassion than individuals characterized by a weak prevention focus. In addition, compassion and hostility are indeed positively correlated reflecting the Compassion-Hostility Paradox. The positive association between compassion and hostility is substantially reduced when the chronic level of prevention-focused self-regulation is controlled for. A complementary experimental study in which compassion was manipulated revealed an effect of compassion on hostility in chronically prevention-focused individuals. © 2013 by the Society for Personality and Social Psychology, Inc.","author":[{"dropping-particle":"","family":"Keller","given":"Johannes","non-dropping-particle":"","parse-names":false,"suffix":""},{"dropping-particle":"","family":"Pfattheicher","given":"Stefan","non-dropping-particle":"","parse-names":false,"suffix":""}],"container-title":"Personality and Social Psychology Bulletin","id":"ITEM-1","issue":"11","issued":{"date-parts":[["2013","11","22"]]},"page":"1518-1529","publisher":"SAGE PublicationsSage CA: Los Angeles, CA","title":"The Compassion-Hostility Paradox: The Interplay of Vigilant, Prevention-Focused Self-Regulation, Compassion, and Hostility","type":"article-journal","volume":"39"},"uris":["http://www.mendeley.com/documents/?uuid=03f1387f-6423-3d5b-bfa3-f6e947eed62c"]}],"mendeley":{"formattedCitation":"(Keller &amp; Pfattheicher, 2013)","plainTextFormattedCitation":"(Keller &amp; Pfattheicher, 2013)","previouslyFormattedCitation":"(Keller &amp; Pfattheicher, 2013)"},"properties":{"noteIndex":0},"schema":"https://github.com/citation-style-language/schema/raw/master/csl-citation.json"}</w:instrText>
      </w:r>
      <w:r w:rsidRPr="006C023E">
        <w:rPr>
          <w:rStyle w:val="gd15mcfceub"/>
          <w:bdr w:val="none" w:sz="0" w:space="0" w:color="auto" w:frame="1"/>
        </w:rPr>
        <w:fldChar w:fldCharType="separate"/>
      </w:r>
      <w:r w:rsidRPr="006C023E">
        <w:rPr>
          <w:rStyle w:val="gd15mcfceub"/>
          <w:noProof/>
          <w:bdr w:val="none" w:sz="0" w:space="0" w:color="auto" w:frame="1"/>
        </w:rPr>
        <w:t>(Keller &amp; Pfattheicher, 2013)</w:t>
      </w:r>
      <w:r w:rsidRPr="006C023E">
        <w:rPr>
          <w:rStyle w:val="gd15mcfceub"/>
          <w:bdr w:val="none" w:sz="0" w:space="0" w:color="auto" w:frame="1"/>
        </w:rPr>
        <w:fldChar w:fldCharType="end"/>
      </w:r>
      <w:r w:rsidRPr="006C023E">
        <w:rPr>
          <w:rStyle w:val="gd15mcfceub"/>
          <w:bdr w:val="none" w:sz="0" w:space="0" w:color="auto" w:frame="1"/>
        </w:rPr>
        <w:t>, there was no</w:t>
      </w:r>
      <w:r w:rsidR="002B1ABD" w:rsidRPr="006C023E">
        <w:rPr>
          <w:rStyle w:val="gd15mcfceub"/>
          <w:bdr w:val="none" w:sz="0" w:space="0" w:color="auto" w:frame="1"/>
        </w:rPr>
        <w:t xml:space="preserve"> negative</w:t>
      </w:r>
      <w:r w:rsidRPr="006C023E">
        <w:rPr>
          <w:rStyle w:val="gd15mcfceub"/>
          <w:bdr w:val="none" w:sz="0" w:space="0" w:color="auto" w:frame="1"/>
        </w:rPr>
        <w:t xml:space="preserve"> relationship between the compassion factor and the factor including antisocial elements (</w:t>
      </w:r>
      <w:r w:rsidRPr="006C023E">
        <w:rPr>
          <w:rStyle w:val="gd15mcfceub"/>
          <w:i/>
          <w:iCs/>
          <w:bdr w:val="none" w:sz="0" w:space="0" w:color="auto" w:frame="1"/>
        </w:rPr>
        <w:t>r</w:t>
      </w:r>
      <w:r w:rsidRPr="006C023E">
        <w:rPr>
          <w:rStyle w:val="gd15mcfceub"/>
          <w:bdr w:val="none" w:sz="0" w:space="0" w:color="auto" w:frame="1"/>
        </w:rPr>
        <w:t xml:space="preserve"> = .39</w:t>
      </w:r>
      <w:r w:rsidR="005E752F" w:rsidRPr="006C023E">
        <w:rPr>
          <w:rStyle w:val="gd15mcfceub"/>
          <w:bdr w:val="none" w:sz="0" w:space="0" w:color="auto" w:frame="1"/>
        </w:rPr>
        <w:t>, after item reversal</w:t>
      </w:r>
      <w:r w:rsidRPr="006C023E">
        <w:rPr>
          <w:rStyle w:val="gd15mcfceub"/>
          <w:bdr w:val="none" w:sz="0" w:space="0" w:color="auto" w:frame="1"/>
        </w:rPr>
        <w:t xml:space="preserve">).  </w:t>
      </w:r>
    </w:p>
    <w:p w14:paraId="1FCC88BA" w14:textId="3A07DD77" w:rsidR="009D1103" w:rsidRPr="006C023E" w:rsidRDefault="009A4D4B" w:rsidP="00987CDA">
      <w:pPr>
        <w:pStyle w:val="NormalWeb"/>
        <w:spacing w:line="480" w:lineRule="auto"/>
        <w:rPr>
          <w:rStyle w:val="gd15mcfceub"/>
          <w:bdr w:val="none" w:sz="0" w:space="0" w:color="auto" w:frame="1"/>
        </w:rPr>
      </w:pPr>
      <w:r w:rsidRPr="006C023E">
        <w:t xml:space="preserve">However, two separate factors are not the proposed factorial structure for the TCI subscales </w:t>
      </w:r>
      <w:r w:rsidR="007E3679" w:rsidRPr="006C023E">
        <w:fldChar w:fldCharType="begin" w:fldLock="1"/>
      </w:r>
      <w:r w:rsidR="007E3679" w:rsidRPr="006C023E">
        <w:instrText>ADDIN CSL_CITATION {"citationItems":[{"id":"ITEM-1","itemData":{"DOI":"10.1016/j.eurpsy.2015.01.007","ISSN":"17783585","PMID":"25687735","abstract":"Background: In this work we consider Cloninger's psychobiological model, which measures two dimensions of personality: character and temperament. Temperament refers to the biological basis of personality and its characteristics, while character refers to an individual's attitudes towards own self, towards humanity and as part of the universe. Methods: The Temperament and Character Inventory-Revised-140 (TCI-R-140) was administered to 3 divergent samples: a general population sample, a sample of male conscripts and a sample of individuals attending a substance abuse rehabilitation programme. Score differences among the three samples were assessed controlling for age and gender and reliability coefficients are reported. The latent structure was studied in all samples, using exploratory and confirmatory factor analysis methods (EFA and CFA respectively). Results: The proposed structure was partially replicated via EFA. CFA however indicated less than satisfactory fit, as in previously reported results. To improve the fit, the path diagram was augmented to account for multiple factor complexity, as suggested by the EFA results in all samples. While retaining the original seven-factor structure, the augmented model provided adequate fit. The consistency of the inventory was satisfactory in all samples. Evidence for the construct validity was found in relation to aggression. Conclusions: This is the first study to conclude in adequate fit, after allowing for the indicators to load on more than one factor within each dimension. While cross-national differences apply, our results were similar (when comparable) with previously reported ones in the literature.","author":[{"dropping-particle":"","family":"Vitoratou","given":"S.","non-dropping-particle":"","parse-names":false,"suffix":""},{"dropping-particle":"","family":"Ntzoufras","given":"I.","non-dropping-particle":"","parse-names":false,"suffix":""},{"dropping-particle":"","family":"Theleritis","given":"C.","non-dropping-particle":"","parse-names":false,"suffix":""},{"dropping-particle":"","family":"Smyrnis","given":"N.","non-dropping-particle":"","parse-names":false,"suffix":""},{"dropping-particle":"","family":"Stefanis","given":"N. C.","non-dropping-particle":"","parse-names":false,"suffix":""}],"container-title":"European Psychiatry","id":"ITEM-1","issue":"4","issued":{"date-parts":[["2015","6","1"]]},"page":"474-479","publisher":"Elsevier Masson SAS","title":"Temperament and character dimensions assessed in general population, in individuals with psychoactive substance dependence and in young male conscripts","type":"article-journal","volume":"30"},"uris":["http://www.mendeley.com/documents/?uuid=fad2eabf-9ee0-3b55-86eb-cb99e9ec4c5f"]},{"id":"ITEM-2","itemData":{"DOI":"10.1016/j.jad.2009.11.007","ISSN":"01650327","PMID":"19942293","abstract":"Background: The Temperament and Character Inventory (TCI) was first described in 1993. It was designed to measure the character and temperament dimensions of Cloninger's model of personality using a true-false response format. The revised TCI (TCI-R) uses a five-point-Likert format and has multiple subscales for persistence to improve its reliability. We tested the clinical validity of an original Brazilian-Portuguese translation of the TCI-R. Methods: The 595 volunteers completed the BrP version of TCI-R, Beck Depression Inventory (BDI), Beck Anxiety Inventory (BAI), and Satisfaction with Life Scale (SWLS). Results: The internal consistency was satisfactory for all dimensions (Cronbach alpha coefficients above 0.7). The cumulative variances for temperament and character were 58% and 60%. BAI was positively correlated with harm avoidance and negatively with persistence, self-directedness and cooperativeness. SWLS was correlated negatively with harm avoidance and positively with self-directedness and cooperativeness. The congruence coefficients between each facet of BrP TCI-R and the US TCI-R original data were 95% or higher (except NS1). Limitations: The main limitation of this study is the convenience sampling. Conclusions: The BrP version of the TCI-R had good psychometric properties regardless of the cultural and educational backgrounds of subjects. The present study supported the validity of the BrP translation of the TCI-R, which encourages its use in both clinical and general community samples. © 2009 Elsevier B.V. All rights reserved.","author":[{"dropping-particle":"","family":"Goncalves","given":"Daniel Maffasioli","non-dropping-particle":"","parse-names":false,"suffix":""},{"dropping-particle":"","family":"Cloninger","given":"C. Robert","non-dropping-particle":"","parse-names":false,"suffix":""}],"container-title":"Journal of Affective Disorders","id":"ITEM-2","issue":"1-2","issued":{"date-parts":[["2010","7"]]},"page":"126-133","title":"Validation and normative studies of the Brazilian Portuguese and American versions of the Temperament and Character Inventory - Revised (TCI-R)","type":"article-journal","volume":"124"},"uris":["http://www.mendeley.com/documents/?uuid=f7fa468c-c7ec-3ae9-84f8-c4dc445bf4bd"]},{"id":"ITEM-3","itemData":{"DOI":"10.1001/archpsyc.1993.01820240059008","ISSN":"15383636","author":[{"dropping-particle":"","family":"Cloninger","given":"C. Robert","non-dropping-particle":"","parse-names":false,"suffix":""},{"dropping-particle":"","family":"Svrakic","given":"Dragan M.","non-dropping-particle":"","parse-names":false,"suffix":""},{"dropping-particle":"","family":"Przybeck","given":"Thomas R.","non-dropping-particle":"","parse-names":false,"suffix":""}],"container-title":"Archives of General Psychiatry","id":"ITEM-3","issue":"12","issued":{"date-parts":[["1993"]]},"page":"975-990","title":"A psychobiological model of temperament and character","type":"article-journal","volume":"50"},"uris":["http://www.mendeley.com/documents/?uuid=d37b75c4-7a75-4d9b-a298-021b48fee67d"]}],"mendeley":{"formattedCitation":"(Cloninger, Svrakic, &amp; Przybeck, 1993; Goncalves &amp; Cloninger, 2010; Vitoratou, Ntzoufras, Theleritis, Smyrnis, &amp; Stefanis, 2015)","plainTextFormattedCitation":"(Cloninger, Svrakic, &amp; Przybeck, 1993; Goncalves &amp; Cloninger, 2010; Vitoratou, Ntzoufras, Theleritis, Smyrnis, &amp; Stefanis, 2015)","previouslyFormattedCitation":"(Cloninger, Svrakic, &amp; Przybeck, 1993; Goncalves &amp; Cloninger, 2010; Vitoratou, Ntzoufras, Theleritis, Smyrnis, &amp; Stefanis, 2015)"},"properties":{"noteIndex":0},"schema":"https://github.com/citation-style-language/schema/raw/master/csl-citation.json"}</w:instrText>
      </w:r>
      <w:r w:rsidR="007E3679" w:rsidRPr="006C023E">
        <w:fldChar w:fldCharType="separate"/>
      </w:r>
      <w:r w:rsidR="007E3679" w:rsidRPr="006C023E">
        <w:rPr>
          <w:noProof/>
        </w:rPr>
        <w:t>(Cloninger, Svrakic, &amp; Przybeck, 1993; Goncalves &amp; Cloninger, 2010; Vitoratou, Ntzoufras, Theleritis, Smyrnis, &amp; Stefanis, 2015)</w:t>
      </w:r>
      <w:r w:rsidR="007E3679" w:rsidRPr="006C023E">
        <w:fldChar w:fldCharType="end"/>
      </w:r>
      <w:r w:rsidR="007E3679" w:rsidRPr="006C023E">
        <w:t>.</w:t>
      </w:r>
      <w:r w:rsidRPr="006C023E">
        <w:t xml:space="preserve"> Thus, we run a third CFA.  </w:t>
      </w:r>
      <w:r w:rsidR="009D1103" w:rsidRPr="006C023E">
        <w:t>The final single</w:t>
      </w:r>
      <w:r w:rsidR="00196046" w:rsidRPr="006C023E">
        <w:t>-</w:t>
      </w:r>
      <w:r w:rsidR="009D1103" w:rsidRPr="006C023E">
        <w:t xml:space="preserve">factor model of TCI </w:t>
      </w:r>
      <w:r w:rsidR="00395CCD" w:rsidRPr="006C023E">
        <w:t>c</w:t>
      </w:r>
      <w:r w:rsidR="009D1103" w:rsidRPr="006C023E">
        <w:t xml:space="preserve">ompassion (vs. </w:t>
      </w:r>
      <w:r w:rsidR="00395CCD" w:rsidRPr="006C023E">
        <w:t>r</w:t>
      </w:r>
      <w:r w:rsidR="009D1103" w:rsidRPr="006C023E">
        <w:t xml:space="preserve">evengefulness) with correlated residuals (Figure S3), used in the main analyses, that accounts for the correlated error structure between </w:t>
      </w:r>
      <w:r w:rsidR="002B1ABD" w:rsidRPr="006C023E">
        <w:t xml:space="preserve">the </w:t>
      </w:r>
      <w:r w:rsidR="009D1103" w:rsidRPr="006C023E">
        <w:t>reversely scored (</w:t>
      </w:r>
      <w:r w:rsidR="00395CCD" w:rsidRPr="006C023E">
        <w:t>r</w:t>
      </w:r>
      <w:r w:rsidR="009D1103" w:rsidRPr="006C023E">
        <w:t xml:space="preserve">evengefulness) items had a very good fit to the data (RMSEA = 0.060 / CFI = 0.978). </w:t>
      </w:r>
      <w:r w:rsidR="002B1ABD" w:rsidRPr="006C023E">
        <w:rPr>
          <w:rStyle w:val="gd15mcfceub"/>
          <w:bdr w:val="none" w:sz="0" w:space="0" w:color="auto" w:frame="1"/>
        </w:rPr>
        <w:t>The best</w:t>
      </w:r>
      <w:r w:rsidR="00196046" w:rsidRPr="006C023E">
        <w:rPr>
          <w:rStyle w:val="gd15mcfceub"/>
          <w:bdr w:val="none" w:sz="0" w:space="0" w:color="auto" w:frame="1"/>
        </w:rPr>
        <w:t>-</w:t>
      </w:r>
      <w:r w:rsidR="007E3679" w:rsidRPr="006C023E">
        <w:rPr>
          <w:rStyle w:val="gd15mcfceub"/>
          <w:bdr w:val="none" w:sz="0" w:space="0" w:color="auto" w:frame="1"/>
        </w:rPr>
        <w:t xml:space="preserve">fitting </w:t>
      </w:r>
      <w:r w:rsidR="002B1ABD" w:rsidRPr="006C023E">
        <w:rPr>
          <w:rStyle w:val="gd15mcfceub"/>
          <w:bdr w:val="none" w:sz="0" w:space="0" w:color="auto" w:frame="1"/>
        </w:rPr>
        <w:t xml:space="preserve">model with correlated errors </w:t>
      </w:r>
      <w:r w:rsidR="002B1ABD" w:rsidRPr="006C023E">
        <w:t>between the reversely scored items</w:t>
      </w:r>
      <w:r w:rsidR="007E3679" w:rsidRPr="006C023E">
        <w:t>, BIC = 39592.79,</w:t>
      </w:r>
      <w:r w:rsidR="002B1ABD" w:rsidRPr="006C023E">
        <w:rPr>
          <w:rStyle w:val="BalloonTextChar"/>
          <w:rFonts w:ascii="Times New Roman" w:hAnsi="Times New Roman" w:cs="Times New Roman"/>
          <w:sz w:val="24"/>
          <w:szCs w:val="24"/>
          <w:bdr w:val="none" w:sz="0" w:space="0" w:color="auto" w:frame="1"/>
        </w:rPr>
        <w:t xml:space="preserve"> </w:t>
      </w:r>
      <w:r w:rsidR="009D1103" w:rsidRPr="006C023E">
        <w:rPr>
          <w:rStyle w:val="gd15mcfceub"/>
          <w:bdr w:val="none" w:sz="0" w:space="0" w:color="auto" w:frame="1"/>
        </w:rPr>
        <w:t>assume</w:t>
      </w:r>
      <w:r w:rsidR="002B1ABD" w:rsidRPr="006C023E">
        <w:rPr>
          <w:rStyle w:val="gd15mcfceub"/>
          <w:bdr w:val="none" w:sz="0" w:space="0" w:color="auto" w:frame="1"/>
        </w:rPr>
        <w:t>s</w:t>
      </w:r>
      <w:r w:rsidR="009D1103" w:rsidRPr="006C023E">
        <w:rPr>
          <w:rStyle w:val="gd15mcfceub"/>
          <w:bdr w:val="none" w:sz="0" w:space="0" w:color="auto" w:frame="1"/>
        </w:rPr>
        <w:t xml:space="preserve"> that individual differences in response styles </w:t>
      </w:r>
      <w:r w:rsidR="009D1103" w:rsidRPr="006C023E">
        <w:rPr>
          <w:rStyle w:val="gd15mcfceub"/>
          <w:bdr w:val="none" w:sz="0" w:space="0" w:color="auto" w:frame="1"/>
        </w:rPr>
        <w:fldChar w:fldCharType="begin" w:fldLock="1"/>
      </w:r>
      <w:r w:rsidR="009D1103" w:rsidRPr="006C023E">
        <w:rPr>
          <w:rStyle w:val="gd15mcfceub"/>
          <w:bdr w:val="none" w:sz="0" w:space="0" w:color="auto" w:frame="1"/>
        </w:rPr>
        <w:instrText>ADDIN CSL_CITATION {"citationItems":[{"id":"ITEM-1","itemData":{"DOI":"10.1080/00223891.2017.1406362","ISSN":"00223891","PMID":"29319357","abstract":"Exploratory bifactor models with keying factors were applied to item response data for the NEO–FFI–3 and HEXACO–PI–R questionnaires. Loadings on a general factor and positive and negative keying factors correlated with independent estimates of item valence, suggesting that item valence influences responses to these questionnaires. Correlations between personality domain scores and measures of self-esteem, depression, and positive and negative affect were all reduced significantly when the influence of evaluative content represented by the general and keying factors was removed. Findings support the need to model personality inventories in ways that capture reactions to evaluative item content.","author":[{"dropping-particle":"","family":"Biderman","given":"Michael D.","non-dropping-particle":"","parse-names":false,"suffix":""},{"dropping-particle":"","family":"McAbee","given":"Samuel T.","non-dropping-particle":"","parse-names":false,"suffix":""},{"dropping-particle":"","family":"Job Chen","given":"Zhuo","non-dropping-particle":"","parse-names":false,"suffix":""},{"dropping-particle":"","family":"Hendy","given":"Nhung T.","non-dropping-particle":"","parse-names":false,"suffix":""}],"container-title":"Journal of Personality Assessment","id":"ITEM-1","issue":"4","issued":{"date-parts":[["2018","7","4"]]},"page":"375-388","publisher":"Routledge","title":"Assessing the Evaluative Content of Personality Questionnaires Using Bifactor Models","type":"article-journal","volume":"100"},"uris":["http://www.mendeley.com/documents/?uuid=b3400ce5-09c4-3b91-898d-569ff0678c77"]}],"mendeley":{"formattedCitation":"(Biderman, McAbee, Job Chen, &amp; Hendy, 2018)","plainTextFormattedCitation":"(Biderman, McAbee, Job Chen, &amp; Hendy, 2018)","previouslyFormattedCitation":"(Biderman, McAbee, Job Chen, &amp; Hendy, 2018)"},"properties":{"noteIndex":0},"schema":"https://github.com/citation-style-language/schema/raw/master/csl-citation.json"}</w:instrText>
      </w:r>
      <w:r w:rsidR="009D1103" w:rsidRPr="006C023E">
        <w:rPr>
          <w:rStyle w:val="gd15mcfceub"/>
          <w:bdr w:val="none" w:sz="0" w:space="0" w:color="auto" w:frame="1"/>
        </w:rPr>
        <w:fldChar w:fldCharType="separate"/>
      </w:r>
      <w:r w:rsidR="009D1103" w:rsidRPr="006C023E">
        <w:rPr>
          <w:rStyle w:val="gd15mcfceub"/>
          <w:noProof/>
          <w:bdr w:val="none" w:sz="0" w:space="0" w:color="auto" w:frame="1"/>
        </w:rPr>
        <w:t>(Biderman, McAbee, Job Chen, &amp; Hendy, 2018)</w:t>
      </w:r>
      <w:r w:rsidR="009D1103" w:rsidRPr="006C023E">
        <w:rPr>
          <w:rStyle w:val="gd15mcfceub"/>
          <w:bdr w:val="none" w:sz="0" w:space="0" w:color="auto" w:frame="1"/>
        </w:rPr>
        <w:fldChar w:fldCharType="end"/>
      </w:r>
      <w:r w:rsidR="009D1103" w:rsidRPr="006C023E">
        <w:rPr>
          <w:rStyle w:val="gd15mcfceub"/>
          <w:bdr w:val="none" w:sz="0" w:space="0" w:color="auto" w:frame="1"/>
        </w:rPr>
        <w:t xml:space="preserve"> </w:t>
      </w:r>
      <w:r w:rsidR="005E752F" w:rsidRPr="006C023E">
        <w:rPr>
          <w:rStyle w:val="gd15mcfceub"/>
          <w:bdr w:val="none" w:sz="0" w:space="0" w:color="auto" w:frame="1"/>
        </w:rPr>
        <w:t xml:space="preserve">and </w:t>
      </w:r>
      <w:r w:rsidR="009D1103" w:rsidRPr="006C023E">
        <w:rPr>
          <w:rStyle w:val="gd15mcfceub"/>
          <w:bdr w:val="none" w:sz="0" w:space="0" w:color="auto" w:frame="1"/>
        </w:rPr>
        <w:t xml:space="preserve">promotion versus prevention focus </w:t>
      </w:r>
      <w:r w:rsidR="009D1103" w:rsidRPr="006C023E">
        <w:rPr>
          <w:rStyle w:val="gd15mcfceub"/>
          <w:bdr w:val="none" w:sz="0" w:space="0" w:color="auto" w:frame="1"/>
        </w:rPr>
        <w:fldChar w:fldCharType="begin" w:fldLock="1"/>
      </w:r>
      <w:r w:rsidR="009D1103" w:rsidRPr="006C023E">
        <w:rPr>
          <w:rStyle w:val="gd15mcfceub"/>
          <w:bdr w:val="none" w:sz="0" w:space="0" w:color="auto" w:frame="1"/>
        </w:rPr>
        <w:instrText>ADDIN CSL_CITATION {"citationItems":[{"id":"ITEM-1","itemData":{"DOI":"10.1016/S0065-2601(08)60381-0","ISSN":"00652601","author":[{"dropping-particle":"","family":"Higgins","given":"E. Tory","non-dropping-particle":"","parse-names":false,"suffix":""}],"container-title":"Advances in Experimental Social Psychology","id":"ITEM-1","issue":"C","issued":{"date-parts":[["1998","1","1"]]},"page":"1-46","publisher":"Academic Press","title":"Promotion and Prevention: Regulatory Focus as A Motivational Principle","type":"article-journal","volume":"30"},"uris":["http://www.mendeley.com/documents/?uuid=741cfe9e-f0ff-3990-b0a2-ee5bb077c28a"]}],"mendeley":{"formattedCitation":"(Higgins, 1998)","plainTextFormattedCitation":"(Higgins, 1998)","previouslyFormattedCitation":"(Higgins, 1998)"},"properties":{"noteIndex":0},"schema":"https://github.com/citation-style-language/schema/raw/master/csl-citation.json"}</w:instrText>
      </w:r>
      <w:r w:rsidR="009D1103" w:rsidRPr="006C023E">
        <w:rPr>
          <w:rStyle w:val="gd15mcfceub"/>
          <w:bdr w:val="none" w:sz="0" w:space="0" w:color="auto" w:frame="1"/>
        </w:rPr>
        <w:fldChar w:fldCharType="separate"/>
      </w:r>
      <w:r w:rsidR="009D1103" w:rsidRPr="006C023E">
        <w:rPr>
          <w:rStyle w:val="gd15mcfceub"/>
          <w:noProof/>
          <w:bdr w:val="none" w:sz="0" w:space="0" w:color="auto" w:frame="1"/>
        </w:rPr>
        <w:t>(Higgins, 1998)</w:t>
      </w:r>
      <w:r w:rsidR="009D1103" w:rsidRPr="006C023E">
        <w:rPr>
          <w:rStyle w:val="gd15mcfceub"/>
          <w:bdr w:val="none" w:sz="0" w:space="0" w:color="auto" w:frame="1"/>
        </w:rPr>
        <w:fldChar w:fldCharType="end"/>
      </w:r>
      <w:r w:rsidR="009D1103" w:rsidRPr="006C023E">
        <w:rPr>
          <w:rStyle w:val="gd15mcfceub"/>
          <w:bdr w:val="none" w:sz="0" w:space="0" w:color="auto" w:frame="1"/>
        </w:rPr>
        <w:t xml:space="preserve"> should be accounted for when modeling a balanced scale such as TCI Compassion (vs. Revengefulness).</w:t>
      </w:r>
    </w:p>
    <w:p w14:paraId="04A6175F" w14:textId="4259D52C" w:rsidR="009D1103" w:rsidRPr="006C023E" w:rsidRDefault="009D1103" w:rsidP="00987CDA">
      <w:pPr>
        <w:pStyle w:val="NormalWeb"/>
        <w:spacing w:line="480" w:lineRule="auto"/>
        <w:rPr>
          <w:rStyle w:val="gd15mcfceub"/>
          <w:bdr w:val="none" w:sz="0" w:space="0" w:color="auto" w:frame="1"/>
        </w:rPr>
      </w:pPr>
      <w:r w:rsidRPr="006C023E">
        <w:rPr>
          <w:rStyle w:val="gd15mcfceub"/>
          <w:bdr w:val="none" w:sz="0" w:space="0" w:color="auto" w:frame="1"/>
        </w:rPr>
        <w:t>Finally, we constraint the factor loadings to be equal across gender in a multigroup CFA to see whether there are differences between men and wom</w:t>
      </w:r>
      <w:r w:rsidR="00196046" w:rsidRPr="006C023E">
        <w:rPr>
          <w:rStyle w:val="gd15mcfceub"/>
          <w:bdr w:val="none" w:sz="0" w:space="0" w:color="auto" w:frame="1"/>
        </w:rPr>
        <w:t>e</w:t>
      </w:r>
      <w:r w:rsidRPr="006C023E">
        <w:rPr>
          <w:rStyle w:val="gd15mcfceub"/>
          <w:bdr w:val="none" w:sz="0" w:space="0" w:color="auto" w:frame="1"/>
        </w:rPr>
        <w:t xml:space="preserve">n. A chi-square test was used to compare the </w:t>
      </w:r>
      <w:r w:rsidRPr="006C023E">
        <w:rPr>
          <w:rStyle w:val="gd15mcfceub"/>
          <w:bdr w:val="none" w:sz="0" w:space="0" w:color="auto" w:frame="1"/>
        </w:rPr>
        <w:lastRenderedPageBreak/>
        <w:t>constraint (RMSEA = 0.055 / CFI = 0.978) to the unconstraint model. A p-value of 0.713 indicated that the model fit did not decrease significantly due to differences in the factor loadings between gender.</w:t>
      </w:r>
    </w:p>
    <w:p w14:paraId="72DB5C25" w14:textId="77777777" w:rsidR="009D1103" w:rsidRPr="006C023E" w:rsidRDefault="009D1103" w:rsidP="008D10BD">
      <w:pPr>
        <w:pStyle w:val="HTMLPreformatted"/>
        <w:shd w:val="clear" w:color="auto" w:fill="FFFFFF"/>
        <w:wordWrap w:val="0"/>
        <w:spacing w:line="480" w:lineRule="auto"/>
        <w:rPr>
          <w:rStyle w:val="gd15mcfceub"/>
          <w:rFonts w:ascii="Times New Roman" w:hAnsi="Times New Roman" w:cs="Times New Roman"/>
          <w:sz w:val="24"/>
          <w:szCs w:val="24"/>
          <w:bdr w:val="none" w:sz="0" w:space="0" w:color="auto" w:frame="1"/>
          <w:lang w:val="en-US"/>
        </w:rPr>
      </w:pPr>
    </w:p>
    <w:p w14:paraId="646ADFF7" w14:textId="77777777" w:rsidR="009D1103" w:rsidRPr="006C023E" w:rsidRDefault="009D1103" w:rsidP="008D10BD">
      <w:pPr>
        <w:pStyle w:val="HTMLPreformatted"/>
        <w:shd w:val="clear" w:color="auto" w:fill="FFFFFF"/>
        <w:wordWrap w:val="0"/>
        <w:spacing w:line="480" w:lineRule="auto"/>
        <w:rPr>
          <w:rStyle w:val="gd15mcfceub"/>
          <w:rFonts w:ascii="Times New Roman" w:hAnsi="Times New Roman" w:cs="Times New Roman"/>
          <w:sz w:val="24"/>
          <w:szCs w:val="24"/>
          <w:bdr w:val="none" w:sz="0" w:space="0" w:color="auto" w:frame="1"/>
          <w:lang w:val="en-US"/>
        </w:rPr>
      </w:pPr>
    </w:p>
    <w:p w14:paraId="731EEF8D" w14:textId="77777777" w:rsidR="009D1103" w:rsidRPr="006C023E" w:rsidRDefault="009D1103" w:rsidP="008D10BD">
      <w:pPr>
        <w:pStyle w:val="HTMLPreformatted"/>
        <w:shd w:val="clear" w:color="auto" w:fill="FFFFFF"/>
        <w:wordWrap w:val="0"/>
        <w:spacing w:line="480" w:lineRule="auto"/>
        <w:rPr>
          <w:rStyle w:val="gd15mcfceub"/>
          <w:rFonts w:ascii="Times New Roman" w:hAnsi="Times New Roman" w:cs="Times New Roman"/>
          <w:sz w:val="24"/>
          <w:szCs w:val="24"/>
          <w:bdr w:val="none" w:sz="0" w:space="0" w:color="auto" w:frame="1"/>
          <w:lang w:val="en-US"/>
        </w:rPr>
      </w:pPr>
    </w:p>
    <w:p w14:paraId="12CF63CB" w14:textId="3CE03A51" w:rsidR="009D1103" w:rsidRPr="006C023E" w:rsidRDefault="009C0659" w:rsidP="008D10BD">
      <w:pPr>
        <w:spacing w:after="0" w:line="480" w:lineRule="auto"/>
        <w:rPr>
          <w:rFonts w:ascii="Times New Roman" w:eastAsia="Times New Roman" w:hAnsi="Times New Roman" w:cs="Times New Roman"/>
          <w:sz w:val="24"/>
          <w:szCs w:val="24"/>
        </w:rPr>
      </w:pPr>
      <w:r w:rsidRPr="006C023E">
        <w:rPr>
          <w:rFonts w:ascii="Times New Roman" w:hAnsi="Times New Roman" w:cs="Times New Roman"/>
          <w:noProof/>
          <w:sz w:val="24"/>
          <w:szCs w:val="24"/>
        </w:rPr>
        <w:drawing>
          <wp:inline distT="0" distB="0" distL="0" distR="0" wp14:anchorId="417A25AF" wp14:editId="260F87FA">
            <wp:extent cx="6120130" cy="1422400"/>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6120130" cy="1422400"/>
                    </a:xfrm>
                    <a:prstGeom prst="rect">
                      <a:avLst/>
                    </a:prstGeom>
                  </pic:spPr>
                </pic:pic>
              </a:graphicData>
            </a:graphic>
          </wp:inline>
        </w:drawing>
      </w:r>
    </w:p>
    <w:p w14:paraId="393416BF" w14:textId="4BB7E99F" w:rsidR="009D1103" w:rsidRPr="006C023E" w:rsidRDefault="009D1103" w:rsidP="008D10BD">
      <w:pPr>
        <w:pStyle w:val="HTMLPreformatted"/>
        <w:shd w:val="clear" w:color="auto" w:fill="FFFFFF"/>
        <w:wordWrap w:val="0"/>
        <w:spacing w:line="480" w:lineRule="auto"/>
        <w:rPr>
          <w:rStyle w:val="gd15mcfceub"/>
          <w:rFonts w:ascii="Times New Roman" w:hAnsi="Times New Roman" w:cs="Times New Roman"/>
          <w:sz w:val="24"/>
          <w:szCs w:val="24"/>
          <w:bdr w:val="none" w:sz="0" w:space="0" w:color="auto" w:frame="1"/>
          <w:lang w:val="en-US"/>
        </w:rPr>
      </w:pPr>
      <w:r w:rsidRPr="006C023E">
        <w:rPr>
          <w:rStyle w:val="gd15mcfceub"/>
          <w:rFonts w:ascii="Times New Roman" w:hAnsi="Times New Roman" w:cs="Times New Roman"/>
          <w:sz w:val="24"/>
          <w:szCs w:val="24"/>
          <w:bdr w:val="none" w:sz="0" w:space="0" w:color="auto" w:frame="1"/>
          <w:lang w:val="en-US"/>
        </w:rPr>
        <w:t xml:space="preserve">Figure S1: One factor model of TCI </w:t>
      </w:r>
      <w:r w:rsidR="00395CCD" w:rsidRPr="006C023E">
        <w:rPr>
          <w:rStyle w:val="gd15mcfceub"/>
          <w:rFonts w:ascii="Times New Roman" w:hAnsi="Times New Roman" w:cs="Times New Roman"/>
          <w:sz w:val="24"/>
          <w:szCs w:val="24"/>
          <w:bdr w:val="none" w:sz="0" w:space="0" w:color="auto" w:frame="1"/>
          <w:lang w:val="en-US"/>
        </w:rPr>
        <w:t>c</w:t>
      </w:r>
      <w:r w:rsidRPr="006C023E">
        <w:rPr>
          <w:rStyle w:val="gd15mcfceub"/>
          <w:rFonts w:ascii="Times New Roman" w:hAnsi="Times New Roman" w:cs="Times New Roman"/>
          <w:sz w:val="24"/>
          <w:szCs w:val="24"/>
          <w:bdr w:val="none" w:sz="0" w:space="0" w:color="auto" w:frame="1"/>
          <w:lang w:val="en-US"/>
        </w:rPr>
        <w:t xml:space="preserve">ompassion (vs. </w:t>
      </w:r>
      <w:r w:rsidR="00395CCD" w:rsidRPr="006C023E">
        <w:rPr>
          <w:rStyle w:val="gd15mcfceub"/>
          <w:rFonts w:ascii="Times New Roman" w:hAnsi="Times New Roman" w:cs="Times New Roman"/>
          <w:sz w:val="24"/>
          <w:szCs w:val="24"/>
          <w:bdr w:val="none" w:sz="0" w:space="0" w:color="auto" w:frame="1"/>
          <w:lang w:val="en-US"/>
        </w:rPr>
        <w:t>r</w:t>
      </w:r>
      <w:r w:rsidRPr="006C023E">
        <w:rPr>
          <w:rStyle w:val="gd15mcfceub"/>
          <w:rFonts w:ascii="Times New Roman" w:hAnsi="Times New Roman" w:cs="Times New Roman"/>
          <w:sz w:val="24"/>
          <w:szCs w:val="24"/>
          <w:bdr w:val="none" w:sz="0" w:space="0" w:color="auto" w:frame="1"/>
          <w:lang w:val="en-US"/>
        </w:rPr>
        <w:t>evengefulness)</w:t>
      </w:r>
    </w:p>
    <w:p w14:paraId="1E59797A" w14:textId="77777777" w:rsidR="009D1103" w:rsidRPr="006C023E" w:rsidRDefault="009D1103" w:rsidP="008D10BD">
      <w:pPr>
        <w:pStyle w:val="HTMLPreformatted"/>
        <w:shd w:val="clear" w:color="auto" w:fill="FFFFFF"/>
        <w:wordWrap w:val="0"/>
        <w:spacing w:line="480" w:lineRule="auto"/>
        <w:rPr>
          <w:rFonts w:ascii="Times New Roman" w:hAnsi="Times New Roman" w:cs="Times New Roman"/>
          <w:sz w:val="24"/>
          <w:szCs w:val="24"/>
          <w:lang w:val="en-US"/>
        </w:rPr>
      </w:pPr>
    </w:p>
    <w:p w14:paraId="6995F9DC" w14:textId="0FBB2EF4" w:rsidR="009D1103" w:rsidRPr="006C023E" w:rsidRDefault="00AC13C0" w:rsidP="008D10BD">
      <w:pPr>
        <w:spacing w:after="0" w:line="480" w:lineRule="auto"/>
        <w:rPr>
          <w:rFonts w:ascii="Times New Roman" w:eastAsia="Times New Roman" w:hAnsi="Times New Roman" w:cs="Times New Roman"/>
          <w:sz w:val="24"/>
          <w:szCs w:val="24"/>
        </w:rPr>
      </w:pPr>
      <w:r w:rsidRPr="006C023E">
        <w:rPr>
          <w:rFonts w:ascii="Times New Roman" w:hAnsi="Times New Roman" w:cs="Times New Roman"/>
          <w:noProof/>
          <w:sz w:val="24"/>
          <w:szCs w:val="24"/>
        </w:rPr>
        <w:drawing>
          <wp:inline distT="0" distB="0" distL="0" distR="0" wp14:anchorId="584357CE" wp14:editId="431F545B">
            <wp:extent cx="6120130" cy="24466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120130" cy="2446655"/>
                    </a:xfrm>
                    <a:prstGeom prst="rect">
                      <a:avLst/>
                    </a:prstGeom>
                  </pic:spPr>
                </pic:pic>
              </a:graphicData>
            </a:graphic>
          </wp:inline>
        </w:drawing>
      </w:r>
      <w:r w:rsidR="009D1103" w:rsidRPr="006C023E">
        <w:rPr>
          <w:rFonts w:ascii="Times New Roman" w:hAnsi="Times New Roman" w:cs="Times New Roman"/>
          <w:sz w:val="24"/>
          <w:szCs w:val="24"/>
        </w:rPr>
        <w:t xml:space="preserve"> Figure S2: Two factor </w:t>
      </w:r>
      <w:r w:rsidR="009D1103" w:rsidRPr="006C023E">
        <w:rPr>
          <w:rStyle w:val="gd15mcfceub"/>
          <w:rFonts w:ascii="Times New Roman" w:hAnsi="Times New Roman" w:cs="Times New Roman"/>
          <w:sz w:val="24"/>
          <w:szCs w:val="24"/>
          <w:bdr w:val="none" w:sz="0" w:space="0" w:color="auto" w:frame="1"/>
        </w:rPr>
        <w:t xml:space="preserve">model of </w:t>
      </w:r>
      <w:r w:rsidR="00395CCD" w:rsidRPr="006C023E">
        <w:rPr>
          <w:rStyle w:val="gd15mcfceub"/>
          <w:rFonts w:ascii="Times New Roman" w:hAnsi="Times New Roman" w:cs="Times New Roman"/>
          <w:sz w:val="24"/>
          <w:szCs w:val="24"/>
          <w:bdr w:val="none" w:sz="0" w:space="0" w:color="auto" w:frame="1"/>
        </w:rPr>
        <w:t>c</w:t>
      </w:r>
      <w:r w:rsidR="009D1103" w:rsidRPr="006C023E">
        <w:rPr>
          <w:rStyle w:val="gd15mcfceub"/>
          <w:rFonts w:ascii="Times New Roman" w:hAnsi="Times New Roman" w:cs="Times New Roman"/>
          <w:sz w:val="24"/>
          <w:szCs w:val="24"/>
          <w:bdr w:val="none" w:sz="0" w:space="0" w:color="auto" w:frame="1"/>
        </w:rPr>
        <w:t xml:space="preserve">ompassion and </w:t>
      </w:r>
      <w:r w:rsidR="00395CCD" w:rsidRPr="006C023E">
        <w:rPr>
          <w:rStyle w:val="gd15mcfceub"/>
          <w:rFonts w:ascii="Times New Roman" w:hAnsi="Times New Roman" w:cs="Times New Roman"/>
          <w:sz w:val="24"/>
          <w:szCs w:val="24"/>
          <w:bdr w:val="none" w:sz="0" w:space="0" w:color="auto" w:frame="1"/>
        </w:rPr>
        <w:t>r</w:t>
      </w:r>
      <w:r w:rsidR="009D1103" w:rsidRPr="006C023E">
        <w:rPr>
          <w:rStyle w:val="gd15mcfceub"/>
          <w:rFonts w:ascii="Times New Roman" w:hAnsi="Times New Roman" w:cs="Times New Roman"/>
          <w:sz w:val="24"/>
          <w:szCs w:val="24"/>
          <w:bdr w:val="none" w:sz="0" w:space="0" w:color="auto" w:frame="1"/>
        </w:rPr>
        <w:t>evengefulness modeled separately</w:t>
      </w:r>
    </w:p>
    <w:p w14:paraId="399F6422" w14:textId="77777777" w:rsidR="009D1103" w:rsidRPr="006C023E" w:rsidRDefault="009D1103" w:rsidP="008D10BD">
      <w:pPr>
        <w:spacing w:after="0" w:line="480" w:lineRule="auto"/>
        <w:rPr>
          <w:rFonts w:ascii="Times New Roman" w:eastAsia="Times New Roman" w:hAnsi="Times New Roman" w:cs="Times New Roman"/>
          <w:sz w:val="24"/>
          <w:szCs w:val="24"/>
        </w:rPr>
      </w:pPr>
    </w:p>
    <w:p w14:paraId="32D145D1" w14:textId="77777777" w:rsidR="009D1103" w:rsidRPr="006C023E" w:rsidRDefault="009D1103" w:rsidP="008D10BD">
      <w:pPr>
        <w:pStyle w:val="HTMLPreformatted"/>
        <w:shd w:val="clear" w:color="auto" w:fill="FFFFFF"/>
        <w:wordWrap w:val="0"/>
        <w:spacing w:line="480" w:lineRule="auto"/>
        <w:rPr>
          <w:rStyle w:val="gd15mcfceub"/>
          <w:rFonts w:ascii="Times New Roman" w:hAnsi="Times New Roman" w:cs="Times New Roman"/>
          <w:sz w:val="24"/>
          <w:szCs w:val="24"/>
          <w:bdr w:val="none" w:sz="0" w:space="0" w:color="auto" w:frame="1"/>
          <w:lang w:val="en-US"/>
        </w:rPr>
      </w:pPr>
    </w:p>
    <w:p w14:paraId="6925C4E4" w14:textId="21069C3B" w:rsidR="009D1103" w:rsidRPr="006C023E" w:rsidRDefault="009C0659" w:rsidP="009C0659">
      <w:pPr>
        <w:spacing w:after="0"/>
        <w:rPr>
          <w:rFonts w:ascii="Times New Roman" w:eastAsia="Times New Roman" w:hAnsi="Times New Roman" w:cs="Times New Roman"/>
          <w:sz w:val="24"/>
          <w:szCs w:val="24"/>
        </w:rPr>
      </w:pPr>
      <w:r w:rsidRPr="006C023E">
        <w:rPr>
          <w:rFonts w:ascii="Times New Roman" w:hAnsi="Times New Roman" w:cs="Times New Roman"/>
          <w:noProof/>
          <w:sz w:val="24"/>
          <w:szCs w:val="24"/>
        </w:rPr>
        <w:lastRenderedPageBreak/>
        <w:drawing>
          <wp:inline distT="0" distB="0" distL="0" distR="0" wp14:anchorId="644D8014" wp14:editId="426B14B8">
            <wp:extent cx="6120130" cy="4572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0130" cy="4572000"/>
                    </a:xfrm>
                    <a:prstGeom prst="rect">
                      <a:avLst/>
                    </a:prstGeom>
                  </pic:spPr>
                </pic:pic>
              </a:graphicData>
            </a:graphic>
          </wp:inline>
        </w:drawing>
      </w:r>
    </w:p>
    <w:p w14:paraId="68FF518B" w14:textId="2830ACD2" w:rsidR="009D1103" w:rsidRPr="006C023E" w:rsidRDefault="009D1103" w:rsidP="008D10BD">
      <w:pPr>
        <w:spacing w:line="480" w:lineRule="auto"/>
        <w:rPr>
          <w:rFonts w:ascii="Times New Roman" w:hAnsi="Times New Roman" w:cs="Times New Roman"/>
          <w:sz w:val="24"/>
          <w:szCs w:val="24"/>
        </w:rPr>
      </w:pPr>
      <w:r w:rsidRPr="006C023E">
        <w:rPr>
          <w:rFonts w:ascii="Times New Roman" w:hAnsi="Times New Roman" w:cs="Times New Roman"/>
          <w:sz w:val="24"/>
          <w:szCs w:val="24"/>
        </w:rPr>
        <w:t>Figure S3: The final one</w:t>
      </w:r>
      <w:r w:rsidR="00196046" w:rsidRPr="006C023E">
        <w:rPr>
          <w:rFonts w:ascii="Times New Roman" w:hAnsi="Times New Roman" w:cs="Times New Roman"/>
          <w:sz w:val="24"/>
          <w:szCs w:val="24"/>
        </w:rPr>
        <w:t>-</w:t>
      </w:r>
      <w:r w:rsidRPr="006C023E">
        <w:rPr>
          <w:rFonts w:ascii="Times New Roman" w:hAnsi="Times New Roman" w:cs="Times New Roman"/>
          <w:sz w:val="24"/>
          <w:szCs w:val="24"/>
        </w:rPr>
        <w:t xml:space="preserve">factor model of </w:t>
      </w:r>
      <w:r w:rsidRPr="006C023E">
        <w:rPr>
          <w:rStyle w:val="gd15mcfceub"/>
          <w:rFonts w:ascii="Times New Roman" w:hAnsi="Times New Roman" w:cs="Times New Roman"/>
          <w:sz w:val="24"/>
          <w:szCs w:val="24"/>
          <w:bdr w:val="none" w:sz="0" w:space="0" w:color="auto" w:frame="1"/>
        </w:rPr>
        <w:t xml:space="preserve">TCI </w:t>
      </w:r>
      <w:r w:rsidR="00395CCD" w:rsidRPr="006C023E">
        <w:rPr>
          <w:rStyle w:val="gd15mcfceub"/>
          <w:rFonts w:ascii="Times New Roman" w:hAnsi="Times New Roman" w:cs="Times New Roman"/>
          <w:sz w:val="24"/>
          <w:szCs w:val="24"/>
          <w:bdr w:val="none" w:sz="0" w:space="0" w:color="auto" w:frame="1"/>
        </w:rPr>
        <w:t>c</w:t>
      </w:r>
      <w:r w:rsidRPr="006C023E">
        <w:rPr>
          <w:rStyle w:val="gd15mcfceub"/>
          <w:rFonts w:ascii="Times New Roman" w:hAnsi="Times New Roman" w:cs="Times New Roman"/>
          <w:sz w:val="24"/>
          <w:szCs w:val="24"/>
          <w:bdr w:val="none" w:sz="0" w:space="0" w:color="auto" w:frame="1"/>
        </w:rPr>
        <w:t xml:space="preserve">ompassion (vs. </w:t>
      </w:r>
      <w:r w:rsidR="00395CCD" w:rsidRPr="006C023E">
        <w:rPr>
          <w:rStyle w:val="gd15mcfceub"/>
          <w:rFonts w:ascii="Times New Roman" w:hAnsi="Times New Roman" w:cs="Times New Roman"/>
          <w:sz w:val="24"/>
          <w:szCs w:val="24"/>
          <w:bdr w:val="none" w:sz="0" w:space="0" w:color="auto" w:frame="1"/>
        </w:rPr>
        <w:t>r</w:t>
      </w:r>
      <w:r w:rsidRPr="006C023E">
        <w:rPr>
          <w:rStyle w:val="gd15mcfceub"/>
          <w:rFonts w:ascii="Times New Roman" w:hAnsi="Times New Roman" w:cs="Times New Roman"/>
          <w:sz w:val="24"/>
          <w:szCs w:val="24"/>
          <w:bdr w:val="none" w:sz="0" w:space="0" w:color="auto" w:frame="1"/>
        </w:rPr>
        <w:t>evengefulness) with correlated residuals that accounts for the correlated error structure between reversely scored items</w:t>
      </w:r>
    </w:p>
    <w:p w14:paraId="720F2F07" w14:textId="25E81EDC" w:rsidR="009D1103" w:rsidRPr="006C023E" w:rsidRDefault="009D1103" w:rsidP="008D10BD">
      <w:pPr>
        <w:rPr>
          <w:rFonts w:ascii="Times New Roman" w:hAnsi="Times New Roman" w:cs="Times New Roman"/>
          <w:sz w:val="24"/>
          <w:szCs w:val="24"/>
        </w:rPr>
      </w:pPr>
    </w:p>
    <w:p w14:paraId="434C0EE6" w14:textId="1B2B6C3A" w:rsidR="009D1103" w:rsidRPr="006C023E" w:rsidRDefault="009D1103" w:rsidP="008D10BD">
      <w:pPr>
        <w:rPr>
          <w:rFonts w:ascii="Times New Roman" w:hAnsi="Times New Roman" w:cs="Times New Roman"/>
          <w:sz w:val="24"/>
          <w:szCs w:val="24"/>
        </w:rPr>
      </w:pPr>
      <w:r w:rsidRPr="006C023E">
        <w:rPr>
          <w:rFonts w:ascii="Times New Roman" w:hAnsi="Times New Roman" w:cs="Times New Roman"/>
          <w:sz w:val="24"/>
          <w:szCs w:val="24"/>
        </w:rPr>
        <w:br w:type="page"/>
      </w:r>
    </w:p>
    <w:p w14:paraId="1D9A2D90" w14:textId="0CFA8950" w:rsidR="009D1103" w:rsidRPr="006C023E" w:rsidRDefault="009D1103" w:rsidP="00987CDA">
      <w:pPr>
        <w:pStyle w:val="NormalWeb"/>
        <w:spacing w:line="480" w:lineRule="auto"/>
        <w:rPr>
          <w:i/>
          <w:iCs/>
        </w:rPr>
      </w:pPr>
      <w:r w:rsidRPr="006C023E">
        <w:rPr>
          <w:i/>
          <w:iCs/>
        </w:rPr>
        <w:lastRenderedPageBreak/>
        <w:t xml:space="preserve">S3) Robustness test of the effect of item </w:t>
      </w:r>
      <w:r w:rsidR="0058603F" w:rsidRPr="006C023E">
        <w:rPr>
          <w:i/>
          <w:iCs/>
        </w:rPr>
        <w:t>wording</w:t>
      </w:r>
      <w:r w:rsidRPr="006C023E">
        <w:rPr>
          <w:i/>
          <w:iCs/>
        </w:rPr>
        <w:t xml:space="preserve"> on oxytocin and dopamine function </w:t>
      </w:r>
    </w:p>
    <w:p w14:paraId="4C106098" w14:textId="4AA2F067" w:rsidR="009B66A5" w:rsidRPr="006C023E" w:rsidRDefault="009B66A5" w:rsidP="00987CDA">
      <w:pPr>
        <w:pStyle w:val="NormalWeb"/>
        <w:spacing w:line="480" w:lineRule="auto"/>
      </w:pPr>
      <w:r w:rsidRPr="006C023E">
        <w:t xml:space="preserve">Separate </w:t>
      </w:r>
      <w:r w:rsidR="009B1D8B" w:rsidRPr="006C023E">
        <w:t xml:space="preserve">multiple indicators latent growth curve </w:t>
      </w:r>
      <w:r w:rsidRPr="006C023E">
        <w:t xml:space="preserve">models using </w:t>
      </w:r>
      <w:r w:rsidR="00FE3833" w:rsidRPr="006C023E">
        <w:t xml:space="preserve">only </w:t>
      </w:r>
      <w:r w:rsidRPr="006C023E">
        <w:t xml:space="preserve">positively </w:t>
      </w:r>
      <w:r w:rsidR="00395CCD" w:rsidRPr="006C023E">
        <w:t>scored</w:t>
      </w:r>
      <w:r w:rsidRPr="006C023E">
        <w:t xml:space="preserve"> items (compassion; RMSEA </w:t>
      </w:r>
      <w:r w:rsidR="00EF2B17" w:rsidRPr="006C023E">
        <w:t>&lt;</w:t>
      </w:r>
      <w:r w:rsidRPr="006C023E">
        <w:t xml:space="preserve"> 0.0</w:t>
      </w:r>
      <w:r w:rsidR="00EF2B17" w:rsidRPr="006C023E">
        <w:t>40</w:t>
      </w:r>
      <w:r w:rsidRPr="006C023E">
        <w:t xml:space="preserve"> / CFI </w:t>
      </w:r>
      <w:r w:rsidR="00EF2B17" w:rsidRPr="006C023E">
        <w:t>&gt;</w:t>
      </w:r>
      <w:r w:rsidRPr="006C023E">
        <w:t xml:space="preserve"> 0. 88</w:t>
      </w:r>
      <w:r w:rsidR="00EF2B17" w:rsidRPr="006C023E">
        <w:t>0</w:t>
      </w:r>
      <w:r w:rsidRPr="006C023E">
        <w:t xml:space="preserve">) versus reversed items (revengefulness; RMSEA </w:t>
      </w:r>
      <w:r w:rsidR="00EF2B17" w:rsidRPr="006C023E">
        <w:t>&lt;</w:t>
      </w:r>
      <w:r w:rsidRPr="006C023E">
        <w:t xml:space="preserve"> 0.0</w:t>
      </w:r>
      <w:r w:rsidR="00EF2B17" w:rsidRPr="006C023E">
        <w:t>30</w:t>
      </w:r>
      <w:r w:rsidRPr="006C023E">
        <w:t xml:space="preserve"> / CFI </w:t>
      </w:r>
      <w:r w:rsidR="00EF2B17" w:rsidRPr="006C023E">
        <w:t>&gt;</w:t>
      </w:r>
      <w:r w:rsidRPr="006C023E">
        <w:t xml:space="preserve"> 0.96</w:t>
      </w:r>
      <w:r w:rsidR="00EF2B17" w:rsidRPr="006C023E">
        <w:t>0</w:t>
      </w:r>
      <w:r w:rsidRPr="006C023E">
        <w:t>)</w:t>
      </w:r>
      <w:r w:rsidR="00EF2B17" w:rsidRPr="006C023E">
        <w:t xml:space="preserve"> were conducted</w:t>
      </w:r>
      <w:r w:rsidRPr="006C023E">
        <w:t xml:space="preserve">. The data </w:t>
      </w:r>
      <w:r w:rsidR="00EF2B17" w:rsidRPr="006C023E">
        <w:t xml:space="preserve">in Tables S2 and S3 </w:t>
      </w:r>
      <w:r w:rsidRPr="006C023E">
        <w:t xml:space="preserve">showed that the change in </w:t>
      </w:r>
      <w:r w:rsidR="00395CCD" w:rsidRPr="006C023E">
        <w:t>c</w:t>
      </w:r>
      <w:r w:rsidRPr="006C023E">
        <w:t xml:space="preserve">ompassion (vs. </w:t>
      </w:r>
      <w:r w:rsidR="00395CCD" w:rsidRPr="006C023E">
        <w:t>r</w:t>
      </w:r>
      <w:r w:rsidRPr="006C023E">
        <w:t xml:space="preserve">evengefulness) over time was mostly driven by the </w:t>
      </w:r>
      <w:r w:rsidR="00B07A98" w:rsidRPr="006C023E">
        <w:t xml:space="preserve">reversely scored </w:t>
      </w:r>
      <w:r w:rsidRPr="006C023E">
        <w:t>items</w:t>
      </w:r>
      <w:r w:rsidR="009B1D8B" w:rsidRPr="006C023E">
        <w:t>, b = 0.281 (SE =  0.051; p &lt; .001)</w:t>
      </w:r>
      <w:r w:rsidRPr="006C023E">
        <w:t xml:space="preserve">, and that the slope was not significant in positively </w:t>
      </w:r>
      <w:r w:rsidR="00395CCD" w:rsidRPr="006C023E">
        <w:t>scored</w:t>
      </w:r>
      <w:r w:rsidRPr="006C023E">
        <w:t xml:space="preserve"> items.</w:t>
      </w:r>
    </w:p>
    <w:p w14:paraId="7E5EEF74" w14:textId="730C121D" w:rsidR="009B66A5" w:rsidRPr="006C023E" w:rsidRDefault="009B66A5" w:rsidP="00987CDA">
      <w:pPr>
        <w:pStyle w:val="NormalWeb"/>
        <w:spacing w:line="480" w:lineRule="auto"/>
      </w:pPr>
      <w:r w:rsidRPr="006C023E">
        <w:t xml:space="preserve">In </w:t>
      </w:r>
      <w:r w:rsidR="00EB75A4" w:rsidRPr="006C023E">
        <w:t xml:space="preserve">both models, based on </w:t>
      </w:r>
      <w:r w:rsidRPr="006C023E">
        <w:t xml:space="preserve">positively </w:t>
      </w:r>
      <w:r w:rsidR="00395CCD" w:rsidRPr="006C023E">
        <w:t>scored i</w:t>
      </w:r>
      <w:r w:rsidRPr="006C023E">
        <w:t xml:space="preserve">tems, b = 0.059 (SE = 0.027; p = .029), </w:t>
      </w:r>
      <w:r w:rsidR="00B42821" w:rsidRPr="006C023E">
        <w:t>and</w:t>
      </w:r>
      <w:r w:rsidRPr="006C023E">
        <w:t xml:space="preserve"> </w:t>
      </w:r>
      <w:r w:rsidR="00B07A98" w:rsidRPr="006C023E">
        <w:t>reversely scored</w:t>
      </w:r>
      <w:r w:rsidRPr="006C023E">
        <w:t xml:space="preserve"> items, b = 0.057 (SE = 0.029; p = .045), a similar pattern </w:t>
      </w:r>
      <w:r w:rsidR="00121410" w:rsidRPr="006C023E">
        <w:t xml:space="preserve">of genetic effects </w:t>
      </w:r>
      <w:r w:rsidRPr="006C023E">
        <w:t xml:space="preserve">was found. </w:t>
      </w:r>
      <w:r w:rsidR="00EB75A4" w:rsidRPr="006C023E">
        <w:t>In line with the</w:t>
      </w:r>
      <w:r w:rsidRPr="006C023E">
        <w:t xml:space="preserve"> results</w:t>
      </w:r>
      <w:r w:rsidR="00EB75A4" w:rsidRPr="006C023E">
        <w:t xml:space="preserve"> reported in the main paper, the found associations </w:t>
      </w:r>
      <w:r w:rsidRPr="006C023E">
        <w:t>suggest that compassion increased faster over time if individuals carry the T-allele of rs1611115</w:t>
      </w:r>
      <w:r w:rsidR="00EB75A4" w:rsidRPr="006C023E">
        <w:t>.</w:t>
      </w:r>
      <w:r w:rsidR="00B42821" w:rsidRPr="006C023E">
        <w:t xml:space="preserve"> In the model for </w:t>
      </w:r>
      <w:r w:rsidR="00F5187B" w:rsidRPr="006C023E">
        <w:t>reversed</w:t>
      </w:r>
      <w:r w:rsidR="00B42821" w:rsidRPr="006C023E">
        <w:t xml:space="preserve"> items</w:t>
      </w:r>
      <w:r w:rsidR="00F5187B" w:rsidRPr="006C023E">
        <w:t xml:space="preserve"> there were further two new associations for the slope and</w:t>
      </w:r>
      <w:r w:rsidR="00B42821" w:rsidRPr="006C023E">
        <w:t xml:space="preserve"> rs4680, b = </w:t>
      </w:r>
      <w:r w:rsidR="00F5187B" w:rsidRPr="006C023E">
        <w:t xml:space="preserve">0.044 </w:t>
      </w:r>
      <w:r w:rsidR="00B42821" w:rsidRPr="006C023E">
        <w:t xml:space="preserve">(SE = </w:t>
      </w:r>
      <w:r w:rsidR="00F5187B" w:rsidRPr="006C023E">
        <w:t>0.022</w:t>
      </w:r>
      <w:r w:rsidR="00B42821" w:rsidRPr="006C023E">
        <w:t xml:space="preserve">; p = </w:t>
      </w:r>
      <w:r w:rsidR="00F5187B" w:rsidRPr="006C023E">
        <w:t>.041</w:t>
      </w:r>
      <w:r w:rsidR="00B42821" w:rsidRPr="006C023E">
        <w:t xml:space="preserve">), </w:t>
      </w:r>
      <w:r w:rsidR="00F5187B" w:rsidRPr="006C023E">
        <w:t xml:space="preserve">and </w:t>
      </w:r>
      <w:r w:rsidR="00B42821" w:rsidRPr="006C023E">
        <w:t>high dopamine genetic profile</w:t>
      </w:r>
      <w:r w:rsidR="00F5187B" w:rsidRPr="006C023E">
        <w:t xml:space="preserve">, b = 0.029 (SE = 0.015; p = .050). None of these </w:t>
      </w:r>
      <w:r w:rsidR="00EB75A4" w:rsidRPr="006C023E">
        <w:t>effects</w:t>
      </w:r>
      <w:r w:rsidR="00B42821" w:rsidRPr="006C023E">
        <w:t>, however,</w:t>
      </w:r>
      <w:r w:rsidR="00EB75A4" w:rsidRPr="006C023E">
        <w:t xml:space="preserve"> were strong</w:t>
      </w:r>
      <w:r w:rsidRPr="006C023E">
        <w:t xml:space="preserve"> enough to survive correction for multiple testing.</w:t>
      </w:r>
    </w:p>
    <w:p w14:paraId="19AE95B3" w14:textId="5EDC5BBC" w:rsidR="009B66A5" w:rsidRPr="006C023E" w:rsidRDefault="009B66A5" w:rsidP="00987CDA">
      <w:pPr>
        <w:pStyle w:val="NormalWeb"/>
        <w:spacing w:line="480" w:lineRule="auto"/>
      </w:pPr>
      <w:r w:rsidRPr="006C023E">
        <w:t>The effect of rs1611115</w:t>
      </w:r>
      <w:r w:rsidR="007E76FA" w:rsidRPr="006C023E">
        <w:t xml:space="preserve"> </w:t>
      </w:r>
      <w:r w:rsidRPr="006C023E">
        <w:t xml:space="preserve">was not moderated by gender when analyzing positively </w:t>
      </w:r>
      <w:r w:rsidR="00395CCD" w:rsidRPr="006C023E">
        <w:t>scored</w:t>
      </w:r>
      <w:r w:rsidRPr="006C023E">
        <w:t xml:space="preserve"> </w:t>
      </w:r>
      <w:r w:rsidR="007E76FA" w:rsidRPr="006C023E">
        <w:t xml:space="preserve">items </w:t>
      </w:r>
      <w:r w:rsidRPr="006C023E">
        <w:t xml:space="preserve">and </w:t>
      </w:r>
      <w:r w:rsidR="00B07A98" w:rsidRPr="006C023E">
        <w:t>reversely scored</w:t>
      </w:r>
      <w:r w:rsidRPr="006C023E">
        <w:t xml:space="preserve"> items separately. Like in the main analyses, we did not find any association in female participants. In male participants, </w:t>
      </w:r>
      <w:r w:rsidR="00450FC4" w:rsidRPr="006C023E">
        <w:t xml:space="preserve">however, </w:t>
      </w:r>
      <w:r w:rsidRPr="006C023E">
        <w:t xml:space="preserve">the genetic effect </w:t>
      </w:r>
      <w:r w:rsidR="001E7D70" w:rsidRPr="006C023E">
        <w:t xml:space="preserve">on the slop of compassion </w:t>
      </w:r>
      <w:r w:rsidRPr="006C023E">
        <w:t xml:space="preserve">was found in positively </w:t>
      </w:r>
      <w:r w:rsidR="00395CCD" w:rsidRPr="006C023E">
        <w:t>scored</w:t>
      </w:r>
      <w:r w:rsidRPr="006C023E">
        <w:t xml:space="preserve"> items, b = 0.188</w:t>
      </w:r>
      <w:r w:rsidR="007E76FA" w:rsidRPr="006C023E">
        <w:t xml:space="preserve"> </w:t>
      </w:r>
      <w:r w:rsidRPr="006C023E">
        <w:t>(SE =</w:t>
      </w:r>
      <w:r w:rsidR="007E76FA" w:rsidRPr="006C023E">
        <w:t xml:space="preserve"> </w:t>
      </w:r>
      <w:r w:rsidRPr="006C023E">
        <w:t>0.047</w:t>
      </w:r>
      <w:r w:rsidR="007E76FA" w:rsidRPr="006C023E">
        <w:t>;</w:t>
      </w:r>
      <w:r w:rsidRPr="006C023E">
        <w:t xml:space="preserve"> p &lt; .001), as well as in reversed items, b = 0.140 (SE = 0.049; p = .004). </w:t>
      </w:r>
    </w:p>
    <w:p w14:paraId="6BE39B26" w14:textId="4DCBC6E5" w:rsidR="009D1103" w:rsidRPr="006C023E" w:rsidRDefault="009D1103" w:rsidP="008D10BD">
      <w:pPr>
        <w:rPr>
          <w:rFonts w:ascii="Times New Roman" w:hAnsi="Times New Roman" w:cs="Times New Roman"/>
          <w:sz w:val="24"/>
          <w:szCs w:val="24"/>
        </w:rPr>
      </w:pPr>
      <w:r w:rsidRPr="006C023E">
        <w:rPr>
          <w:rFonts w:ascii="Times New Roman" w:hAnsi="Times New Roman" w:cs="Times New Roman"/>
          <w:sz w:val="24"/>
          <w:szCs w:val="24"/>
        </w:rPr>
        <w:t xml:space="preserve"> </w:t>
      </w:r>
    </w:p>
    <w:p w14:paraId="6DEBFE39" w14:textId="77777777" w:rsidR="008D10BD" w:rsidRPr="006C023E" w:rsidRDefault="008D10BD">
      <w:pPr>
        <w:rPr>
          <w:rFonts w:ascii="Times New Roman" w:hAnsi="Times New Roman" w:cs="Times New Roman"/>
          <w:b/>
          <w:sz w:val="24"/>
          <w:szCs w:val="24"/>
        </w:rPr>
      </w:pPr>
      <w:r w:rsidRPr="006C023E">
        <w:rPr>
          <w:rFonts w:ascii="Times New Roman" w:hAnsi="Times New Roman" w:cs="Times New Roman"/>
          <w:b/>
          <w:sz w:val="24"/>
          <w:szCs w:val="24"/>
        </w:rPr>
        <w:br w:type="page"/>
      </w:r>
    </w:p>
    <w:p w14:paraId="5C178F08" w14:textId="1835628D" w:rsidR="009D1103" w:rsidRPr="006C023E" w:rsidRDefault="009D1103" w:rsidP="008D10BD">
      <w:pPr>
        <w:spacing w:line="480" w:lineRule="auto"/>
        <w:rPr>
          <w:rFonts w:ascii="Times New Roman" w:hAnsi="Times New Roman" w:cs="Times New Roman"/>
          <w:sz w:val="24"/>
          <w:szCs w:val="24"/>
        </w:rPr>
      </w:pPr>
      <w:r w:rsidRPr="006C023E">
        <w:rPr>
          <w:rFonts w:ascii="Times New Roman" w:hAnsi="Times New Roman" w:cs="Times New Roman"/>
          <w:b/>
          <w:sz w:val="24"/>
          <w:szCs w:val="24"/>
        </w:rPr>
        <w:lastRenderedPageBreak/>
        <w:t>Table S3.</w:t>
      </w:r>
      <w:r w:rsidRPr="006C023E">
        <w:rPr>
          <w:rFonts w:ascii="Times New Roman" w:hAnsi="Times New Roman" w:cs="Times New Roman"/>
          <w:sz w:val="24"/>
          <w:szCs w:val="24"/>
        </w:rPr>
        <w:t xml:space="preserve"> </w:t>
      </w:r>
      <w:r w:rsidRPr="006C023E">
        <w:rPr>
          <w:rFonts w:ascii="Times New Roman" w:eastAsia="Times New Roman" w:hAnsi="Times New Roman" w:cs="Times New Roman"/>
          <w:iCs/>
          <w:sz w:val="24"/>
          <w:szCs w:val="24"/>
          <w:lang w:eastAsia="fi-FI"/>
        </w:rPr>
        <w:t xml:space="preserve">Association between Oxytocin and Dopamine Pathway Genes and a Model using only the Positively </w:t>
      </w:r>
      <w:r w:rsidR="00395CCD" w:rsidRPr="006C023E">
        <w:rPr>
          <w:rFonts w:ascii="Times New Roman" w:eastAsia="Times New Roman" w:hAnsi="Times New Roman" w:cs="Times New Roman"/>
          <w:iCs/>
          <w:sz w:val="24"/>
          <w:szCs w:val="24"/>
          <w:lang w:eastAsia="fi-FI"/>
        </w:rPr>
        <w:t>Scored</w:t>
      </w:r>
      <w:r w:rsidRPr="006C023E">
        <w:rPr>
          <w:rFonts w:ascii="Times New Roman" w:eastAsia="Times New Roman" w:hAnsi="Times New Roman" w:cs="Times New Roman"/>
          <w:iCs/>
          <w:sz w:val="24"/>
          <w:szCs w:val="24"/>
          <w:lang w:eastAsia="fi-FI"/>
        </w:rPr>
        <w:t xml:space="preserve"> TCI Items (High Compassion)</w:t>
      </w:r>
    </w:p>
    <w:tbl>
      <w:tblPr>
        <w:tblW w:w="9865" w:type="dxa"/>
        <w:tblCellMar>
          <w:left w:w="70" w:type="dxa"/>
          <w:right w:w="70" w:type="dxa"/>
        </w:tblCellMar>
        <w:tblLook w:val="04A0" w:firstRow="1" w:lastRow="0" w:firstColumn="1" w:lastColumn="0" w:noHBand="0" w:noVBand="1"/>
      </w:tblPr>
      <w:tblGrid>
        <w:gridCol w:w="960"/>
        <w:gridCol w:w="3151"/>
        <w:gridCol w:w="1134"/>
        <w:gridCol w:w="992"/>
        <w:gridCol w:w="851"/>
        <w:gridCol w:w="425"/>
        <w:gridCol w:w="992"/>
        <w:gridCol w:w="680"/>
        <w:gridCol w:w="697"/>
      </w:tblGrid>
      <w:tr w:rsidR="002B1ABD" w:rsidRPr="006C023E" w14:paraId="49CDCB76" w14:textId="77777777" w:rsidTr="009B66A5">
        <w:trPr>
          <w:trHeight w:val="310"/>
        </w:trPr>
        <w:tc>
          <w:tcPr>
            <w:tcW w:w="960" w:type="dxa"/>
            <w:tcBorders>
              <w:top w:val="single" w:sz="4" w:space="0" w:color="auto"/>
              <w:left w:val="nil"/>
              <w:bottom w:val="single" w:sz="4" w:space="0" w:color="auto"/>
              <w:right w:val="nil"/>
            </w:tcBorders>
            <w:shd w:val="clear" w:color="auto" w:fill="auto"/>
            <w:noWrap/>
            <w:hideMark/>
          </w:tcPr>
          <w:p w14:paraId="0ED71D58" w14:textId="77777777" w:rsidR="009D1103" w:rsidRPr="006C023E" w:rsidRDefault="009D1103" w:rsidP="008D10BD">
            <w:pPr>
              <w:spacing w:after="0" w:line="240" w:lineRule="auto"/>
              <w:rPr>
                <w:rFonts w:ascii="Times New Roman" w:eastAsia="Times New Roman" w:hAnsi="Times New Roman" w:cs="Times New Roman"/>
                <w:i/>
                <w:iCs/>
                <w:sz w:val="24"/>
                <w:szCs w:val="24"/>
                <w:lang w:val="fi-FI" w:eastAsia="fi-FI"/>
              </w:rPr>
            </w:pPr>
            <w:r w:rsidRPr="006C023E">
              <w:rPr>
                <w:rFonts w:ascii="Times New Roman" w:eastAsia="Times New Roman" w:hAnsi="Times New Roman" w:cs="Times New Roman"/>
                <w:i/>
                <w:iCs/>
                <w:sz w:val="24"/>
                <w:szCs w:val="24"/>
                <w:lang w:eastAsia="fi-FI"/>
              </w:rPr>
              <w:t>Model</w:t>
            </w:r>
          </w:p>
        </w:tc>
        <w:tc>
          <w:tcPr>
            <w:tcW w:w="3151" w:type="dxa"/>
            <w:tcBorders>
              <w:top w:val="single" w:sz="4" w:space="0" w:color="auto"/>
              <w:left w:val="nil"/>
              <w:bottom w:val="single" w:sz="4" w:space="0" w:color="auto"/>
              <w:right w:val="nil"/>
            </w:tcBorders>
            <w:shd w:val="clear" w:color="auto" w:fill="auto"/>
            <w:noWrap/>
            <w:hideMark/>
          </w:tcPr>
          <w:p w14:paraId="6D8D80F9" w14:textId="77777777" w:rsidR="009D1103" w:rsidRPr="006C023E" w:rsidRDefault="009D1103" w:rsidP="008D10BD">
            <w:pPr>
              <w:spacing w:after="0" w:line="240" w:lineRule="auto"/>
              <w:rPr>
                <w:rFonts w:ascii="Times New Roman" w:eastAsia="Times New Roman" w:hAnsi="Times New Roman" w:cs="Times New Roman"/>
                <w:i/>
                <w:iCs/>
                <w:sz w:val="24"/>
                <w:szCs w:val="24"/>
                <w:lang w:val="fi-FI" w:eastAsia="fi-FI"/>
              </w:rPr>
            </w:pPr>
            <w:r w:rsidRPr="006C023E">
              <w:rPr>
                <w:rFonts w:ascii="Times New Roman" w:eastAsia="Times New Roman" w:hAnsi="Times New Roman" w:cs="Times New Roman"/>
                <w:i/>
                <w:iCs/>
                <w:sz w:val="24"/>
                <w:szCs w:val="24"/>
                <w:lang w:val="fi-FI" w:eastAsia="fi-FI"/>
              </w:rPr>
              <w:t> </w:t>
            </w:r>
          </w:p>
        </w:tc>
        <w:tc>
          <w:tcPr>
            <w:tcW w:w="1134" w:type="dxa"/>
            <w:tcBorders>
              <w:top w:val="single" w:sz="4" w:space="0" w:color="auto"/>
              <w:left w:val="nil"/>
              <w:bottom w:val="single" w:sz="4" w:space="0" w:color="auto"/>
              <w:right w:val="nil"/>
            </w:tcBorders>
            <w:shd w:val="clear" w:color="auto" w:fill="auto"/>
            <w:noWrap/>
            <w:hideMark/>
          </w:tcPr>
          <w:p w14:paraId="6899BFA6" w14:textId="77777777" w:rsidR="009D1103" w:rsidRPr="006C023E" w:rsidRDefault="009D1103" w:rsidP="008D10BD">
            <w:pPr>
              <w:spacing w:after="0" w:line="240" w:lineRule="auto"/>
              <w:rPr>
                <w:rFonts w:ascii="Times New Roman" w:eastAsia="Times New Roman" w:hAnsi="Times New Roman" w:cs="Times New Roman"/>
                <w:i/>
                <w:iCs/>
                <w:sz w:val="24"/>
                <w:szCs w:val="24"/>
                <w:lang w:val="fi-FI" w:eastAsia="fi-FI"/>
              </w:rPr>
            </w:pPr>
            <w:r w:rsidRPr="006C023E">
              <w:rPr>
                <w:rFonts w:ascii="Times New Roman" w:eastAsia="Times New Roman" w:hAnsi="Times New Roman" w:cs="Times New Roman"/>
                <w:iCs/>
                <w:sz w:val="24"/>
                <w:szCs w:val="24"/>
                <w:lang w:eastAsia="fi-FI"/>
              </w:rPr>
              <w:t>Initial levels</w:t>
            </w:r>
          </w:p>
        </w:tc>
        <w:tc>
          <w:tcPr>
            <w:tcW w:w="992" w:type="dxa"/>
            <w:tcBorders>
              <w:top w:val="single" w:sz="4" w:space="0" w:color="auto"/>
              <w:left w:val="nil"/>
              <w:bottom w:val="single" w:sz="4" w:space="0" w:color="auto"/>
              <w:right w:val="nil"/>
            </w:tcBorders>
            <w:shd w:val="clear" w:color="auto" w:fill="auto"/>
            <w:noWrap/>
            <w:hideMark/>
          </w:tcPr>
          <w:p w14:paraId="6D5A326C" w14:textId="77777777" w:rsidR="009D1103" w:rsidRPr="006C023E" w:rsidRDefault="009D1103" w:rsidP="008D10BD">
            <w:pPr>
              <w:spacing w:after="0" w:line="240" w:lineRule="auto"/>
              <w:rPr>
                <w:rFonts w:ascii="Times New Roman" w:eastAsia="Times New Roman" w:hAnsi="Times New Roman" w:cs="Times New Roman"/>
                <w:i/>
                <w:iCs/>
                <w:sz w:val="24"/>
                <w:szCs w:val="24"/>
                <w:lang w:val="fi-FI" w:eastAsia="fi-FI"/>
              </w:rPr>
            </w:pPr>
            <w:r w:rsidRPr="006C023E">
              <w:rPr>
                <w:rFonts w:ascii="Times New Roman" w:eastAsia="Times New Roman" w:hAnsi="Times New Roman" w:cs="Times New Roman"/>
                <w:i/>
                <w:iCs/>
                <w:sz w:val="24"/>
                <w:szCs w:val="24"/>
                <w:lang w:eastAsia="fi-FI"/>
              </w:rPr>
              <w:t xml:space="preserve"> (SE)</w:t>
            </w:r>
          </w:p>
        </w:tc>
        <w:tc>
          <w:tcPr>
            <w:tcW w:w="851" w:type="dxa"/>
            <w:tcBorders>
              <w:top w:val="single" w:sz="4" w:space="0" w:color="auto"/>
              <w:left w:val="nil"/>
              <w:bottom w:val="single" w:sz="4" w:space="0" w:color="auto"/>
              <w:right w:val="nil"/>
            </w:tcBorders>
            <w:shd w:val="clear" w:color="auto" w:fill="auto"/>
            <w:noWrap/>
            <w:hideMark/>
          </w:tcPr>
          <w:p w14:paraId="384D4163" w14:textId="77777777" w:rsidR="009D1103" w:rsidRPr="006C023E" w:rsidRDefault="009D1103" w:rsidP="008D10BD">
            <w:pPr>
              <w:spacing w:after="0" w:line="240" w:lineRule="auto"/>
              <w:rPr>
                <w:rFonts w:ascii="Times New Roman" w:eastAsia="Times New Roman" w:hAnsi="Times New Roman" w:cs="Times New Roman"/>
                <w:i/>
                <w:iCs/>
                <w:sz w:val="24"/>
                <w:szCs w:val="24"/>
                <w:lang w:val="fi-FI" w:eastAsia="fi-FI"/>
              </w:rPr>
            </w:pPr>
            <w:r w:rsidRPr="006C023E">
              <w:rPr>
                <w:rFonts w:ascii="Times New Roman" w:eastAsia="Times New Roman" w:hAnsi="Times New Roman" w:cs="Times New Roman"/>
                <w:i/>
                <w:iCs/>
                <w:sz w:val="24"/>
                <w:szCs w:val="24"/>
                <w:lang w:eastAsia="fi-FI"/>
              </w:rPr>
              <w:t xml:space="preserve">p </w:t>
            </w:r>
          </w:p>
        </w:tc>
        <w:tc>
          <w:tcPr>
            <w:tcW w:w="425" w:type="dxa"/>
            <w:tcBorders>
              <w:top w:val="single" w:sz="4" w:space="0" w:color="auto"/>
              <w:left w:val="nil"/>
              <w:bottom w:val="single" w:sz="4" w:space="0" w:color="auto"/>
              <w:right w:val="nil"/>
            </w:tcBorders>
            <w:shd w:val="clear" w:color="auto" w:fill="auto"/>
            <w:noWrap/>
            <w:hideMark/>
          </w:tcPr>
          <w:p w14:paraId="06D23907" w14:textId="77777777" w:rsidR="009D1103" w:rsidRPr="006C023E" w:rsidRDefault="009D1103" w:rsidP="008D10BD">
            <w:pPr>
              <w:spacing w:after="0" w:line="240" w:lineRule="auto"/>
              <w:rPr>
                <w:rFonts w:ascii="Times New Roman" w:eastAsia="Times New Roman" w:hAnsi="Times New Roman" w:cs="Times New Roman"/>
                <w:i/>
                <w:iCs/>
                <w:sz w:val="24"/>
                <w:szCs w:val="24"/>
                <w:lang w:val="fi-FI" w:eastAsia="fi-FI"/>
              </w:rPr>
            </w:pPr>
            <w:r w:rsidRPr="006C023E">
              <w:rPr>
                <w:rFonts w:ascii="Times New Roman" w:eastAsia="Times New Roman" w:hAnsi="Times New Roman" w:cs="Times New Roman"/>
                <w:i/>
                <w:iCs/>
                <w:sz w:val="24"/>
                <w:szCs w:val="24"/>
                <w:lang w:eastAsia="fi-FI"/>
              </w:rPr>
              <w:t> </w:t>
            </w:r>
          </w:p>
        </w:tc>
        <w:tc>
          <w:tcPr>
            <w:tcW w:w="992" w:type="dxa"/>
            <w:tcBorders>
              <w:top w:val="single" w:sz="4" w:space="0" w:color="auto"/>
              <w:left w:val="nil"/>
              <w:bottom w:val="single" w:sz="4" w:space="0" w:color="auto"/>
              <w:right w:val="nil"/>
            </w:tcBorders>
            <w:shd w:val="clear" w:color="auto" w:fill="auto"/>
            <w:noWrap/>
            <w:hideMark/>
          </w:tcPr>
          <w:p w14:paraId="49E26EA6" w14:textId="77777777" w:rsidR="009D1103" w:rsidRPr="006C023E" w:rsidRDefault="009D1103" w:rsidP="008D10BD">
            <w:pPr>
              <w:spacing w:after="0" w:line="240" w:lineRule="auto"/>
              <w:rPr>
                <w:rFonts w:ascii="Times New Roman" w:eastAsia="Times New Roman" w:hAnsi="Times New Roman" w:cs="Times New Roman"/>
                <w:i/>
                <w:iCs/>
                <w:sz w:val="24"/>
                <w:szCs w:val="24"/>
                <w:lang w:val="fi-FI" w:eastAsia="fi-FI"/>
              </w:rPr>
            </w:pPr>
            <w:r w:rsidRPr="006C023E">
              <w:rPr>
                <w:rFonts w:ascii="Times New Roman" w:eastAsia="Times New Roman" w:hAnsi="Times New Roman" w:cs="Times New Roman"/>
                <w:iCs/>
                <w:sz w:val="24"/>
                <w:szCs w:val="24"/>
                <w:lang w:eastAsia="fi-FI"/>
              </w:rPr>
              <w:t>Change over time</w:t>
            </w:r>
          </w:p>
        </w:tc>
        <w:tc>
          <w:tcPr>
            <w:tcW w:w="680" w:type="dxa"/>
            <w:tcBorders>
              <w:top w:val="single" w:sz="4" w:space="0" w:color="auto"/>
              <w:left w:val="nil"/>
              <w:bottom w:val="single" w:sz="4" w:space="0" w:color="auto"/>
              <w:right w:val="nil"/>
            </w:tcBorders>
            <w:shd w:val="clear" w:color="auto" w:fill="auto"/>
            <w:noWrap/>
            <w:hideMark/>
          </w:tcPr>
          <w:p w14:paraId="0EBBBD7C" w14:textId="77777777" w:rsidR="009D1103" w:rsidRPr="006C023E" w:rsidRDefault="009D1103" w:rsidP="008D10BD">
            <w:pPr>
              <w:spacing w:after="0" w:line="240" w:lineRule="auto"/>
              <w:rPr>
                <w:rFonts w:ascii="Times New Roman" w:eastAsia="Times New Roman" w:hAnsi="Times New Roman" w:cs="Times New Roman"/>
                <w:i/>
                <w:iCs/>
                <w:sz w:val="24"/>
                <w:szCs w:val="24"/>
                <w:lang w:val="fi-FI" w:eastAsia="fi-FI"/>
              </w:rPr>
            </w:pPr>
            <w:r w:rsidRPr="006C023E">
              <w:rPr>
                <w:rFonts w:ascii="Times New Roman" w:eastAsia="Times New Roman" w:hAnsi="Times New Roman" w:cs="Times New Roman"/>
                <w:i/>
                <w:iCs/>
                <w:sz w:val="24"/>
                <w:szCs w:val="24"/>
                <w:lang w:eastAsia="fi-FI"/>
              </w:rPr>
              <w:t>(SE)</w:t>
            </w:r>
          </w:p>
        </w:tc>
        <w:tc>
          <w:tcPr>
            <w:tcW w:w="680" w:type="dxa"/>
            <w:tcBorders>
              <w:top w:val="single" w:sz="4" w:space="0" w:color="auto"/>
              <w:left w:val="nil"/>
              <w:bottom w:val="single" w:sz="4" w:space="0" w:color="auto"/>
              <w:right w:val="nil"/>
            </w:tcBorders>
            <w:shd w:val="clear" w:color="auto" w:fill="auto"/>
            <w:noWrap/>
            <w:hideMark/>
          </w:tcPr>
          <w:p w14:paraId="5360F618" w14:textId="77777777" w:rsidR="009D1103" w:rsidRPr="006C023E" w:rsidRDefault="009D1103" w:rsidP="008D10BD">
            <w:pPr>
              <w:spacing w:after="0" w:line="240" w:lineRule="auto"/>
              <w:rPr>
                <w:rFonts w:ascii="Times New Roman" w:eastAsia="Times New Roman" w:hAnsi="Times New Roman" w:cs="Times New Roman"/>
                <w:i/>
                <w:iCs/>
                <w:sz w:val="24"/>
                <w:szCs w:val="24"/>
                <w:lang w:val="fi-FI" w:eastAsia="fi-FI"/>
              </w:rPr>
            </w:pPr>
            <w:r w:rsidRPr="006C023E">
              <w:rPr>
                <w:rFonts w:ascii="Times New Roman" w:eastAsia="Times New Roman" w:hAnsi="Times New Roman" w:cs="Times New Roman"/>
                <w:i/>
                <w:iCs/>
                <w:sz w:val="24"/>
                <w:szCs w:val="24"/>
                <w:lang w:eastAsia="fi-FI"/>
              </w:rPr>
              <w:t>p</w:t>
            </w:r>
          </w:p>
        </w:tc>
      </w:tr>
      <w:tr w:rsidR="002B1ABD" w:rsidRPr="006C023E" w14:paraId="4BB9B8AE" w14:textId="77777777" w:rsidTr="009B66A5">
        <w:trPr>
          <w:trHeight w:val="310"/>
        </w:trPr>
        <w:tc>
          <w:tcPr>
            <w:tcW w:w="960" w:type="dxa"/>
            <w:tcBorders>
              <w:top w:val="single" w:sz="4" w:space="0" w:color="auto"/>
              <w:left w:val="nil"/>
              <w:bottom w:val="nil"/>
              <w:right w:val="nil"/>
            </w:tcBorders>
            <w:shd w:val="clear" w:color="auto" w:fill="auto"/>
            <w:noWrap/>
            <w:vAlign w:val="center"/>
            <w:hideMark/>
          </w:tcPr>
          <w:p w14:paraId="7703586A" w14:textId="77777777" w:rsidR="009D1103" w:rsidRPr="006C023E" w:rsidRDefault="009D1103" w:rsidP="008D10BD">
            <w:pPr>
              <w:spacing w:after="0" w:line="240" w:lineRule="auto"/>
              <w:rPr>
                <w:rFonts w:ascii="Times New Roman" w:eastAsia="Times New Roman" w:hAnsi="Times New Roman" w:cs="Times New Roman"/>
                <w:i/>
                <w:iCs/>
                <w:sz w:val="24"/>
                <w:szCs w:val="24"/>
                <w:lang w:val="fi-FI" w:eastAsia="fi-FI"/>
              </w:rPr>
            </w:pPr>
            <w:r w:rsidRPr="006C023E">
              <w:rPr>
                <w:rFonts w:ascii="Times New Roman" w:eastAsia="Times New Roman" w:hAnsi="Times New Roman" w:cs="Times New Roman"/>
                <w:i/>
                <w:iCs/>
                <w:sz w:val="24"/>
                <w:szCs w:val="24"/>
                <w:lang w:eastAsia="fi-FI"/>
              </w:rPr>
              <w:t>Model 1</w:t>
            </w:r>
          </w:p>
        </w:tc>
        <w:tc>
          <w:tcPr>
            <w:tcW w:w="8905" w:type="dxa"/>
            <w:gridSpan w:val="8"/>
            <w:tcBorders>
              <w:top w:val="single" w:sz="4" w:space="0" w:color="auto"/>
              <w:left w:val="nil"/>
              <w:bottom w:val="nil"/>
            </w:tcBorders>
            <w:shd w:val="clear" w:color="auto" w:fill="auto"/>
            <w:noWrap/>
            <w:vAlign w:val="center"/>
            <w:hideMark/>
          </w:tcPr>
          <w:p w14:paraId="5663BF96"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i/>
                <w:iCs/>
                <w:sz w:val="24"/>
                <w:szCs w:val="24"/>
                <w:lang w:eastAsia="fi-FI"/>
              </w:rPr>
              <w:t>Developmental model</w:t>
            </w:r>
          </w:p>
        </w:tc>
      </w:tr>
      <w:tr w:rsidR="002B1ABD" w:rsidRPr="006C023E" w14:paraId="13EC4DC2" w14:textId="77777777" w:rsidTr="009B66A5">
        <w:trPr>
          <w:trHeight w:val="310"/>
        </w:trPr>
        <w:tc>
          <w:tcPr>
            <w:tcW w:w="960" w:type="dxa"/>
            <w:tcBorders>
              <w:top w:val="nil"/>
              <w:left w:val="nil"/>
              <w:bottom w:val="nil"/>
              <w:right w:val="nil"/>
            </w:tcBorders>
            <w:shd w:val="clear" w:color="auto" w:fill="auto"/>
            <w:noWrap/>
            <w:vAlign w:val="center"/>
            <w:hideMark/>
          </w:tcPr>
          <w:p w14:paraId="2EEEC739"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3151" w:type="dxa"/>
            <w:tcBorders>
              <w:top w:val="nil"/>
              <w:left w:val="nil"/>
              <w:bottom w:val="nil"/>
              <w:right w:val="nil"/>
            </w:tcBorders>
            <w:shd w:val="clear" w:color="auto" w:fill="auto"/>
            <w:noWrap/>
            <w:vAlign w:val="center"/>
            <w:hideMark/>
          </w:tcPr>
          <w:p w14:paraId="195DB1A6"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eastAsia="fi-FI"/>
              </w:rPr>
              <w:t>Latent factors</w:t>
            </w:r>
          </w:p>
        </w:tc>
        <w:tc>
          <w:tcPr>
            <w:tcW w:w="1134" w:type="dxa"/>
            <w:tcBorders>
              <w:top w:val="nil"/>
              <w:left w:val="nil"/>
              <w:bottom w:val="nil"/>
              <w:right w:val="nil"/>
            </w:tcBorders>
            <w:shd w:val="clear" w:color="auto" w:fill="auto"/>
            <w:noWrap/>
            <w:vAlign w:val="center"/>
          </w:tcPr>
          <w:p w14:paraId="3A74DBE9" w14:textId="77777777" w:rsidR="009D1103" w:rsidRPr="006C023E" w:rsidRDefault="009D1103" w:rsidP="008D10B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val="0"/>
              <w:spacing w:after="0" w:line="240" w:lineRule="auto"/>
              <w:rPr>
                <w:rFonts w:ascii="Times New Roman" w:eastAsia="Times New Roman" w:hAnsi="Times New Roman" w:cs="Times New Roman"/>
                <w:sz w:val="24"/>
                <w:szCs w:val="24"/>
              </w:rPr>
            </w:pPr>
            <w:r w:rsidRPr="006C023E">
              <w:rPr>
                <w:rFonts w:ascii="Times New Roman" w:eastAsia="Times New Roman" w:hAnsi="Times New Roman" w:cs="Times New Roman"/>
                <w:sz w:val="24"/>
                <w:szCs w:val="24"/>
                <w:bdr w:val="none" w:sz="0" w:space="0" w:color="auto" w:frame="1"/>
              </w:rPr>
              <w:t>3.419</w:t>
            </w:r>
          </w:p>
        </w:tc>
        <w:tc>
          <w:tcPr>
            <w:tcW w:w="992" w:type="dxa"/>
            <w:tcBorders>
              <w:top w:val="nil"/>
              <w:left w:val="nil"/>
              <w:bottom w:val="nil"/>
              <w:right w:val="nil"/>
            </w:tcBorders>
            <w:shd w:val="clear" w:color="auto" w:fill="auto"/>
            <w:noWrap/>
            <w:vAlign w:val="center"/>
          </w:tcPr>
          <w:p w14:paraId="302552BC" w14:textId="77777777" w:rsidR="009D1103" w:rsidRPr="006C023E" w:rsidRDefault="009D1103" w:rsidP="008D10BD">
            <w:pPr>
              <w:pStyle w:val="HTMLPreformatted"/>
              <w:shd w:val="clear" w:color="auto" w:fill="FFFFFF"/>
              <w:wordWrap w:val="0"/>
              <w:rPr>
                <w:rFonts w:ascii="Times New Roman" w:hAnsi="Times New Roman" w:cs="Times New Roman"/>
                <w:sz w:val="24"/>
                <w:szCs w:val="24"/>
              </w:rPr>
            </w:pPr>
            <w:r w:rsidRPr="006C023E">
              <w:rPr>
                <w:rStyle w:val="gd15mcfceub"/>
                <w:rFonts w:ascii="Times New Roman" w:hAnsi="Times New Roman" w:cs="Times New Roman"/>
                <w:sz w:val="24"/>
                <w:szCs w:val="24"/>
                <w:bdr w:val="none" w:sz="0" w:space="0" w:color="auto" w:frame="1"/>
              </w:rPr>
              <w:t>0.076</w:t>
            </w:r>
          </w:p>
        </w:tc>
        <w:tc>
          <w:tcPr>
            <w:tcW w:w="851" w:type="dxa"/>
            <w:tcBorders>
              <w:top w:val="nil"/>
              <w:left w:val="nil"/>
              <w:bottom w:val="nil"/>
              <w:right w:val="nil"/>
            </w:tcBorders>
            <w:shd w:val="clear" w:color="auto" w:fill="auto"/>
            <w:noWrap/>
            <w:vAlign w:val="center"/>
          </w:tcPr>
          <w:p w14:paraId="22E3CF04" w14:textId="77777777" w:rsidR="009D1103" w:rsidRPr="006C023E" w:rsidRDefault="009D1103" w:rsidP="008D10BD">
            <w:pPr>
              <w:pStyle w:val="HTMLPreformatted"/>
              <w:shd w:val="clear" w:color="auto" w:fill="FFFFFF"/>
              <w:wordWrap w:val="0"/>
              <w:rPr>
                <w:rFonts w:ascii="Times New Roman" w:hAnsi="Times New Roman" w:cs="Times New Roman"/>
                <w:b/>
                <w:bCs/>
                <w:sz w:val="24"/>
                <w:szCs w:val="24"/>
              </w:rPr>
            </w:pPr>
            <w:r w:rsidRPr="006C023E">
              <w:rPr>
                <w:rFonts w:ascii="Times New Roman" w:hAnsi="Times New Roman" w:cs="Times New Roman"/>
                <w:b/>
                <w:bCs/>
                <w:sz w:val="24"/>
                <w:szCs w:val="24"/>
              </w:rPr>
              <w:t>&lt;.001</w:t>
            </w:r>
          </w:p>
        </w:tc>
        <w:tc>
          <w:tcPr>
            <w:tcW w:w="425" w:type="dxa"/>
            <w:tcBorders>
              <w:top w:val="nil"/>
              <w:left w:val="nil"/>
              <w:bottom w:val="nil"/>
              <w:right w:val="nil"/>
            </w:tcBorders>
            <w:shd w:val="clear" w:color="auto" w:fill="auto"/>
            <w:noWrap/>
            <w:vAlign w:val="center"/>
          </w:tcPr>
          <w:p w14:paraId="18898254" w14:textId="77777777" w:rsidR="009D1103" w:rsidRPr="006C023E" w:rsidRDefault="009D1103" w:rsidP="008D10BD">
            <w:pPr>
              <w:spacing w:after="0" w:line="240" w:lineRule="auto"/>
              <w:rPr>
                <w:rFonts w:ascii="Times New Roman" w:eastAsia="Times New Roman" w:hAnsi="Times New Roman" w:cs="Times New Roman"/>
                <w:b/>
                <w:bCs/>
                <w:sz w:val="24"/>
                <w:szCs w:val="24"/>
                <w:lang w:val="fi-FI" w:eastAsia="fi-FI"/>
              </w:rPr>
            </w:pPr>
          </w:p>
        </w:tc>
        <w:tc>
          <w:tcPr>
            <w:tcW w:w="992" w:type="dxa"/>
            <w:tcBorders>
              <w:top w:val="nil"/>
              <w:left w:val="nil"/>
              <w:bottom w:val="nil"/>
              <w:right w:val="nil"/>
            </w:tcBorders>
            <w:shd w:val="clear" w:color="auto" w:fill="auto"/>
            <w:noWrap/>
            <w:vAlign w:val="center"/>
          </w:tcPr>
          <w:p w14:paraId="6E599AFE" w14:textId="77777777" w:rsidR="009D1103" w:rsidRPr="006C023E" w:rsidRDefault="009D1103" w:rsidP="008D10BD">
            <w:pPr>
              <w:pStyle w:val="HTMLPreformatted"/>
              <w:shd w:val="clear" w:color="auto" w:fill="FFFFFF"/>
              <w:wordWrap w:val="0"/>
              <w:rPr>
                <w:rFonts w:ascii="Times New Roman" w:hAnsi="Times New Roman" w:cs="Times New Roman"/>
                <w:sz w:val="24"/>
                <w:szCs w:val="24"/>
              </w:rPr>
            </w:pPr>
            <w:r w:rsidRPr="006C023E">
              <w:rPr>
                <w:rStyle w:val="gd15mcfceub"/>
                <w:rFonts w:ascii="Times New Roman" w:hAnsi="Times New Roman" w:cs="Times New Roman"/>
                <w:sz w:val="24"/>
                <w:szCs w:val="24"/>
                <w:bdr w:val="none" w:sz="0" w:space="0" w:color="auto" w:frame="1"/>
              </w:rPr>
              <w:t>0.008</w:t>
            </w:r>
          </w:p>
        </w:tc>
        <w:tc>
          <w:tcPr>
            <w:tcW w:w="680" w:type="dxa"/>
            <w:tcBorders>
              <w:top w:val="nil"/>
              <w:left w:val="nil"/>
              <w:bottom w:val="nil"/>
              <w:right w:val="nil"/>
            </w:tcBorders>
            <w:shd w:val="clear" w:color="auto" w:fill="auto"/>
            <w:noWrap/>
            <w:vAlign w:val="center"/>
          </w:tcPr>
          <w:p w14:paraId="7E9BF13D" w14:textId="77777777" w:rsidR="009D1103" w:rsidRPr="006C023E" w:rsidRDefault="009D1103" w:rsidP="008D10BD">
            <w:pPr>
              <w:pStyle w:val="HTMLPreformatted"/>
              <w:shd w:val="clear" w:color="auto" w:fill="FFFFFF"/>
              <w:wordWrap w:val="0"/>
              <w:rPr>
                <w:rFonts w:ascii="Times New Roman" w:hAnsi="Times New Roman" w:cs="Times New Roman"/>
                <w:sz w:val="24"/>
                <w:szCs w:val="24"/>
              </w:rPr>
            </w:pPr>
            <w:r w:rsidRPr="006C023E">
              <w:rPr>
                <w:rStyle w:val="gd15mcfceub"/>
                <w:rFonts w:ascii="Times New Roman" w:hAnsi="Times New Roman" w:cs="Times New Roman"/>
                <w:sz w:val="24"/>
                <w:szCs w:val="24"/>
                <w:bdr w:val="none" w:sz="0" w:space="0" w:color="auto" w:frame="1"/>
              </w:rPr>
              <w:t>0.048</w:t>
            </w:r>
          </w:p>
        </w:tc>
        <w:tc>
          <w:tcPr>
            <w:tcW w:w="680" w:type="dxa"/>
            <w:tcBorders>
              <w:top w:val="nil"/>
              <w:left w:val="nil"/>
              <w:bottom w:val="nil"/>
              <w:right w:val="nil"/>
            </w:tcBorders>
            <w:shd w:val="clear" w:color="auto" w:fill="auto"/>
            <w:noWrap/>
            <w:vAlign w:val="center"/>
          </w:tcPr>
          <w:p w14:paraId="3F82B1D0" w14:textId="77777777" w:rsidR="009D1103" w:rsidRPr="006C023E" w:rsidRDefault="009D1103" w:rsidP="008D10BD">
            <w:pPr>
              <w:pStyle w:val="HTMLPreformatted"/>
              <w:shd w:val="clear" w:color="auto" w:fill="FFFFFF"/>
              <w:wordWrap w:val="0"/>
              <w:rPr>
                <w:rFonts w:ascii="Times New Roman" w:hAnsi="Times New Roman" w:cs="Times New Roman"/>
                <w:sz w:val="24"/>
                <w:szCs w:val="24"/>
              </w:rPr>
            </w:pPr>
            <w:r w:rsidRPr="006C023E">
              <w:rPr>
                <w:rStyle w:val="gd15mcfceub"/>
                <w:rFonts w:ascii="Times New Roman" w:hAnsi="Times New Roman" w:cs="Times New Roman"/>
                <w:sz w:val="24"/>
                <w:szCs w:val="24"/>
                <w:bdr w:val="none" w:sz="0" w:space="0" w:color="auto" w:frame="1"/>
              </w:rPr>
              <w:t>0.868</w:t>
            </w:r>
          </w:p>
        </w:tc>
      </w:tr>
      <w:tr w:rsidR="002B1ABD" w:rsidRPr="006C023E" w14:paraId="3596BA5E" w14:textId="77777777" w:rsidTr="009B66A5">
        <w:trPr>
          <w:trHeight w:val="310"/>
        </w:trPr>
        <w:tc>
          <w:tcPr>
            <w:tcW w:w="960" w:type="dxa"/>
            <w:tcBorders>
              <w:top w:val="nil"/>
              <w:left w:val="nil"/>
              <w:bottom w:val="nil"/>
              <w:right w:val="nil"/>
            </w:tcBorders>
            <w:shd w:val="clear" w:color="auto" w:fill="auto"/>
            <w:noWrap/>
            <w:vAlign w:val="center"/>
            <w:hideMark/>
          </w:tcPr>
          <w:p w14:paraId="6B6FD31B"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3151" w:type="dxa"/>
            <w:tcBorders>
              <w:top w:val="nil"/>
              <w:left w:val="nil"/>
              <w:bottom w:val="nil"/>
              <w:right w:val="nil"/>
            </w:tcBorders>
            <w:shd w:val="clear" w:color="auto" w:fill="auto"/>
            <w:noWrap/>
            <w:vAlign w:val="center"/>
            <w:hideMark/>
          </w:tcPr>
          <w:p w14:paraId="3C02A586"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1134" w:type="dxa"/>
            <w:tcBorders>
              <w:top w:val="nil"/>
              <w:left w:val="nil"/>
              <w:bottom w:val="nil"/>
              <w:right w:val="nil"/>
            </w:tcBorders>
            <w:shd w:val="clear" w:color="auto" w:fill="auto"/>
            <w:noWrap/>
            <w:vAlign w:val="center"/>
            <w:hideMark/>
          </w:tcPr>
          <w:p w14:paraId="4C94E31D"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992" w:type="dxa"/>
            <w:tcBorders>
              <w:top w:val="nil"/>
              <w:left w:val="nil"/>
              <w:bottom w:val="nil"/>
              <w:right w:val="nil"/>
            </w:tcBorders>
            <w:shd w:val="clear" w:color="auto" w:fill="auto"/>
            <w:noWrap/>
            <w:vAlign w:val="center"/>
            <w:hideMark/>
          </w:tcPr>
          <w:p w14:paraId="06D9BCC9"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851" w:type="dxa"/>
            <w:tcBorders>
              <w:top w:val="nil"/>
              <w:left w:val="nil"/>
              <w:bottom w:val="nil"/>
              <w:right w:val="nil"/>
            </w:tcBorders>
            <w:shd w:val="clear" w:color="auto" w:fill="auto"/>
            <w:noWrap/>
            <w:vAlign w:val="center"/>
            <w:hideMark/>
          </w:tcPr>
          <w:p w14:paraId="6A2C180D"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425" w:type="dxa"/>
            <w:tcBorders>
              <w:top w:val="nil"/>
              <w:left w:val="nil"/>
              <w:bottom w:val="nil"/>
              <w:right w:val="nil"/>
            </w:tcBorders>
            <w:shd w:val="clear" w:color="auto" w:fill="auto"/>
            <w:noWrap/>
            <w:vAlign w:val="center"/>
            <w:hideMark/>
          </w:tcPr>
          <w:p w14:paraId="38A38AEE"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992" w:type="dxa"/>
            <w:tcBorders>
              <w:top w:val="nil"/>
              <w:left w:val="nil"/>
              <w:bottom w:val="nil"/>
              <w:right w:val="nil"/>
            </w:tcBorders>
            <w:shd w:val="clear" w:color="auto" w:fill="auto"/>
            <w:noWrap/>
            <w:vAlign w:val="center"/>
            <w:hideMark/>
          </w:tcPr>
          <w:p w14:paraId="7515AEFD"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680" w:type="dxa"/>
            <w:tcBorders>
              <w:top w:val="nil"/>
              <w:left w:val="nil"/>
              <w:bottom w:val="nil"/>
              <w:right w:val="nil"/>
            </w:tcBorders>
            <w:shd w:val="clear" w:color="auto" w:fill="auto"/>
            <w:noWrap/>
            <w:vAlign w:val="center"/>
            <w:hideMark/>
          </w:tcPr>
          <w:p w14:paraId="5BE71AA4"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680" w:type="dxa"/>
            <w:tcBorders>
              <w:top w:val="nil"/>
              <w:left w:val="nil"/>
              <w:bottom w:val="nil"/>
              <w:right w:val="nil"/>
            </w:tcBorders>
            <w:shd w:val="clear" w:color="auto" w:fill="auto"/>
            <w:noWrap/>
            <w:vAlign w:val="center"/>
            <w:hideMark/>
          </w:tcPr>
          <w:p w14:paraId="4BF5F3CC"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r>
      <w:tr w:rsidR="002B1ABD" w:rsidRPr="006C023E" w14:paraId="46B8966C" w14:textId="77777777" w:rsidTr="009B66A5">
        <w:trPr>
          <w:trHeight w:val="310"/>
        </w:trPr>
        <w:tc>
          <w:tcPr>
            <w:tcW w:w="960" w:type="dxa"/>
            <w:tcBorders>
              <w:top w:val="nil"/>
              <w:left w:val="nil"/>
              <w:bottom w:val="nil"/>
              <w:right w:val="nil"/>
            </w:tcBorders>
            <w:shd w:val="clear" w:color="auto" w:fill="auto"/>
            <w:noWrap/>
            <w:vAlign w:val="center"/>
            <w:hideMark/>
          </w:tcPr>
          <w:p w14:paraId="72787925" w14:textId="77777777" w:rsidR="009D1103" w:rsidRPr="006C023E" w:rsidRDefault="009D1103" w:rsidP="008D10BD">
            <w:pPr>
              <w:spacing w:after="0" w:line="240" w:lineRule="auto"/>
              <w:rPr>
                <w:rFonts w:ascii="Times New Roman" w:eastAsia="Times New Roman" w:hAnsi="Times New Roman" w:cs="Times New Roman"/>
                <w:i/>
                <w:iCs/>
                <w:sz w:val="24"/>
                <w:szCs w:val="24"/>
                <w:lang w:val="fi-FI" w:eastAsia="fi-FI"/>
              </w:rPr>
            </w:pPr>
            <w:r w:rsidRPr="006C023E">
              <w:rPr>
                <w:rFonts w:ascii="Times New Roman" w:eastAsia="Times New Roman" w:hAnsi="Times New Roman" w:cs="Times New Roman"/>
                <w:i/>
                <w:iCs/>
                <w:sz w:val="24"/>
                <w:szCs w:val="24"/>
                <w:lang w:eastAsia="fi-FI"/>
              </w:rPr>
              <w:t>Model 2</w:t>
            </w:r>
          </w:p>
        </w:tc>
        <w:tc>
          <w:tcPr>
            <w:tcW w:w="8905" w:type="dxa"/>
            <w:gridSpan w:val="8"/>
            <w:tcBorders>
              <w:top w:val="nil"/>
              <w:left w:val="nil"/>
              <w:bottom w:val="nil"/>
              <w:right w:val="nil"/>
            </w:tcBorders>
            <w:shd w:val="clear" w:color="auto" w:fill="auto"/>
            <w:noWrap/>
            <w:vAlign w:val="center"/>
            <w:hideMark/>
          </w:tcPr>
          <w:p w14:paraId="12CC67D8" w14:textId="77777777" w:rsidR="009D1103" w:rsidRPr="006C023E" w:rsidRDefault="009D1103" w:rsidP="008D10BD">
            <w:pPr>
              <w:spacing w:after="0" w:line="240" w:lineRule="auto"/>
              <w:rPr>
                <w:rFonts w:ascii="Times New Roman" w:eastAsia="Times New Roman" w:hAnsi="Times New Roman" w:cs="Times New Roman"/>
                <w:sz w:val="24"/>
                <w:szCs w:val="24"/>
                <w:lang w:eastAsia="fi-FI"/>
              </w:rPr>
            </w:pPr>
            <w:r w:rsidRPr="006C023E">
              <w:rPr>
                <w:rFonts w:ascii="Times New Roman" w:eastAsia="Times New Roman" w:hAnsi="Times New Roman" w:cs="Times New Roman"/>
                <w:i/>
                <w:iCs/>
                <w:sz w:val="24"/>
                <w:szCs w:val="24"/>
                <w:lang w:eastAsia="fi-FI"/>
              </w:rPr>
              <w:t>Adding the effect of oxytocin and dopamine pathway genes, SNPs entered separately</w:t>
            </w:r>
          </w:p>
        </w:tc>
      </w:tr>
      <w:tr w:rsidR="002B1ABD" w:rsidRPr="006C023E" w14:paraId="3ACA81AF" w14:textId="77777777" w:rsidTr="009B66A5">
        <w:trPr>
          <w:trHeight w:val="310"/>
        </w:trPr>
        <w:tc>
          <w:tcPr>
            <w:tcW w:w="960" w:type="dxa"/>
            <w:tcBorders>
              <w:top w:val="nil"/>
              <w:left w:val="nil"/>
              <w:bottom w:val="nil"/>
              <w:right w:val="nil"/>
            </w:tcBorders>
            <w:shd w:val="clear" w:color="auto" w:fill="auto"/>
            <w:noWrap/>
            <w:vAlign w:val="center"/>
            <w:hideMark/>
          </w:tcPr>
          <w:p w14:paraId="326F759E" w14:textId="77777777" w:rsidR="009D1103" w:rsidRPr="006C023E" w:rsidRDefault="009D1103" w:rsidP="008D10BD">
            <w:pPr>
              <w:spacing w:after="0" w:line="240" w:lineRule="auto"/>
              <w:rPr>
                <w:rFonts w:ascii="Times New Roman" w:eastAsia="Times New Roman" w:hAnsi="Times New Roman" w:cs="Times New Roman"/>
                <w:sz w:val="24"/>
                <w:szCs w:val="24"/>
                <w:lang w:eastAsia="fi-FI"/>
              </w:rPr>
            </w:pPr>
            <w:r w:rsidRPr="006C023E">
              <w:rPr>
                <w:rFonts w:ascii="Times New Roman" w:eastAsia="Times New Roman" w:hAnsi="Times New Roman" w:cs="Times New Roman"/>
                <w:sz w:val="24"/>
                <w:szCs w:val="24"/>
                <w:lang w:eastAsia="fi-FI"/>
              </w:rPr>
              <w:t>a)</w:t>
            </w:r>
          </w:p>
        </w:tc>
        <w:tc>
          <w:tcPr>
            <w:tcW w:w="3151" w:type="dxa"/>
            <w:tcBorders>
              <w:top w:val="nil"/>
              <w:left w:val="nil"/>
              <w:bottom w:val="nil"/>
              <w:right w:val="nil"/>
            </w:tcBorders>
            <w:shd w:val="clear" w:color="auto" w:fill="auto"/>
            <w:noWrap/>
            <w:vAlign w:val="center"/>
            <w:hideMark/>
          </w:tcPr>
          <w:p w14:paraId="78FFF3B4"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rs2268498 C</w:t>
            </w:r>
            <w:r w:rsidRPr="006C023E">
              <w:rPr>
                <w:rFonts w:ascii="Times New Roman" w:eastAsia="Times New Roman" w:hAnsi="Times New Roman" w:cs="Times New Roman"/>
                <w:sz w:val="24"/>
                <w:szCs w:val="24"/>
                <w:lang w:val="fi-FI" w:eastAsia="fi-FI"/>
              </w:rPr>
              <w:sym w:font="Wingdings" w:char="F0E0"/>
            </w:r>
            <w:r w:rsidRPr="006C023E">
              <w:rPr>
                <w:rFonts w:ascii="Times New Roman" w:eastAsia="Times New Roman" w:hAnsi="Times New Roman" w:cs="Times New Roman"/>
                <w:sz w:val="24"/>
                <w:szCs w:val="24"/>
                <w:lang w:val="fi-FI" w:eastAsia="fi-FI"/>
              </w:rPr>
              <w:t>T (OXTR)</w:t>
            </w:r>
          </w:p>
        </w:tc>
        <w:tc>
          <w:tcPr>
            <w:tcW w:w="1134" w:type="dxa"/>
            <w:tcBorders>
              <w:top w:val="nil"/>
              <w:left w:val="nil"/>
              <w:bottom w:val="nil"/>
              <w:right w:val="nil"/>
            </w:tcBorders>
            <w:shd w:val="clear" w:color="auto" w:fill="auto"/>
            <w:noWrap/>
            <w:vAlign w:val="center"/>
          </w:tcPr>
          <w:p w14:paraId="0E354145"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-0.005    </w:t>
            </w:r>
          </w:p>
        </w:tc>
        <w:tc>
          <w:tcPr>
            <w:tcW w:w="992" w:type="dxa"/>
            <w:tcBorders>
              <w:top w:val="nil"/>
              <w:left w:val="nil"/>
              <w:bottom w:val="nil"/>
              <w:right w:val="nil"/>
            </w:tcBorders>
            <w:shd w:val="clear" w:color="auto" w:fill="auto"/>
            <w:noWrap/>
            <w:vAlign w:val="center"/>
          </w:tcPr>
          <w:p w14:paraId="2C15B7BA"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0.034      </w:t>
            </w:r>
          </w:p>
        </w:tc>
        <w:tc>
          <w:tcPr>
            <w:tcW w:w="851" w:type="dxa"/>
            <w:tcBorders>
              <w:top w:val="nil"/>
              <w:left w:val="nil"/>
              <w:bottom w:val="nil"/>
              <w:right w:val="nil"/>
            </w:tcBorders>
            <w:shd w:val="clear" w:color="auto" w:fill="auto"/>
            <w:noWrap/>
            <w:vAlign w:val="center"/>
          </w:tcPr>
          <w:p w14:paraId="5836353B"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.879</w:t>
            </w:r>
          </w:p>
        </w:tc>
        <w:tc>
          <w:tcPr>
            <w:tcW w:w="425" w:type="dxa"/>
            <w:tcBorders>
              <w:top w:val="nil"/>
              <w:left w:val="nil"/>
              <w:bottom w:val="nil"/>
              <w:right w:val="nil"/>
            </w:tcBorders>
            <w:shd w:val="clear" w:color="auto" w:fill="auto"/>
            <w:noWrap/>
            <w:vAlign w:val="center"/>
          </w:tcPr>
          <w:p w14:paraId="32A51065"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992" w:type="dxa"/>
            <w:tcBorders>
              <w:top w:val="nil"/>
              <w:left w:val="nil"/>
              <w:bottom w:val="nil"/>
              <w:right w:val="nil"/>
            </w:tcBorders>
            <w:shd w:val="clear" w:color="auto" w:fill="auto"/>
            <w:noWrap/>
            <w:vAlign w:val="center"/>
          </w:tcPr>
          <w:p w14:paraId="0172C51E"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0.007    </w:t>
            </w:r>
          </w:p>
        </w:tc>
        <w:tc>
          <w:tcPr>
            <w:tcW w:w="680" w:type="dxa"/>
            <w:tcBorders>
              <w:top w:val="nil"/>
              <w:left w:val="nil"/>
              <w:bottom w:val="nil"/>
              <w:right w:val="nil"/>
            </w:tcBorders>
            <w:shd w:val="clear" w:color="auto" w:fill="auto"/>
            <w:noWrap/>
            <w:vAlign w:val="center"/>
          </w:tcPr>
          <w:p w14:paraId="2B00BBE2"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0.021    </w:t>
            </w:r>
          </w:p>
        </w:tc>
        <w:tc>
          <w:tcPr>
            <w:tcW w:w="680" w:type="dxa"/>
            <w:tcBorders>
              <w:top w:val="nil"/>
              <w:left w:val="nil"/>
              <w:bottom w:val="nil"/>
              <w:right w:val="nil"/>
            </w:tcBorders>
            <w:shd w:val="clear" w:color="auto" w:fill="auto"/>
            <w:noWrap/>
            <w:vAlign w:val="center"/>
          </w:tcPr>
          <w:p w14:paraId="5634987B"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.729</w:t>
            </w:r>
          </w:p>
        </w:tc>
      </w:tr>
      <w:tr w:rsidR="002B1ABD" w:rsidRPr="006C023E" w14:paraId="7CCDDD7F" w14:textId="77777777" w:rsidTr="009B66A5">
        <w:trPr>
          <w:trHeight w:val="310"/>
        </w:trPr>
        <w:tc>
          <w:tcPr>
            <w:tcW w:w="960" w:type="dxa"/>
            <w:tcBorders>
              <w:top w:val="nil"/>
              <w:left w:val="nil"/>
              <w:bottom w:val="nil"/>
              <w:right w:val="nil"/>
            </w:tcBorders>
            <w:shd w:val="clear" w:color="auto" w:fill="auto"/>
            <w:noWrap/>
            <w:vAlign w:val="center"/>
            <w:hideMark/>
          </w:tcPr>
          <w:p w14:paraId="05DDF463"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b)</w:t>
            </w:r>
          </w:p>
        </w:tc>
        <w:tc>
          <w:tcPr>
            <w:tcW w:w="3151" w:type="dxa"/>
            <w:tcBorders>
              <w:top w:val="nil"/>
              <w:left w:val="nil"/>
              <w:bottom w:val="nil"/>
              <w:right w:val="nil"/>
            </w:tcBorders>
            <w:shd w:val="clear" w:color="auto" w:fill="auto"/>
            <w:noWrap/>
            <w:vAlign w:val="center"/>
            <w:hideMark/>
          </w:tcPr>
          <w:p w14:paraId="2EF53D54"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rs3796863 C</w:t>
            </w:r>
            <w:r w:rsidRPr="006C023E">
              <w:rPr>
                <w:rFonts w:ascii="Times New Roman" w:eastAsia="Times New Roman" w:hAnsi="Times New Roman" w:cs="Times New Roman"/>
                <w:sz w:val="24"/>
                <w:szCs w:val="24"/>
                <w:lang w:val="fi-FI" w:eastAsia="fi-FI"/>
              </w:rPr>
              <w:sym w:font="Wingdings" w:char="F0E0"/>
            </w:r>
            <w:r w:rsidRPr="006C023E">
              <w:rPr>
                <w:rFonts w:ascii="Times New Roman" w:eastAsia="Times New Roman" w:hAnsi="Times New Roman" w:cs="Times New Roman"/>
                <w:sz w:val="24"/>
                <w:szCs w:val="24"/>
                <w:lang w:val="fi-FI" w:eastAsia="fi-FI"/>
              </w:rPr>
              <w:t>A (CD38)</w:t>
            </w:r>
          </w:p>
        </w:tc>
        <w:tc>
          <w:tcPr>
            <w:tcW w:w="1134" w:type="dxa"/>
            <w:tcBorders>
              <w:top w:val="nil"/>
              <w:left w:val="nil"/>
              <w:bottom w:val="nil"/>
              <w:right w:val="nil"/>
            </w:tcBorders>
            <w:shd w:val="clear" w:color="auto" w:fill="auto"/>
            <w:noWrap/>
            <w:vAlign w:val="center"/>
          </w:tcPr>
          <w:p w14:paraId="113E7E4F"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0.001    </w:t>
            </w:r>
          </w:p>
        </w:tc>
        <w:tc>
          <w:tcPr>
            <w:tcW w:w="992" w:type="dxa"/>
            <w:tcBorders>
              <w:top w:val="nil"/>
              <w:left w:val="nil"/>
              <w:bottom w:val="nil"/>
              <w:right w:val="nil"/>
            </w:tcBorders>
            <w:shd w:val="clear" w:color="auto" w:fill="auto"/>
            <w:noWrap/>
            <w:vAlign w:val="center"/>
          </w:tcPr>
          <w:p w14:paraId="2580586B"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0.035     </w:t>
            </w:r>
          </w:p>
        </w:tc>
        <w:tc>
          <w:tcPr>
            <w:tcW w:w="851" w:type="dxa"/>
            <w:tcBorders>
              <w:top w:val="nil"/>
              <w:left w:val="nil"/>
              <w:bottom w:val="nil"/>
              <w:right w:val="nil"/>
            </w:tcBorders>
            <w:shd w:val="clear" w:color="auto" w:fill="auto"/>
            <w:noWrap/>
            <w:vAlign w:val="center"/>
          </w:tcPr>
          <w:p w14:paraId="47CCD1CB"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.987</w:t>
            </w:r>
          </w:p>
        </w:tc>
        <w:tc>
          <w:tcPr>
            <w:tcW w:w="425" w:type="dxa"/>
            <w:tcBorders>
              <w:top w:val="nil"/>
              <w:left w:val="nil"/>
              <w:bottom w:val="nil"/>
              <w:right w:val="nil"/>
            </w:tcBorders>
            <w:shd w:val="clear" w:color="auto" w:fill="auto"/>
            <w:noWrap/>
            <w:vAlign w:val="center"/>
          </w:tcPr>
          <w:p w14:paraId="1799392E"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992" w:type="dxa"/>
            <w:tcBorders>
              <w:top w:val="nil"/>
              <w:left w:val="nil"/>
              <w:bottom w:val="nil"/>
              <w:right w:val="nil"/>
            </w:tcBorders>
            <w:shd w:val="clear" w:color="auto" w:fill="auto"/>
            <w:noWrap/>
            <w:vAlign w:val="center"/>
          </w:tcPr>
          <w:p w14:paraId="6C336AC8"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-0.018    </w:t>
            </w:r>
          </w:p>
        </w:tc>
        <w:tc>
          <w:tcPr>
            <w:tcW w:w="680" w:type="dxa"/>
            <w:tcBorders>
              <w:top w:val="nil"/>
              <w:left w:val="nil"/>
              <w:bottom w:val="nil"/>
              <w:right w:val="nil"/>
            </w:tcBorders>
            <w:shd w:val="clear" w:color="auto" w:fill="auto"/>
            <w:noWrap/>
            <w:vAlign w:val="center"/>
          </w:tcPr>
          <w:p w14:paraId="0B946907"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0.021  </w:t>
            </w:r>
          </w:p>
        </w:tc>
        <w:tc>
          <w:tcPr>
            <w:tcW w:w="680" w:type="dxa"/>
            <w:tcBorders>
              <w:top w:val="nil"/>
              <w:left w:val="nil"/>
              <w:bottom w:val="nil"/>
              <w:right w:val="nil"/>
            </w:tcBorders>
            <w:shd w:val="clear" w:color="auto" w:fill="auto"/>
            <w:noWrap/>
            <w:vAlign w:val="center"/>
          </w:tcPr>
          <w:p w14:paraId="578DFA72"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.396</w:t>
            </w:r>
          </w:p>
        </w:tc>
      </w:tr>
      <w:tr w:rsidR="002B1ABD" w:rsidRPr="006C023E" w14:paraId="4CE484DA" w14:textId="77777777" w:rsidTr="009B66A5">
        <w:trPr>
          <w:trHeight w:val="310"/>
        </w:trPr>
        <w:tc>
          <w:tcPr>
            <w:tcW w:w="960" w:type="dxa"/>
            <w:tcBorders>
              <w:top w:val="nil"/>
              <w:left w:val="nil"/>
              <w:bottom w:val="nil"/>
              <w:right w:val="nil"/>
            </w:tcBorders>
            <w:shd w:val="clear" w:color="auto" w:fill="auto"/>
            <w:noWrap/>
            <w:vAlign w:val="center"/>
            <w:hideMark/>
          </w:tcPr>
          <w:p w14:paraId="00B75B89"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c)</w:t>
            </w:r>
          </w:p>
        </w:tc>
        <w:tc>
          <w:tcPr>
            <w:tcW w:w="3151" w:type="dxa"/>
            <w:tcBorders>
              <w:top w:val="nil"/>
              <w:left w:val="nil"/>
              <w:bottom w:val="nil"/>
              <w:right w:val="nil"/>
            </w:tcBorders>
            <w:shd w:val="clear" w:color="auto" w:fill="auto"/>
            <w:noWrap/>
            <w:vAlign w:val="center"/>
            <w:hideMark/>
          </w:tcPr>
          <w:p w14:paraId="153F36C4"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rs1800497 C </w:t>
            </w:r>
            <w:r w:rsidRPr="006C023E">
              <w:rPr>
                <w:rFonts w:ascii="Times New Roman" w:eastAsia="Times New Roman" w:hAnsi="Times New Roman" w:cs="Times New Roman"/>
                <w:sz w:val="24"/>
                <w:szCs w:val="24"/>
                <w:lang w:val="fi-FI" w:eastAsia="fi-FI"/>
              </w:rPr>
              <w:sym w:font="Wingdings" w:char="F0E0"/>
            </w:r>
            <w:r w:rsidRPr="006C023E">
              <w:rPr>
                <w:rFonts w:ascii="Times New Roman" w:eastAsia="Times New Roman" w:hAnsi="Times New Roman" w:cs="Times New Roman"/>
                <w:sz w:val="24"/>
                <w:szCs w:val="24"/>
                <w:lang w:val="fi-FI" w:eastAsia="fi-FI"/>
              </w:rPr>
              <w:t xml:space="preserve"> T (ANKK1)</w:t>
            </w:r>
          </w:p>
        </w:tc>
        <w:tc>
          <w:tcPr>
            <w:tcW w:w="1134" w:type="dxa"/>
            <w:tcBorders>
              <w:top w:val="nil"/>
              <w:left w:val="nil"/>
              <w:bottom w:val="nil"/>
              <w:right w:val="nil"/>
            </w:tcBorders>
            <w:shd w:val="clear" w:color="auto" w:fill="auto"/>
            <w:noWrap/>
            <w:vAlign w:val="center"/>
          </w:tcPr>
          <w:p w14:paraId="3524C62F"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0.041    </w:t>
            </w:r>
          </w:p>
        </w:tc>
        <w:tc>
          <w:tcPr>
            <w:tcW w:w="992" w:type="dxa"/>
            <w:tcBorders>
              <w:top w:val="nil"/>
              <w:left w:val="nil"/>
              <w:bottom w:val="nil"/>
              <w:right w:val="nil"/>
            </w:tcBorders>
            <w:shd w:val="clear" w:color="auto" w:fill="auto"/>
            <w:noWrap/>
            <w:vAlign w:val="center"/>
          </w:tcPr>
          <w:p w14:paraId="5ED3DB44"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0.041    </w:t>
            </w:r>
          </w:p>
        </w:tc>
        <w:tc>
          <w:tcPr>
            <w:tcW w:w="851" w:type="dxa"/>
            <w:tcBorders>
              <w:top w:val="nil"/>
              <w:left w:val="nil"/>
              <w:bottom w:val="nil"/>
              <w:right w:val="nil"/>
            </w:tcBorders>
            <w:shd w:val="clear" w:color="auto" w:fill="auto"/>
            <w:noWrap/>
            <w:vAlign w:val="center"/>
          </w:tcPr>
          <w:p w14:paraId="008FAE44"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.315</w:t>
            </w:r>
          </w:p>
        </w:tc>
        <w:tc>
          <w:tcPr>
            <w:tcW w:w="425" w:type="dxa"/>
            <w:tcBorders>
              <w:top w:val="nil"/>
              <w:left w:val="nil"/>
              <w:bottom w:val="nil"/>
              <w:right w:val="nil"/>
            </w:tcBorders>
            <w:shd w:val="clear" w:color="auto" w:fill="auto"/>
            <w:noWrap/>
            <w:vAlign w:val="center"/>
          </w:tcPr>
          <w:p w14:paraId="231D0760"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992" w:type="dxa"/>
            <w:tcBorders>
              <w:top w:val="nil"/>
              <w:left w:val="nil"/>
              <w:bottom w:val="nil"/>
              <w:right w:val="nil"/>
            </w:tcBorders>
            <w:shd w:val="clear" w:color="auto" w:fill="auto"/>
            <w:noWrap/>
            <w:vAlign w:val="center"/>
          </w:tcPr>
          <w:p w14:paraId="2BB0A8D9"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-0.009    </w:t>
            </w:r>
          </w:p>
        </w:tc>
        <w:tc>
          <w:tcPr>
            <w:tcW w:w="680" w:type="dxa"/>
            <w:tcBorders>
              <w:top w:val="nil"/>
              <w:left w:val="nil"/>
              <w:bottom w:val="nil"/>
              <w:right w:val="nil"/>
            </w:tcBorders>
            <w:shd w:val="clear" w:color="auto" w:fill="auto"/>
            <w:noWrap/>
            <w:vAlign w:val="center"/>
          </w:tcPr>
          <w:p w14:paraId="334A49F0"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0.025   </w:t>
            </w:r>
          </w:p>
        </w:tc>
        <w:tc>
          <w:tcPr>
            <w:tcW w:w="680" w:type="dxa"/>
            <w:tcBorders>
              <w:top w:val="nil"/>
              <w:left w:val="nil"/>
              <w:bottom w:val="nil"/>
              <w:right w:val="nil"/>
            </w:tcBorders>
            <w:shd w:val="clear" w:color="auto" w:fill="auto"/>
            <w:noWrap/>
            <w:vAlign w:val="center"/>
          </w:tcPr>
          <w:p w14:paraId="440347C1"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.704</w:t>
            </w:r>
          </w:p>
        </w:tc>
      </w:tr>
      <w:tr w:rsidR="002B1ABD" w:rsidRPr="006C023E" w14:paraId="17177B1C" w14:textId="77777777" w:rsidTr="009B66A5">
        <w:trPr>
          <w:trHeight w:val="310"/>
        </w:trPr>
        <w:tc>
          <w:tcPr>
            <w:tcW w:w="960" w:type="dxa"/>
            <w:tcBorders>
              <w:top w:val="nil"/>
              <w:left w:val="nil"/>
              <w:bottom w:val="nil"/>
              <w:right w:val="nil"/>
            </w:tcBorders>
            <w:shd w:val="clear" w:color="auto" w:fill="auto"/>
            <w:noWrap/>
            <w:vAlign w:val="center"/>
            <w:hideMark/>
          </w:tcPr>
          <w:p w14:paraId="75C97728"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d)</w:t>
            </w:r>
          </w:p>
        </w:tc>
        <w:tc>
          <w:tcPr>
            <w:tcW w:w="3151" w:type="dxa"/>
            <w:tcBorders>
              <w:top w:val="nil"/>
              <w:left w:val="nil"/>
              <w:bottom w:val="nil"/>
              <w:right w:val="nil"/>
            </w:tcBorders>
            <w:shd w:val="clear" w:color="auto" w:fill="auto"/>
            <w:noWrap/>
            <w:vAlign w:val="center"/>
            <w:hideMark/>
          </w:tcPr>
          <w:p w14:paraId="4CED432D"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rs4680 A </w:t>
            </w:r>
            <w:r w:rsidRPr="006C023E">
              <w:rPr>
                <w:rFonts w:ascii="Times New Roman" w:eastAsia="Times New Roman" w:hAnsi="Times New Roman" w:cs="Times New Roman"/>
                <w:sz w:val="24"/>
                <w:szCs w:val="24"/>
                <w:lang w:val="fi-FI" w:eastAsia="fi-FI"/>
              </w:rPr>
              <w:sym w:font="Wingdings" w:char="F0E0"/>
            </w:r>
            <w:r w:rsidRPr="006C023E">
              <w:rPr>
                <w:rFonts w:ascii="Times New Roman" w:eastAsia="Times New Roman" w:hAnsi="Times New Roman" w:cs="Times New Roman"/>
                <w:sz w:val="24"/>
                <w:szCs w:val="24"/>
                <w:lang w:val="fi-FI" w:eastAsia="fi-FI"/>
              </w:rPr>
              <w:t xml:space="preserve"> G (COMT)</w:t>
            </w:r>
          </w:p>
        </w:tc>
        <w:tc>
          <w:tcPr>
            <w:tcW w:w="1134" w:type="dxa"/>
            <w:tcBorders>
              <w:top w:val="nil"/>
              <w:left w:val="nil"/>
              <w:bottom w:val="nil"/>
              <w:right w:val="nil"/>
            </w:tcBorders>
            <w:shd w:val="clear" w:color="auto" w:fill="auto"/>
            <w:noWrap/>
            <w:vAlign w:val="center"/>
          </w:tcPr>
          <w:p w14:paraId="4536E2C0"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0.022    </w:t>
            </w:r>
          </w:p>
        </w:tc>
        <w:tc>
          <w:tcPr>
            <w:tcW w:w="992" w:type="dxa"/>
            <w:tcBorders>
              <w:top w:val="nil"/>
              <w:left w:val="nil"/>
              <w:bottom w:val="nil"/>
              <w:right w:val="nil"/>
            </w:tcBorders>
            <w:shd w:val="clear" w:color="auto" w:fill="auto"/>
            <w:noWrap/>
            <w:vAlign w:val="center"/>
          </w:tcPr>
          <w:p w14:paraId="65A5AB93"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0.034     </w:t>
            </w:r>
          </w:p>
        </w:tc>
        <w:tc>
          <w:tcPr>
            <w:tcW w:w="851" w:type="dxa"/>
            <w:tcBorders>
              <w:top w:val="nil"/>
              <w:left w:val="nil"/>
              <w:bottom w:val="nil"/>
              <w:right w:val="nil"/>
            </w:tcBorders>
            <w:shd w:val="clear" w:color="auto" w:fill="auto"/>
            <w:noWrap/>
            <w:vAlign w:val="center"/>
          </w:tcPr>
          <w:p w14:paraId="1FB41FB7"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.516</w:t>
            </w:r>
          </w:p>
        </w:tc>
        <w:tc>
          <w:tcPr>
            <w:tcW w:w="425" w:type="dxa"/>
            <w:tcBorders>
              <w:top w:val="nil"/>
              <w:left w:val="nil"/>
              <w:bottom w:val="nil"/>
              <w:right w:val="nil"/>
            </w:tcBorders>
            <w:shd w:val="clear" w:color="auto" w:fill="auto"/>
            <w:noWrap/>
            <w:vAlign w:val="center"/>
          </w:tcPr>
          <w:p w14:paraId="5C3165E1"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992" w:type="dxa"/>
            <w:tcBorders>
              <w:top w:val="nil"/>
              <w:left w:val="nil"/>
              <w:bottom w:val="nil"/>
              <w:right w:val="nil"/>
            </w:tcBorders>
            <w:shd w:val="clear" w:color="auto" w:fill="auto"/>
            <w:noWrap/>
            <w:vAlign w:val="center"/>
          </w:tcPr>
          <w:p w14:paraId="6E1E3DA1"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-0.016    </w:t>
            </w:r>
          </w:p>
        </w:tc>
        <w:tc>
          <w:tcPr>
            <w:tcW w:w="680" w:type="dxa"/>
            <w:tcBorders>
              <w:top w:val="nil"/>
              <w:left w:val="nil"/>
              <w:bottom w:val="nil"/>
              <w:right w:val="nil"/>
            </w:tcBorders>
            <w:shd w:val="clear" w:color="auto" w:fill="auto"/>
            <w:noWrap/>
            <w:vAlign w:val="center"/>
          </w:tcPr>
          <w:p w14:paraId="192F41FA"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0.021   </w:t>
            </w:r>
          </w:p>
        </w:tc>
        <w:tc>
          <w:tcPr>
            <w:tcW w:w="680" w:type="dxa"/>
            <w:tcBorders>
              <w:top w:val="nil"/>
              <w:left w:val="nil"/>
              <w:bottom w:val="nil"/>
              <w:right w:val="nil"/>
            </w:tcBorders>
            <w:shd w:val="clear" w:color="auto" w:fill="auto"/>
            <w:noWrap/>
            <w:vAlign w:val="center"/>
          </w:tcPr>
          <w:p w14:paraId="4502CA4B"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.445</w:t>
            </w:r>
          </w:p>
        </w:tc>
      </w:tr>
      <w:tr w:rsidR="002B1ABD" w:rsidRPr="006C023E" w14:paraId="235336F4" w14:textId="77777777" w:rsidTr="009B66A5">
        <w:trPr>
          <w:trHeight w:val="310"/>
        </w:trPr>
        <w:tc>
          <w:tcPr>
            <w:tcW w:w="960" w:type="dxa"/>
            <w:tcBorders>
              <w:top w:val="nil"/>
              <w:left w:val="nil"/>
              <w:bottom w:val="nil"/>
              <w:right w:val="nil"/>
            </w:tcBorders>
            <w:shd w:val="clear" w:color="auto" w:fill="auto"/>
            <w:noWrap/>
            <w:vAlign w:val="center"/>
            <w:hideMark/>
          </w:tcPr>
          <w:p w14:paraId="7ADAAF2B"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e)</w:t>
            </w:r>
          </w:p>
        </w:tc>
        <w:tc>
          <w:tcPr>
            <w:tcW w:w="3151" w:type="dxa"/>
            <w:tcBorders>
              <w:top w:val="nil"/>
              <w:left w:val="nil"/>
              <w:bottom w:val="nil"/>
              <w:right w:val="nil"/>
            </w:tcBorders>
            <w:shd w:val="clear" w:color="auto" w:fill="auto"/>
            <w:noWrap/>
            <w:vAlign w:val="center"/>
            <w:hideMark/>
          </w:tcPr>
          <w:p w14:paraId="327F0832"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rs1611115 T</w:t>
            </w:r>
            <w:r w:rsidRPr="006C023E">
              <w:rPr>
                <w:rFonts w:ascii="Times New Roman" w:eastAsia="Times New Roman" w:hAnsi="Times New Roman" w:cs="Times New Roman"/>
                <w:sz w:val="24"/>
                <w:szCs w:val="24"/>
                <w:lang w:val="fi-FI" w:eastAsia="fi-FI"/>
              </w:rPr>
              <w:sym w:font="Wingdings" w:char="F0E0"/>
            </w:r>
            <w:r w:rsidRPr="006C023E">
              <w:rPr>
                <w:rFonts w:ascii="Times New Roman" w:eastAsia="Times New Roman" w:hAnsi="Times New Roman" w:cs="Times New Roman"/>
                <w:sz w:val="24"/>
                <w:szCs w:val="24"/>
                <w:lang w:val="fi-FI" w:eastAsia="fi-FI"/>
              </w:rPr>
              <w:t>C (DBH)</w:t>
            </w:r>
          </w:p>
        </w:tc>
        <w:tc>
          <w:tcPr>
            <w:tcW w:w="1134" w:type="dxa"/>
            <w:tcBorders>
              <w:top w:val="nil"/>
              <w:left w:val="nil"/>
              <w:bottom w:val="nil"/>
              <w:right w:val="nil"/>
            </w:tcBorders>
            <w:shd w:val="clear" w:color="auto" w:fill="auto"/>
            <w:noWrap/>
            <w:vAlign w:val="center"/>
          </w:tcPr>
          <w:p w14:paraId="4E6A3E81"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-0.039    </w:t>
            </w:r>
          </w:p>
        </w:tc>
        <w:tc>
          <w:tcPr>
            <w:tcW w:w="992" w:type="dxa"/>
            <w:tcBorders>
              <w:top w:val="nil"/>
              <w:left w:val="nil"/>
              <w:bottom w:val="nil"/>
              <w:right w:val="nil"/>
            </w:tcBorders>
            <w:shd w:val="clear" w:color="auto" w:fill="auto"/>
            <w:noWrap/>
            <w:vAlign w:val="center"/>
          </w:tcPr>
          <w:p w14:paraId="5CECBA9F"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0.044   </w:t>
            </w:r>
          </w:p>
        </w:tc>
        <w:tc>
          <w:tcPr>
            <w:tcW w:w="851" w:type="dxa"/>
            <w:tcBorders>
              <w:top w:val="nil"/>
              <w:left w:val="nil"/>
              <w:bottom w:val="nil"/>
              <w:right w:val="nil"/>
            </w:tcBorders>
            <w:shd w:val="clear" w:color="auto" w:fill="auto"/>
            <w:noWrap/>
            <w:vAlign w:val="center"/>
          </w:tcPr>
          <w:p w14:paraId="00C044DA"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.374</w:t>
            </w:r>
          </w:p>
        </w:tc>
        <w:tc>
          <w:tcPr>
            <w:tcW w:w="425" w:type="dxa"/>
            <w:tcBorders>
              <w:top w:val="nil"/>
              <w:left w:val="nil"/>
              <w:bottom w:val="nil"/>
              <w:right w:val="nil"/>
            </w:tcBorders>
            <w:shd w:val="clear" w:color="auto" w:fill="auto"/>
            <w:noWrap/>
            <w:vAlign w:val="center"/>
          </w:tcPr>
          <w:p w14:paraId="6B1DFF90"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992" w:type="dxa"/>
            <w:tcBorders>
              <w:top w:val="nil"/>
              <w:left w:val="nil"/>
              <w:bottom w:val="nil"/>
              <w:right w:val="nil"/>
            </w:tcBorders>
            <w:shd w:val="clear" w:color="auto" w:fill="auto"/>
            <w:noWrap/>
            <w:vAlign w:val="center"/>
          </w:tcPr>
          <w:p w14:paraId="78E22322"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0.059    </w:t>
            </w:r>
          </w:p>
        </w:tc>
        <w:tc>
          <w:tcPr>
            <w:tcW w:w="680" w:type="dxa"/>
            <w:tcBorders>
              <w:top w:val="nil"/>
              <w:left w:val="nil"/>
              <w:bottom w:val="nil"/>
              <w:right w:val="nil"/>
            </w:tcBorders>
            <w:shd w:val="clear" w:color="auto" w:fill="auto"/>
            <w:noWrap/>
            <w:vAlign w:val="center"/>
          </w:tcPr>
          <w:p w14:paraId="166AC36B"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0.027    </w:t>
            </w:r>
          </w:p>
        </w:tc>
        <w:tc>
          <w:tcPr>
            <w:tcW w:w="680" w:type="dxa"/>
            <w:tcBorders>
              <w:top w:val="nil"/>
              <w:left w:val="nil"/>
              <w:bottom w:val="nil"/>
              <w:right w:val="nil"/>
            </w:tcBorders>
            <w:shd w:val="clear" w:color="auto" w:fill="auto"/>
            <w:noWrap/>
            <w:vAlign w:val="center"/>
          </w:tcPr>
          <w:p w14:paraId="18D7A149" w14:textId="77777777" w:rsidR="009D1103" w:rsidRPr="006C023E" w:rsidRDefault="009D1103" w:rsidP="008D10BD">
            <w:pPr>
              <w:spacing w:after="0" w:line="240" w:lineRule="auto"/>
              <w:rPr>
                <w:rFonts w:ascii="Times New Roman" w:eastAsia="Times New Roman" w:hAnsi="Times New Roman" w:cs="Times New Roman"/>
                <w:b/>
                <w:bCs/>
                <w:sz w:val="24"/>
                <w:szCs w:val="24"/>
                <w:lang w:val="fi-FI" w:eastAsia="fi-FI"/>
              </w:rPr>
            </w:pPr>
            <w:r w:rsidRPr="006C023E">
              <w:rPr>
                <w:rFonts w:ascii="Times New Roman" w:eastAsia="Times New Roman" w:hAnsi="Times New Roman" w:cs="Times New Roman"/>
                <w:b/>
                <w:bCs/>
                <w:sz w:val="24"/>
                <w:szCs w:val="24"/>
                <w:lang w:val="fi-FI" w:eastAsia="fi-FI"/>
              </w:rPr>
              <w:t>.029</w:t>
            </w:r>
          </w:p>
        </w:tc>
      </w:tr>
      <w:tr w:rsidR="002B1ABD" w:rsidRPr="006C023E" w14:paraId="003ABF3B" w14:textId="77777777" w:rsidTr="009B66A5">
        <w:trPr>
          <w:trHeight w:val="310"/>
        </w:trPr>
        <w:tc>
          <w:tcPr>
            <w:tcW w:w="960" w:type="dxa"/>
            <w:tcBorders>
              <w:top w:val="nil"/>
              <w:left w:val="nil"/>
              <w:bottom w:val="nil"/>
              <w:right w:val="nil"/>
            </w:tcBorders>
            <w:shd w:val="clear" w:color="auto" w:fill="auto"/>
            <w:noWrap/>
            <w:vAlign w:val="center"/>
            <w:hideMark/>
          </w:tcPr>
          <w:p w14:paraId="4A6FE26A"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f)</w:t>
            </w:r>
          </w:p>
        </w:tc>
        <w:tc>
          <w:tcPr>
            <w:tcW w:w="3151" w:type="dxa"/>
            <w:tcBorders>
              <w:top w:val="nil"/>
              <w:left w:val="nil"/>
              <w:bottom w:val="nil"/>
              <w:right w:val="nil"/>
            </w:tcBorders>
            <w:shd w:val="clear" w:color="auto" w:fill="auto"/>
            <w:noWrap/>
            <w:vAlign w:val="center"/>
            <w:hideMark/>
          </w:tcPr>
          <w:p w14:paraId="414DEA0E"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eastAsia="ar-SA"/>
              </w:rPr>
              <w:t>low oxytocin genetic profile</w:t>
            </w:r>
          </w:p>
        </w:tc>
        <w:tc>
          <w:tcPr>
            <w:tcW w:w="1134" w:type="dxa"/>
            <w:tcBorders>
              <w:top w:val="nil"/>
              <w:left w:val="nil"/>
              <w:bottom w:val="nil"/>
              <w:right w:val="nil"/>
            </w:tcBorders>
            <w:shd w:val="clear" w:color="auto" w:fill="auto"/>
            <w:noWrap/>
            <w:vAlign w:val="center"/>
          </w:tcPr>
          <w:p w14:paraId="6518E3FD"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-0.002    </w:t>
            </w:r>
          </w:p>
        </w:tc>
        <w:tc>
          <w:tcPr>
            <w:tcW w:w="992" w:type="dxa"/>
            <w:tcBorders>
              <w:top w:val="nil"/>
              <w:left w:val="nil"/>
              <w:bottom w:val="nil"/>
              <w:right w:val="nil"/>
            </w:tcBorders>
            <w:shd w:val="clear" w:color="auto" w:fill="auto"/>
            <w:noWrap/>
            <w:vAlign w:val="center"/>
          </w:tcPr>
          <w:p w14:paraId="06EF5700"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0.024   </w:t>
            </w:r>
          </w:p>
        </w:tc>
        <w:tc>
          <w:tcPr>
            <w:tcW w:w="851" w:type="dxa"/>
            <w:tcBorders>
              <w:top w:val="nil"/>
              <w:left w:val="nil"/>
              <w:bottom w:val="nil"/>
              <w:right w:val="nil"/>
            </w:tcBorders>
            <w:shd w:val="clear" w:color="auto" w:fill="auto"/>
            <w:noWrap/>
            <w:vAlign w:val="center"/>
          </w:tcPr>
          <w:p w14:paraId="26E958AB"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.921</w:t>
            </w:r>
          </w:p>
        </w:tc>
        <w:tc>
          <w:tcPr>
            <w:tcW w:w="425" w:type="dxa"/>
            <w:tcBorders>
              <w:top w:val="nil"/>
              <w:left w:val="nil"/>
              <w:bottom w:val="nil"/>
              <w:right w:val="nil"/>
            </w:tcBorders>
            <w:shd w:val="clear" w:color="auto" w:fill="auto"/>
            <w:noWrap/>
            <w:vAlign w:val="center"/>
          </w:tcPr>
          <w:p w14:paraId="60FB5E67"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992" w:type="dxa"/>
            <w:tcBorders>
              <w:top w:val="nil"/>
              <w:left w:val="nil"/>
              <w:bottom w:val="nil"/>
              <w:right w:val="nil"/>
            </w:tcBorders>
            <w:shd w:val="clear" w:color="auto" w:fill="auto"/>
            <w:noWrap/>
            <w:vAlign w:val="center"/>
          </w:tcPr>
          <w:p w14:paraId="26617DCC"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-0.005    </w:t>
            </w:r>
          </w:p>
        </w:tc>
        <w:tc>
          <w:tcPr>
            <w:tcW w:w="680" w:type="dxa"/>
            <w:tcBorders>
              <w:top w:val="nil"/>
              <w:left w:val="nil"/>
              <w:bottom w:val="nil"/>
              <w:right w:val="nil"/>
            </w:tcBorders>
            <w:shd w:val="clear" w:color="auto" w:fill="auto"/>
            <w:noWrap/>
            <w:vAlign w:val="center"/>
          </w:tcPr>
          <w:p w14:paraId="0523AF90"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0.015   </w:t>
            </w:r>
          </w:p>
        </w:tc>
        <w:tc>
          <w:tcPr>
            <w:tcW w:w="680" w:type="dxa"/>
            <w:tcBorders>
              <w:top w:val="nil"/>
              <w:left w:val="nil"/>
              <w:bottom w:val="nil"/>
              <w:right w:val="nil"/>
            </w:tcBorders>
            <w:shd w:val="clear" w:color="auto" w:fill="auto"/>
            <w:noWrap/>
            <w:vAlign w:val="center"/>
          </w:tcPr>
          <w:p w14:paraId="4512E07C"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.733</w:t>
            </w:r>
          </w:p>
        </w:tc>
      </w:tr>
      <w:tr w:rsidR="002B1ABD" w:rsidRPr="006C023E" w14:paraId="2DC1BCE4" w14:textId="77777777" w:rsidTr="009B66A5">
        <w:trPr>
          <w:trHeight w:val="310"/>
        </w:trPr>
        <w:tc>
          <w:tcPr>
            <w:tcW w:w="960" w:type="dxa"/>
            <w:tcBorders>
              <w:top w:val="nil"/>
              <w:left w:val="nil"/>
              <w:bottom w:val="nil"/>
              <w:right w:val="nil"/>
            </w:tcBorders>
            <w:shd w:val="clear" w:color="auto" w:fill="auto"/>
            <w:noWrap/>
            <w:vAlign w:val="center"/>
          </w:tcPr>
          <w:p w14:paraId="68C6E72A"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g)</w:t>
            </w:r>
          </w:p>
        </w:tc>
        <w:tc>
          <w:tcPr>
            <w:tcW w:w="3151" w:type="dxa"/>
            <w:tcBorders>
              <w:top w:val="nil"/>
              <w:left w:val="nil"/>
              <w:bottom w:val="nil"/>
              <w:right w:val="nil"/>
            </w:tcBorders>
            <w:shd w:val="clear" w:color="auto" w:fill="auto"/>
            <w:noWrap/>
            <w:vAlign w:val="center"/>
          </w:tcPr>
          <w:p w14:paraId="319F20F5"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eastAsia="ar-SA"/>
              </w:rPr>
              <w:t>high dopamine genetic profile</w:t>
            </w:r>
          </w:p>
        </w:tc>
        <w:tc>
          <w:tcPr>
            <w:tcW w:w="1134" w:type="dxa"/>
            <w:tcBorders>
              <w:top w:val="nil"/>
              <w:left w:val="nil"/>
              <w:bottom w:val="nil"/>
              <w:right w:val="nil"/>
            </w:tcBorders>
            <w:shd w:val="clear" w:color="auto" w:fill="auto"/>
            <w:noWrap/>
            <w:vAlign w:val="center"/>
          </w:tcPr>
          <w:p w14:paraId="40C0320B"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0.012    </w:t>
            </w:r>
          </w:p>
        </w:tc>
        <w:tc>
          <w:tcPr>
            <w:tcW w:w="992" w:type="dxa"/>
            <w:tcBorders>
              <w:top w:val="nil"/>
              <w:left w:val="nil"/>
              <w:bottom w:val="nil"/>
              <w:right w:val="nil"/>
            </w:tcBorders>
            <w:shd w:val="clear" w:color="auto" w:fill="auto"/>
            <w:noWrap/>
            <w:vAlign w:val="center"/>
          </w:tcPr>
          <w:p w14:paraId="284C9E13"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0.023    </w:t>
            </w:r>
          </w:p>
        </w:tc>
        <w:tc>
          <w:tcPr>
            <w:tcW w:w="851" w:type="dxa"/>
            <w:tcBorders>
              <w:top w:val="nil"/>
              <w:left w:val="nil"/>
              <w:bottom w:val="nil"/>
              <w:right w:val="nil"/>
            </w:tcBorders>
            <w:shd w:val="clear" w:color="auto" w:fill="auto"/>
            <w:noWrap/>
            <w:vAlign w:val="center"/>
          </w:tcPr>
          <w:p w14:paraId="1E58FCB8"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.592</w:t>
            </w:r>
          </w:p>
        </w:tc>
        <w:tc>
          <w:tcPr>
            <w:tcW w:w="425" w:type="dxa"/>
            <w:tcBorders>
              <w:top w:val="nil"/>
              <w:left w:val="nil"/>
              <w:bottom w:val="nil"/>
              <w:right w:val="nil"/>
            </w:tcBorders>
            <w:shd w:val="clear" w:color="auto" w:fill="auto"/>
            <w:noWrap/>
            <w:vAlign w:val="center"/>
          </w:tcPr>
          <w:p w14:paraId="56E3F310"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992" w:type="dxa"/>
            <w:tcBorders>
              <w:top w:val="nil"/>
              <w:left w:val="nil"/>
              <w:bottom w:val="nil"/>
              <w:right w:val="nil"/>
            </w:tcBorders>
            <w:shd w:val="clear" w:color="auto" w:fill="auto"/>
            <w:noWrap/>
            <w:vAlign w:val="center"/>
          </w:tcPr>
          <w:p w14:paraId="01F08CF3"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0.006    </w:t>
            </w:r>
          </w:p>
        </w:tc>
        <w:tc>
          <w:tcPr>
            <w:tcW w:w="680" w:type="dxa"/>
            <w:tcBorders>
              <w:top w:val="nil"/>
              <w:left w:val="nil"/>
              <w:bottom w:val="nil"/>
              <w:right w:val="nil"/>
            </w:tcBorders>
            <w:shd w:val="clear" w:color="auto" w:fill="auto"/>
            <w:noWrap/>
            <w:vAlign w:val="center"/>
          </w:tcPr>
          <w:p w14:paraId="045BFB7B"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0.014    </w:t>
            </w:r>
          </w:p>
        </w:tc>
        <w:tc>
          <w:tcPr>
            <w:tcW w:w="680" w:type="dxa"/>
            <w:tcBorders>
              <w:top w:val="nil"/>
              <w:left w:val="nil"/>
              <w:bottom w:val="nil"/>
              <w:right w:val="nil"/>
            </w:tcBorders>
            <w:shd w:val="clear" w:color="auto" w:fill="auto"/>
            <w:noWrap/>
            <w:vAlign w:val="center"/>
          </w:tcPr>
          <w:p w14:paraId="57CB4FD0"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.691</w:t>
            </w:r>
          </w:p>
        </w:tc>
      </w:tr>
      <w:tr w:rsidR="002B1ABD" w:rsidRPr="006C023E" w14:paraId="084FCD77" w14:textId="77777777" w:rsidTr="009B66A5">
        <w:trPr>
          <w:trHeight w:val="310"/>
        </w:trPr>
        <w:tc>
          <w:tcPr>
            <w:tcW w:w="960" w:type="dxa"/>
            <w:tcBorders>
              <w:top w:val="nil"/>
              <w:left w:val="nil"/>
              <w:bottom w:val="nil"/>
              <w:right w:val="nil"/>
            </w:tcBorders>
            <w:shd w:val="clear" w:color="auto" w:fill="auto"/>
            <w:noWrap/>
            <w:vAlign w:val="center"/>
          </w:tcPr>
          <w:p w14:paraId="7C783551"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3151" w:type="dxa"/>
            <w:tcBorders>
              <w:top w:val="nil"/>
              <w:left w:val="nil"/>
              <w:bottom w:val="nil"/>
              <w:right w:val="nil"/>
            </w:tcBorders>
            <w:shd w:val="clear" w:color="auto" w:fill="auto"/>
            <w:noWrap/>
            <w:vAlign w:val="center"/>
          </w:tcPr>
          <w:p w14:paraId="2AA25100"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1134" w:type="dxa"/>
            <w:tcBorders>
              <w:top w:val="nil"/>
              <w:left w:val="nil"/>
              <w:bottom w:val="nil"/>
              <w:right w:val="nil"/>
            </w:tcBorders>
            <w:shd w:val="clear" w:color="auto" w:fill="auto"/>
            <w:noWrap/>
            <w:vAlign w:val="center"/>
          </w:tcPr>
          <w:p w14:paraId="300A281F"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992" w:type="dxa"/>
            <w:tcBorders>
              <w:top w:val="nil"/>
              <w:left w:val="nil"/>
              <w:bottom w:val="nil"/>
              <w:right w:val="nil"/>
            </w:tcBorders>
            <w:shd w:val="clear" w:color="auto" w:fill="auto"/>
            <w:noWrap/>
            <w:vAlign w:val="center"/>
          </w:tcPr>
          <w:p w14:paraId="10B1ECCE"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851" w:type="dxa"/>
            <w:tcBorders>
              <w:top w:val="nil"/>
              <w:left w:val="nil"/>
              <w:bottom w:val="nil"/>
              <w:right w:val="nil"/>
            </w:tcBorders>
            <w:shd w:val="clear" w:color="auto" w:fill="auto"/>
            <w:noWrap/>
            <w:vAlign w:val="center"/>
          </w:tcPr>
          <w:p w14:paraId="14D64F83"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425" w:type="dxa"/>
            <w:tcBorders>
              <w:top w:val="nil"/>
              <w:left w:val="nil"/>
              <w:bottom w:val="nil"/>
              <w:right w:val="nil"/>
            </w:tcBorders>
            <w:shd w:val="clear" w:color="auto" w:fill="auto"/>
            <w:noWrap/>
            <w:vAlign w:val="center"/>
          </w:tcPr>
          <w:p w14:paraId="7CB522A9"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992" w:type="dxa"/>
            <w:tcBorders>
              <w:top w:val="nil"/>
              <w:left w:val="nil"/>
              <w:bottom w:val="nil"/>
              <w:right w:val="nil"/>
            </w:tcBorders>
            <w:shd w:val="clear" w:color="auto" w:fill="auto"/>
            <w:noWrap/>
            <w:vAlign w:val="center"/>
          </w:tcPr>
          <w:p w14:paraId="4BFFB7F0"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680" w:type="dxa"/>
            <w:tcBorders>
              <w:top w:val="nil"/>
              <w:left w:val="nil"/>
              <w:bottom w:val="nil"/>
              <w:right w:val="nil"/>
            </w:tcBorders>
            <w:shd w:val="clear" w:color="auto" w:fill="auto"/>
            <w:noWrap/>
            <w:vAlign w:val="center"/>
          </w:tcPr>
          <w:p w14:paraId="2C40467C"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680" w:type="dxa"/>
            <w:tcBorders>
              <w:top w:val="nil"/>
              <w:left w:val="nil"/>
              <w:bottom w:val="nil"/>
              <w:right w:val="nil"/>
            </w:tcBorders>
            <w:shd w:val="clear" w:color="auto" w:fill="auto"/>
            <w:noWrap/>
            <w:vAlign w:val="center"/>
          </w:tcPr>
          <w:p w14:paraId="38DCC3C9"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r>
      <w:tr w:rsidR="002B1ABD" w:rsidRPr="006C023E" w14:paraId="12EA247D" w14:textId="77777777" w:rsidTr="009B66A5">
        <w:trPr>
          <w:trHeight w:val="310"/>
        </w:trPr>
        <w:tc>
          <w:tcPr>
            <w:tcW w:w="960" w:type="dxa"/>
            <w:tcBorders>
              <w:top w:val="nil"/>
              <w:left w:val="nil"/>
              <w:bottom w:val="nil"/>
              <w:right w:val="nil"/>
            </w:tcBorders>
            <w:shd w:val="clear" w:color="auto" w:fill="auto"/>
            <w:noWrap/>
            <w:vAlign w:val="center"/>
            <w:hideMark/>
          </w:tcPr>
          <w:p w14:paraId="788A00BB" w14:textId="77777777" w:rsidR="009D1103" w:rsidRPr="006C023E" w:rsidRDefault="009D1103" w:rsidP="008D10BD">
            <w:pPr>
              <w:spacing w:after="0" w:line="240" w:lineRule="auto"/>
              <w:rPr>
                <w:rFonts w:ascii="Times New Roman" w:eastAsia="Times New Roman" w:hAnsi="Times New Roman" w:cs="Times New Roman"/>
                <w:i/>
                <w:sz w:val="24"/>
                <w:szCs w:val="24"/>
                <w:lang w:val="fi-FI" w:eastAsia="fi-FI"/>
              </w:rPr>
            </w:pPr>
            <w:r w:rsidRPr="006C023E">
              <w:rPr>
                <w:rFonts w:ascii="Times New Roman" w:eastAsia="Times New Roman" w:hAnsi="Times New Roman" w:cs="Times New Roman"/>
                <w:i/>
                <w:sz w:val="24"/>
                <w:szCs w:val="24"/>
                <w:lang w:val="fi-FI" w:eastAsia="fi-FI"/>
              </w:rPr>
              <w:t>Model 3</w:t>
            </w:r>
          </w:p>
        </w:tc>
        <w:tc>
          <w:tcPr>
            <w:tcW w:w="8905" w:type="dxa"/>
            <w:gridSpan w:val="8"/>
            <w:tcBorders>
              <w:top w:val="nil"/>
              <w:left w:val="nil"/>
              <w:bottom w:val="nil"/>
            </w:tcBorders>
            <w:shd w:val="clear" w:color="auto" w:fill="auto"/>
            <w:noWrap/>
            <w:vAlign w:val="center"/>
            <w:hideMark/>
          </w:tcPr>
          <w:p w14:paraId="614AF01B" w14:textId="77777777" w:rsidR="009D1103" w:rsidRPr="006C023E" w:rsidRDefault="009D1103" w:rsidP="008D10BD">
            <w:pPr>
              <w:spacing w:after="0" w:line="240" w:lineRule="auto"/>
              <w:rPr>
                <w:rFonts w:ascii="Times New Roman" w:eastAsia="Times New Roman" w:hAnsi="Times New Roman" w:cs="Times New Roman"/>
                <w:i/>
                <w:sz w:val="24"/>
                <w:szCs w:val="24"/>
                <w:lang w:val="fi-FI" w:eastAsia="fi-FI"/>
              </w:rPr>
            </w:pPr>
            <w:r w:rsidRPr="006C023E">
              <w:rPr>
                <w:rFonts w:ascii="Times New Roman" w:eastAsia="Times New Roman" w:hAnsi="Times New Roman" w:cs="Times New Roman"/>
                <w:i/>
                <w:sz w:val="24"/>
                <w:szCs w:val="24"/>
                <w:lang w:val="fi-FI" w:eastAsia="fi-FI"/>
              </w:rPr>
              <w:t>Women</w:t>
            </w:r>
          </w:p>
        </w:tc>
      </w:tr>
      <w:tr w:rsidR="002B1ABD" w:rsidRPr="006C023E" w14:paraId="040668ED" w14:textId="77777777" w:rsidTr="009B66A5">
        <w:trPr>
          <w:trHeight w:val="310"/>
        </w:trPr>
        <w:tc>
          <w:tcPr>
            <w:tcW w:w="960" w:type="dxa"/>
            <w:tcBorders>
              <w:top w:val="nil"/>
              <w:left w:val="nil"/>
              <w:bottom w:val="nil"/>
              <w:right w:val="nil"/>
            </w:tcBorders>
            <w:shd w:val="clear" w:color="auto" w:fill="auto"/>
            <w:noWrap/>
            <w:vAlign w:val="center"/>
            <w:hideMark/>
          </w:tcPr>
          <w:p w14:paraId="3B86795F"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eastAsia="fi-FI"/>
              </w:rPr>
              <w:t>a)</w:t>
            </w:r>
          </w:p>
        </w:tc>
        <w:tc>
          <w:tcPr>
            <w:tcW w:w="3151" w:type="dxa"/>
            <w:tcBorders>
              <w:top w:val="nil"/>
              <w:left w:val="nil"/>
              <w:bottom w:val="nil"/>
              <w:right w:val="nil"/>
            </w:tcBorders>
            <w:shd w:val="clear" w:color="auto" w:fill="auto"/>
            <w:noWrap/>
            <w:vAlign w:val="center"/>
            <w:hideMark/>
          </w:tcPr>
          <w:p w14:paraId="30EB0090"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rs2268498 C</w:t>
            </w:r>
            <w:r w:rsidRPr="006C023E">
              <w:rPr>
                <w:rFonts w:ascii="Times New Roman" w:eastAsia="Times New Roman" w:hAnsi="Times New Roman" w:cs="Times New Roman"/>
                <w:sz w:val="24"/>
                <w:szCs w:val="24"/>
                <w:lang w:val="fi-FI" w:eastAsia="fi-FI"/>
              </w:rPr>
              <w:sym w:font="Wingdings" w:char="F0E0"/>
            </w:r>
            <w:r w:rsidRPr="006C023E">
              <w:rPr>
                <w:rFonts w:ascii="Times New Roman" w:eastAsia="Times New Roman" w:hAnsi="Times New Roman" w:cs="Times New Roman"/>
                <w:sz w:val="24"/>
                <w:szCs w:val="24"/>
                <w:lang w:val="fi-FI" w:eastAsia="fi-FI"/>
              </w:rPr>
              <w:t>T (OXTR)</w:t>
            </w:r>
          </w:p>
        </w:tc>
        <w:tc>
          <w:tcPr>
            <w:tcW w:w="1134" w:type="dxa"/>
            <w:tcBorders>
              <w:top w:val="nil"/>
              <w:left w:val="nil"/>
              <w:bottom w:val="nil"/>
              <w:right w:val="nil"/>
            </w:tcBorders>
            <w:shd w:val="clear" w:color="auto" w:fill="auto"/>
            <w:noWrap/>
            <w:vAlign w:val="center"/>
          </w:tcPr>
          <w:p w14:paraId="42815FFE"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-0.045    </w:t>
            </w:r>
          </w:p>
        </w:tc>
        <w:tc>
          <w:tcPr>
            <w:tcW w:w="992" w:type="dxa"/>
            <w:tcBorders>
              <w:top w:val="nil"/>
              <w:left w:val="nil"/>
              <w:bottom w:val="nil"/>
              <w:right w:val="nil"/>
            </w:tcBorders>
            <w:shd w:val="clear" w:color="auto" w:fill="auto"/>
            <w:noWrap/>
            <w:vAlign w:val="center"/>
          </w:tcPr>
          <w:p w14:paraId="784C5847"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0.046   </w:t>
            </w:r>
          </w:p>
        </w:tc>
        <w:tc>
          <w:tcPr>
            <w:tcW w:w="851" w:type="dxa"/>
            <w:tcBorders>
              <w:top w:val="nil"/>
              <w:left w:val="nil"/>
              <w:bottom w:val="nil"/>
              <w:right w:val="nil"/>
            </w:tcBorders>
            <w:shd w:val="clear" w:color="auto" w:fill="auto"/>
            <w:noWrap/>
            <w:vAlign w:val="center"/>
          </w:tcPr>
          <w:p w14:paraId="23E3A729"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.330</w:t>
            </w:r>
          </w:p>
        </w:tc>
        <w:tc>
          <w:tcPr>
            <w:tcW w:w="425" w:type="dxa"/>
            <w:tcBorders>
              <w:top w:val="nil"/>
              <w:left w:val="nil"/>
              <w:bottom w:val="nil"/>
              <w:right w:val="nil"/>
            </w:tcBorders>
            <w:shd w:val="clear" w:color="auto" w:fill="auto"/>
            <w:noWrap/>
            <w:vAlign w:val="center"/>
          </w:tcPr>
          <w:p w14:paraId="6F90A409"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992" w:type="dxa"/>
            <w:tcBorders>
              <w:top w:val="nil"/>
              <w:left w:val="nil"/>
              <w:bottom w:val="nil"/>
              <w:right w:val="nil"/>
            </w:tcBorders>
            <w:shd w:val="clear" w:color="auto" w:fill="auto"/>
            <w:noWrap/>
            <w:vAlign w:val="center"/>
          </w:tcPr>
          <w:p w14:paraId="1AF1ECCD"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0.031    </w:t>
            </w:r>
          </w:p>
        </w:tc>
        <w:tc>
          <w:tcPr>
            <w:tcW w:w="680" w:type="dxa"/>
            <w:tcBorders>
              <w:top w:val="nil"/>
              <w:left w:val="nil"/>
              <w:bottom w:val="nil"/>
              <w:right w:val="nil"/>
            </w:tcBorders>
            <w:shd w:val="clear" w:color="auto" w:fill="auto"/>
            <w:noWrap/>
            <w:vAlign w:val="center"/>
          </w:tcPr>
          <w:p w14:paraId="4E162DF1"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0.026     </w:t>
            </w:r>
          </w:p>
        </w:tc>
        <w:tc>
          <w:tcPr>
            <w:tcW w:w="680" w:type="dxa"/>
            <w:tcBorders>
              <w:top w:val="nil"/>
              <w:left w:val="nil"/>
              <w:bottom w:val="nil"/>
              <w:right w:val="nil"/>
            </w:tcBorders>
            <w:shd w:val="clear" w:color="auto" w:fill="auto"/>
            <w:noWrap/>
            <w:vAlign w:val="center"/>
          </w:tcPr>
          <w:p w14:paraId="43ED5C9A"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.229</w:t>
            </w:r>
          </w:p>
        </w:tc>
      </w:tr>
      <w:tr w:rsidR="002B1ABD" w:rsidRPr="006C023E" w14:paraId="7AA63476" w14:textId="77777777" w:rsidTr="009B66A5">
        <w:trPr>
          <w:trHeight w:val="310"/>
        </w:trPr>
        <w:tc>
          <w:tcPr>
            <w:tcW w:w="960" w:type="dxa"/>
            <w:tcBorders>
              <w:top w:val="nil"/>
              <w:left w:val="nil"/>
              <w:bottom w:val="nil"/>
              <w:right w:val="nil"/>
            </w:tcBorders>
            <w:shd w:val="clear" w:color="auto" w:fill="auto"/>
            <w:noWrap/>
            <w:vAlign w:val="center"/>
            <w:hideMark/>
          </w:tcPr>
          <w:p w14:paraId="04F3EB92"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b)</w:t>
            </w:r>
          </w:p>
        </w:tc>
        <w:tc>
          <w:tcPr>
            <w:tcW w:w="3151" w:type="dxa"/>
            <w:tcBorders>
              <w:top w:val="nil"/>
              <w:left w:val="nil"/>
              <w:bottom w:val="nil"/>
              <w:right w:val="nil"/>
            </w:tcBorders>
            <w:shd w:val="clear" w:color="auto" w:fill="auto"/>
            <w:noWrap/>
            <w:vAlign w:val="center"/>
            <w:hideMark/>
          </w:tcPr>
          <w:p w14:paraId="1CA0FE9B"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rs3796863 C</w:t>
            </w:r>
            <w:r w:rsidRPr="006C023E">
              <w:rPr>
                <w:rFonts w:ascii="Times New Roman" w:eastAsia="Times New Roman" w:hAnsi="Times New Roman" w:cs="Times New Roman"/>
                <w:sz w:val="24"/>
                <w:szCs w:val="24"/>
                <w:lang w:val="fi-FI" w:eastAsia="fi-FI"/>
              </w:rPr>
              <w:sym w:font="Wingdings" w:char="F0E0"/>
            </w:r>
            <w:r w:rsidRPr="006C023E">
              <w:rPr>
                <w:rFonts w:ascii="Times New Roman" w:eastAsia="Times New Roman" w:hAnsi="Times New Roman" w:cs="Times New Roman"/>
                <w:sz w:val="24"/>
                <w:szCs w:val="24"/>
                <w:lang w:val="fi-FI" w:eastAsia="fi-FI"/>
              </w:rPr>
              <w:t>A (CD38)</w:t>
            </w:r>
          </w:p>
        </w:tc>
        <w:tc>
          <w:tcPr>
            <w:tcW w:w="1134" w:type="dxa"/>
            <w:tcBorders>
              <w:top w:val="nil"/>
              <w:left w:val="nil"/>
              <w:bottom w:val="nil"/>
              <w:right w:val="nil"/>
            </w:tcBorders>
            <w:shd w:val="clear" w:color="auto" w:fill="auto"/>
            <w:noWrap/>
            <w:vAlign w:val="center"/>
          </w:tcPr>
          <w:p w14:paraId="67544D7C"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-0.008    </w:t>
            </w:r>
          </w:p>
        </w:tc>
        <w:tc>
          <w:tcPr>
            <w:tcW w:w="992" w:type="dxa"/>
            <w:tcBorders>
              <w:top w:val="nil"/>
              <w:left w:val="nil"/>
              <w:bottom w:val="nil"/>
              <w:right w:val="nil"/>
            </w:tcBorders>
            <w:shd w:val="clear" w:color="auto" w:fill="auto"/>
            <w:noWrap/>
            <w:vAlign w:val="center"/>
          </w:tcPr>
          <w:p w14:paraId="282D6B56"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0.045   </w:t>
            </w:r>
          </w:p>
        </w:tc>
        <w:tc>
          <w:tcPr>
            <w:tcW w:w="851" w:type="dxa"/>
            <w:tcBorders>
              <w:top w:val="nil"/>
              <w:left w:val="nil"/>
              <w:bottom w:val="nil"/>
              <w:right w:val="nil"/>
            </w:tcBorders>
            <w:shd w:val="clear" w:color="auto" w:fill="auto"/>
            <w:noWrap/>
            <w:vAlign w:val="center"/>
          </w:tcPr>
          <w:p w14:paraId="717B7B2F"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.866</w:t>
            </w:r>
          </w:p>
        </w:tc>
        <w:tc>
          <w:tcPr>
            <w:tcW w:w="425" w:type="dxa"/>
            <w:tcBorders>
              <w:top w:val="nil"/>
              <w:left w:val="nil"/>
              <w:bottom w:val="nil"/>
              <w:right w:val="nil"/>
            </w:tcBorders>
            <w:shd w:val="clear" w:color="auto" w:fill="auto"/>
            <w:noWrap/>
            <w:vAlign w:val="center"/>
          </w:tcPr>
          <w:p w14:paraId="2931BC14"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992" w:type="dxa"/>
            <w:tcBorders>
              <w:top w:val="nil"/>
              <w:left w:val="nil"/>
              <w:bottom w:val="nil"/>
              <w:right w:val="nil"/>
            </w:tcBorders>
            <w:shd w:val="clear" w:color="auto" w:fill="auto"/>
            <w:noWrap/>
            <w:vAlign w:val="center"/>
          </w:tcPr>
          <w:p w14:paraId="7409046F"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0.007    </w:t>
            </w:r>
          </w:p>
        </w:tc>
        <w:tc>
          <w:tcPr>
            <w:tcW w:w="680" w:type="dxa"/>
            <w:tcBorders>
              <w:top w:val="nil"/>
              <w:left w:val="nil"/>
              <w:bottom w:val="nil"/>
              <w:right w:val="nil"/>
            </w:tcBorders>
            <w:shd w:val="clear" w:color="auto" w:fill="auto"/>
            <w:noWrap/>
            <w:vAlign w:val="center"/>
          </w:tcPr>
          <w:p w14:paraId="18FC06DF"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0.026    </w:t>
            </w:r>
          </w:p>
        </w:tc>
        <w:tc>
          <w:tcPr>
            <w:tcW w:w="680" w:type="dxa"/>
            <w:tcBorders>
              <w:top w:val="nil"/>
              <w:left w:val="nil"/>
              <w:bottom w:val="nil"/>
              <w:right w:val="nil"/>
            </w:tcBorders>
            <w:shd w:val="clear" w:color="auto" w:fill="auto"/>
            <w:noWrap/>
            <w:vAlign w:val="center"/>
          </w:tcPr>
          <w:p w14:paraId="17A045E6"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.793</w:t>
            </w:r>
          </w:p>
        </w:tc>
      </w:tr>
      <w:tr w:rsidR="002B1ABD" w:rsidRPr="006C023E" w14:paraId="73A84A4B" w14:textId="77777777" w:rsidTr="009B66A5">
        <w:trPr>
          <w:trHeight w:val="310"/>
        </w:trPr>
        <w:tc>
          <w:tcPr>
            <w:tcW w:w="960" w:type="dxa"/>
            <w:tcBorders>
              <w:top w:val="nil"/>
              <w:left w:val="nil"/>
              <w:bottom w:val="nil"/>
              <w:right w:val="nil"/>
            </w:tcBorders>
            <w:shd w:val="clear" w:color="auto" w:fill="auto"/>
            <w:noWrap/>
            <w:vAlign w:val="center"/>
            <w:hideMark/>
          </w:tcPr>
          <w:p w14:paraId="55377DA4"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c)</w:t>
            </w:r>
          </w:p>
        </w:tc>
        <w:tc>
          <w:tcPr>
            <w:tcW w:w="3151" w:type="dxa"/>
            <w:tcBorders>
              <w:top w:val="nil"/>
              <w:left w:val="nil"/>
              <w:bottom w:val="nil"/>
              <w:right w:val="nil"/>
            </w:tcBorders>
            <w:shd w:val="clear" w:color="auto" w:fill="auto"/>
            <w:noWrap/>
            <w:vAlign w:val="center"/>
            <w:hideMark/>
          </w:tcPr>
          <w:p w14:paraId="4CDBD046"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rs1800497 C </w:t>
            </w:r>
            <w:r w:rsidRPr="006C023E">
              <w:rPr>
                <w:rFonts w:ascii="Times New Roman" w:eastAsia="Times New Roman" w:hAnsi="Times New Roman" w:cs="Times New Roman"/>
                <w:sz w:val="24"/>
                <w:szCs w:val="24"/>
                <w:lang w:val="fi-FI" w:eastAsia="fi-FI"/>
              </w:rPr>
              <w:sym w:font="Wingdings" w:char="F0E0"/>
            </w:r>
            <w:r w:rsidRPr="006C023E">
              <w:rPr>
                <w:rFonts w:ascii="Times New Roman" w:eastAsia="Times New Roman" w:hAnsi="Times New Roman" w:cs="Times New Roman"/>
                <w:sz w:val="24"/>
                <w:szCs w:val="24"/>
                <w:lang w:val="fi-FI" w:eastAsia="fi-FI"/>
              </w:rPr>
              <w:t xml:space="preserve"> T (ANKK1)</w:t>
            </w:r>
          </w:p>
        </w:tc>
        <w:tc>
          <w:tcPr>
            <w:tcW w:w="1134" w:type="dxa"/>
            <w:tcBorders>
              <w:top w:val="nil"/>
              <w:left w:val="nil"/>
              <w:bottom w:val="nil"/>
              <w:right w:val="nil"/>
            </w:tcBorders>
            <w:shd w:val="clear" w:color="auto" w:fill="auto"/>
            <w:noWrap/>
            <w:vAlign w:val="center"/>
          </w:tcPr>
          <w:p w14:paraId="27D1E326"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0.016    </w:t>
            </w:r>
          </w:p>
        </w:tc>
        <w:tc>
          <w:tcPr>
            <w:tcW w:w="992" w:type="dxa"/>
            <w:tcBorders>
              <w:top w:val="nil"/>
              <w:left w:val="nil"/>
              <w:bottom w:val="nil"/>
              <w:right w:val="nil"/>
            </w:tcBorders>
            <w:shd w:val="clear" w:color="auto" w:fill="auto"/>
            <w:noWrap/>
            <w:vAlign w:val="center"/>
          </w:tcPr>
          <w:p w14:paraId="3A03FADA"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0.054    </w:t>
            </w:r>
          </w:p>
        </w:tc>
        <w:tc>
          <w:tcPr>
            <w:tcW w:w="851" w:type="dxa"/>
            <w:tcBorders>
              <w:top w:val="nil"/>
              <w:left w:val="nil"/>
              <w:bottom w:val="nil"/>
              <w:right w:val="nil"/>
            </w:tcBorders>
            <w:shd w:val="clear" w:color="auto" w:fill="auto"/>
            <w:noWrap/>
            <w:vAlign w:val="center"/>
          </w:tcPr>
          <w:p w14:paraId="45BB5310"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.763</w:t>
            </w:r>
          </w:p>
        </w:tc>
        <w:tc>
          <w:tcPr>
            <w:tcW w:w="425" w:type="dxa"/>
            <w:tcBorders>
              <w:top w:val="nil"/>
              <w:left w:val="nil"/>
              <w:bottom w:val="nil"/>
              <w:right w:val="nil"/>
            </w:tcBorders>
            <w:shd w:val="clear" w:color="auto" w:fill="auto"/>
            <w:noWrap/>
            <w:vAlign w:val="center"/>
          </w:tcPr>
          <w:p w14:paraId="3E6E6CCC"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992" w:type="dxa"/>
            <w:tcBorders>
              <w:top w:val="nil"/>
              <w:left w:val="nil"/>
              <w:bottom w:val="nil"/>
              <w:right w:val="nil"/>
            </w:tcBorders>
            <w:shd w:val="clear" w:color="auto" w:fill="auto"/>
            <w:noWrap/>
            <w:vAlign w:val="center"/>
          </w:tcPr>
          <w:p w14:paraId="2D509BBD"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-0.038    </w:t>
            </w:r>
          </w:p>
        </w:tc>
        <w:tc>
          <w:tcPr>
            <w:tcW w:w="680" w:type="dxa"/>
            <w:tcBorders>
              <w:top w:val="nil"/>
              <w:left w:val="nil"/>
              <w:bottom w:val="nil"/>
              <w:right w:val="nil"/>
            </w:tcBorders>
            <w:shd w:val="clear" w:color="auto" w:fill="auto"/>
            <w:noWrap/>
            <w:vAlign w:val="center"/>
          </w:tcPr>
          <w:p w14:paraId="08735C08"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0.030   </w:t>
            </w:r>
          </w:p>
        </w:tc>
        <w:tc>
          <w:tcPr>
            <w:tcW w:w="680" w:type="dxa"/>
            <w:tcBorders>
              <w:top w:val="nil"/>
              <w:left w:val="nil"/>
              <w:bottom w:val="nil"/>
              <w:right w:val="nil"/>
            </w:tcBorders>
            <w:shd w:val="clear" w:color="auto" w:fill="auto"/>
            <w:noWrap/>
            <w:vAlign w:val="center"/>
          </w:tcPr>
          <w:p w14:paraId="4C9E657D"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.215</w:t>
            </w:r>
          </w:p>
        </w:tc>
      </w:tr>
      <w:tr w:rsidR="002B1ABD" w:rsidRPr="006C023E" w14:paraId="422E815D" w14:textId="77777777" w:rsidTr="009B66A5">
        <w:trPr>
          <w:trHeight w:val="310"/>
        </w:trPr>
        <w:tc>
          <w:tcPr>
            <w:tcW w:w="960" w:type="dxa"/>
            <w:tcBorders>
              <w:top w:val="nil"/>
              <w:left w:val="nil"/>
              <w:bottom w:val="nil"/>
              <w:right w:val="nil"/>
            </w:tcBorders>
            <w:shd w:val="clear" w:color="auto" w:fill="auto"/>
            <w:noWrap/>
            <w:vAlign w:val="center"/>
            <w:hideMark/>
          </w:tcPr>
          <w:p w14:paraId="1A370FF1"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d)</w:t>
            </w:r>
          </w:p>
        </w:tc>
        <w:tc>
          <w:tcPr>
            <w:tcW w:w="3151" w:type="dxa"/>
            <w:tcBorders>
              <w:top w:val="nil"/>
              <w:left w:val="nil"/>
              <w:bottom w:val="nil"/>
              <w:right w:val="nil"/>
            </w:tcBorders>
            <w:shd w:val="clear" w:color="auto" w:fill="auto"/>
            <w:noWrap/>
            <w:vAlign w:val="center"/>
            <w:hideMark/>
          </w:tcPr>
          <w:p w14:paraId="4D6B4B38"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rs4680 A </w:t>
            </w:r>
            <w:r w:rsidRPr="006C023E">
              <w:rPr>
                <w:rFonts w:ascii="Times New Roman" w:eastAsia="Times New Roman" w:hAnsi="Times New Roman" w:cs="Times New Roman"/>
                <w:sz w:val="24"/>
                <w:szCs w:val="24"/>
                <w:lang w:val="fi-FI" w:eastAsia="fi-FI"/>
              </w:rPr>
              <w:sym w:font="Wingdings" w:char="F0E0"/>
            </w:r>
            <w:r w:rsidRPr="006C023E">
              <w:rPr>
                <w:rFonts w:ascii="Times New Roman" w:eastAsia="Times New Roman" w:hAnsi="Times New Roman" w:cs="Times New Roman"/>
                <w:sz w:val="24"/>
                <w:szCs w:val="24"/>
                <w:lang w:val="fi-FI" w:eastAsia="fi-FI"/>
              </w:rPr>
              <w:t xml:space="preserve"> G (COMT)</w:t>
            </w:r>
          </w:p>
        </w:tc>
        <w:tc>
          <w:tcPr>
            <w:tcW w:w="1134" w:type="dxa"/>
            <w:tcBorders>
              <w:top w:val="nil"/>
              <w:left w:val="nil"/>
              <w:bottom w:val="nil"/>
              <w:right w:val="nil"/>
            </w:tcBorders>
            <w:shd w:val="clear" w:color="auto" w:fill="auto"/>
            <w:noWrap/>
            <w:vAlign w:val="center"/>
          </w:tcPr>
          <w:p w14:paraId="283185CD"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-0.008    </w:t>
            </w:r>
          </w:p>
        </w:tc>
        <w:tc>
          <w:tcPr>
            <w:tcW w:w="992" w:type="dxa"/>
            <w:tcBorders>
              <w:top w:val="nil"/>
              <w:left w:val="nil"/>
              <w:bottom w:val="nil"/>
              <w:right w:val="nil"/>
            </w:tcBorders>
            <w:shd w:val="clear" w:color="auto" w:fill="auto"/>
            <w:noWrap/>
            <w:vAlign w:val="center"/>
          </w:tcPr>
          <w:p w14:paraId="0EE6D6E0"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0.044  </w:t>
            </w:r>
          </w:p>
        </w:tc>
        <w:tc>
          <w:tcPr>
            <w:tcW w:w="851" w:type="dxa"/>
            <w:tcBorders>
              <w:top w:val="nil"/>
              <w:left w:val="nil"/>
              <w:bottom w:val="nil"/>
              <w:right w:val="nil"/>
            </w:tcBorders>
            <w:shd w:val="clear" w:color="auto" w:fill="auto"/>
            <w:noWrap/>
            <w:vAlign w:val="center"/>
          </w:tcPr>
          <w:p w14:paraId="48CE1B34"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.860</w:t>
            </w:r>
          </w:p>
        </w:tc>
        <w:tc>
          <w:tcPr>
            <w:tcW w:w="425" w:type="dxa"/>
            <w:tcBorders>
              <w:top w:val="nil"/>
              <w:left w:val="nil"/>
              <w:bottom w:val="nil"/>
              <w:right w:val="nil"/>
            </w:tcBorders>
            <w:shd w:val="clear" w:color="auto" w:fill="auto"/>
            <w:noWrap/>
            <w:vAlign w:val="center"/>
          </w:tcPr>
          <w:p w14:paraId="25F66CD7"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992" w:type="dxa"/>
            <w:tcBorders>
              <w:top w:val="nil"/>
              <w:left w:val="nil"/>
              <w:bottom w:val="nil"/>
              <w:right w:val="nil"/>
            </w:tcBorders>
            <w:shd w:val="clear" w:color="auto" w:fill="auto"/>
            <w:noWrap/>
            <w:vAlign w:val="center"/>
          </w:tcPr>
          <w:p w14:paraId="79BA2A80"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-0.000    </w:t>
            </w:r>
          </w:p>
        </w:tc>
        <w:tc>
          <w:tcPr>
            <w:tcW w:w="680" w:type="dxa"/>
            <w:tcBorders>
              <w:top w:val="nil"/>
              <w:left w:val="nil"/>
              <w:bottom w:val="nil"/>
              <w:right w:val="nil"/>
            </w:tcBorders>
            <w:shd w:val="clear" w:color="auto" w:fill="auto"/>
            <w:noWrap/>
            <w:vAlign w:val="center"/>
          </w:tcPr>
          <w:p w14:paraId="75FD6BC1"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0.025   </w:t>
            </w:r>
          </w:p>
        </w:tc>
        <w:tc>
          <w:tcPr>
            <w:tcW w:w="680" w:type="dxa"/>
            <w:tcBorders>
              <w:top w:val="nil"/>
              <w:left w:val="nil"/>
              <w:bottom w:val="nil"/>
              <w:right w:val="nil"/>
            </w:tcBorders>
            <w:shd w:val="clear" w:color="auto" w:fill="auto"/>
            <w:noWrap/>
            <w:vAlign w:val="center"/>
          </w:tcPr>
          <w:p w14:paraId="161BC3AD"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.991</w:t>
            </w:r>
          </w:p>
        </w:tc>
      </w:tr>
      <w:tr w:rsidR="002B1ABD" w:rsidRPr="006C023E" w14:paraId="46481C03" w14:textId="77777777" w:rsidTr="009B66A5">
        <w:trPr>
          <w:trHeight w:val="310"/>
        </w:trPr>
        <w:tc>
          <w:tcPr>
            <w:tcW w:w="960" w:type="dxa"/>
            <w:tcBorders>
              <w:top w:val="nil"/>
              <w:left w:val="nil"/>
              <w:bottom w:val="nil"/>
              <w:right w:val="nil"/>
            </w:tcBorders>
            <w:shd w:val="clear" w:color="auto" w:fill="auto"/>
            <w:noWrap/>
            <w:vAlign w:val="center"/>
            <w:hideMark/>
          </w:tcPr>
          <w:p w14:paraId="0D25AB7F"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e)</w:t>
            </w:r>
          </w:p>
        </w:tc>
        <w:tc>
          <w:tcPr>
            <w:tcW w:w="3151" w:type="dxa"/>
            <w:tcBorders>
              <w:top w:val="nil"/>
              <w:left w:val="nil"/>
              <w:bottom w:val="nil"/>
              <w:right w:val="nil"/>
            </w:tcBorders>
            <w:shd w:val="clear" w:color="auto" w:fill="auto"/>
            <w:noWrap/>
            <w:vAlign w:val="center"/>
            <w:hideMark/>
          </w:tcPr>
          <w:p w14:paraId="7930F163"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rs1611115 T</w:t>
            </w:r>
            <w:r w:rsidRPr="006C023E">
              <w:rPr>
                <w:rFonts w:ascii="Times New Roman" w:eastAsia="Times New Roman" w:hAnsi="Times New Roman" w:cs="Times New Roman"/>
                <w:sz w:val="24"/>
                <w:szCs w:val="24"/>
                <w:lang w:val="fi-FI" w:eastAsia="fi-FI"/>
              </w:rPr>
              <w:sym w:font="Wingdings" w:char="F0E0"/>
            </w:r>
            <w:r w:rsidRPr="006C023E">
              <w:rPr>
                <w:rFonts w:ascii="Times New Roman" w:eastAsia="Times New Roman" w:hAnsi="Times New Roman" w:cs="Times New Roman"/>
                <w:sz w:val="24"/>
                <w:szCs w:val="24"/>
                <w:lang w:val="fi-FI" w:eastAsia="fi-FI"/>
              </w:rPr>
              <w:t>C (DBH)</w:t>
            </w:r>
          </w:p>
        </w:tc>
        <w:tc>
          <w:tcPr>
            <w:tcW w:w="1134" w:type="dxa"/>
            <w:tcBorders>
              <w:top w:val="nil"/>
              <w:left w:val="nil"/>
              <w:bottom w:val="nil"/>
              <w:right w:val="nil"/>
            </w:tcBorders>
            <w:shd w:val="clear" w:color="auto" w:fill="auto"/>
            <w:noWrap/>
            <w:vAlign w:val="center"/>
          </w:tcPr>
          <w:p w14:paraId="65A96364"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0.012    </w:t>
            </w:r>
          </w:p>
        </w:tc>
        <w:tc>
          <w:tcPr>
            <w:tcW w:w="992" w:type="dxa"/>
            <w:tcBorders>
              <w:top w:val="nil"/>
              <w:left w:val="nil"/>
              <w:bottom w:val="nil"/>
              <w:right w:val="nil"/>
            </w:tcBorders>
            <w:shd w:val="clear" w:color="auto" w:fill="auto"/>
            <w:noWrap/>
            <w:vAlign w:val="center"/>
          </w:tcPr>
          <w:p w14:paraId="2E56DA0E"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0.057    </w:t>
            </w:r>
          </w:p>
        </w:tc>
        <w:tc>
          <w:tcPr>
            <w:tcW w:w="851" w:type="dxa"/>
            <w:tcBorders>
              <w:top w:val="nil"/>
              <w:left w:val="nil"/>
              <w:bottom w:val="nil"/>
              <w:right w:val="nil"/>
            </w:tcBorders>
            <w:shd w:val="clear" w:color="auto" w:fill="auto"/>
            <w:noWrap/>
            <w:vAlign w:val="center"/>
          </w:tcPr>
          <w:p w14:paraId="54F8260C"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.835</w:t>
            </w:r>
          </w:p>
        </w:tc>
        <w:tc>
          <w:tcPr>
            <w:tcW w:w="425" w:type="dxa"/>
            <w:tcBorders>
              <w:top w:val="nil"/>
              <w:left w:val="nil"/>
              <w:bottom w:val="nil"/>
              <w:right w:val="nil"/>
            </w:tcBorders>
            <w:shd w:val="clear" w:color="auto" w:fill="auto"/>
            <w:noWrap/>
            <w:vAlign w:val="center"/>
          </w:tcPr>
          <w:p w14:paraId="4ED887D4"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992" w:type="dxa"/>
            <w:tcBorders>
              <w:top w:val="nil"/>
              <w:left w:val="nil"/>
              <w:bottom w:val="nil"/>
              <w:right w:val="nil"/>
            </w:tcBorders>
            <w:shd w:val="clear" w:color="auto" w:fill="auto"/>
            <w:noWrap/>
            <w:vAlign w:val="center"/>
          </w:tcPr>
          <w:p w14:paraId="63DFB850"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-0.010    </w:t>
            </w:r>
          </w:p>
        </w:tc>
        <w:tc>
          <w:tcPr>
            <w:tcW w:w="680" w:type="dxa"/>
            <w:tcBorders>
              <w:top w:val="nil"/>
              <w:left w:val="nil"/>
              <w:bottom w:val="nil"/>
              <w:right w:val="nil"/>
            </w:tcBorders>
            <w:shd w:val="clear" w:color="auto" w:fill="auto"/>
            <w:noWrap/>
            <w:vAlign w:val="center"/>
          </w:tcPr>
          <w:p w14:paraId="18AECF46"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0.032   </w:t>
            </w:r>
          </w:p>
        </w:tc>
        <w:tc>
          <w:tcPr>
            <w:tcW w:w="680" w:type="dxa"/>
            <w:tcBorders>
              <w:top w:val="nil"/>
              <w:left w:val="nil"/>
              <w:bottom w:val="nil"/>
              <w:right w:val="nil"/>
            </w:tcBorders>
            <w:shd w:val="clear" w:color="auto" w:fill="auto"/>
            <w:noWrap/>
            <w:vAlign w:val="center"/>
          </w:tcPr>
          <w:p w14:paraId="05526DBA"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.765</w:t>
            </w:r>
          </w:p>
        </w:tc>
      </w:tr>
      <w:tr w:rsidR="002B1ABD" w:rsidRPr="006C023E" w14:paraId="28405872" w14:textId="77777777" w:rsidTr="009B66A5">
        <w:trPr>
          <w:trHeight w:val="310"/>
        </w:trPr>
        <w:tc>
          <w:tcPr>
            <w:tcW w:w="960" w:type="dxa"/>
            <w:tcBorders>
              <w:top w:val="nil"/>
              <w:left w:val="nil"/>
              <w:bottom w:val="nil"/>
              <w:right w:val="nil"/>
            </w:tcBorders>
            <w:shd w:val="clear" w:color="auto" w:fill="auto"/>
            <w:noWrap/>
            <w:vAlign w:val="center"/>
            <w:hideMark/>
          </w:tcPr>
          <w:p w14:paraId="576775B5"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f)</w:t>
            </w:r>
          </w:p>
        </w:tc>
        <w:tc>
          <w:tcPr>
            <w:tcW w:w="3151" w:type="dxa"/>
            <w:tcBorders>
              <w:top w:val="nil"/>
              <w:left w:val="nil"/>
              <w:bottom w:val="nil"/>
              <w:right w:val="nil"/>
            </w:tcBorders>
            <w:shd w:val="clear" w:color="auto" w:fill="auto"/>
            <w:noWrap/>
            <w:vAlign w:val="center"/>
            <w:hideMark/>
          </w:tcPr>
          <w:p w14:paraId="371B79B2"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eastAsia="ar-SA"/>
              </w:rPr>
              <w:t>low oxytocin genetic profile</w:t>
            </w:r>
          </w:p>
        </w:tc>
        <w:tc>
          <w:tcPr>
            <w:tcW w:w="1134" w:type="dxa"/>
            <w:tcBorders>
              <w:top w:val="nil"/>
              <w:left w:val="nil"/>
              <w:bottom w:val="nil"/>
              <w:right w:val="nil"/>
            </w:tcBorders>
            <w:shd w:val="clear" w:color="auto" w:fill="auto"/>
            <w:noWrap/>
            <w:vAlign w:val="center"/>
          </w:tcPr>
          <w:p w14:paraId="34186C72"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-0.026    </w:t>
            </w:r>
          </w:p>
        </w:tc>
        <w:tc>
          <w:tcPr>
            <w:tcW w:w="992" w:type="dxa"/>
            <w:tcBorders>
              <w:top w:val="nil"/>
              <w:left w:val="nil"/>
              <w:bottom w:val="nil"/>
              <w:right w:val="nil"/>
            </w:tcBorders>
            <w:shd w:val="clear" w:color="auto" w:fill="auto"/>
            <w:noWrap/>
            <w:vAlign w:val="center"/>
          </w:tcPr>
          <w:p w14:paraId="28050F88"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0.032</w:t>
            </w:r>
          </w:p>
        </w:tc>
        <w:tc>
          <w:tcPr>
            <w:tcW w:w="851" w:type="dxa"/>
            <w:tcBorders>
              <w:top w:val="nil"/>
              <w:left w:val="nil"/>
              <w:bottom w:val="nil"/>
              <w:right w:val="nil"/>
            </w:tcBorders>
            <w:shd w:val="clear" w:color="auto" w:fill="auto"/>
            <w:noWrap/>
            <w:vAlign w:val="center"/>
          </w:tcPr>
          <w:p w14:paraId="65319E22"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.424</w:t>
            </w:r>
          </w:p>
        </w:tc>
        <w:tc>
          <w:tcPr>
            <w:tcW w:w="425" w:type="dxa"/>
            <w:tcBorders>
              <w:top w:val="nil"/>
              <w:left w:val="nil"/>
              <w:bottom w:val="nil"/>
              <w:right w:val="nil"/>
            </w:tcBorders>
            <w:shd w:val="clear" w:color="auto" w:fill="auto"/>
            <w:noWrap/>
            <w:vAlign w:val="center"/>
          </w:tcPr>
          <w:p w14:paraId="3B8C745D"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992" w:type="dxa"/>
            <w:tcBorders>
              <w:top w:val="nil"/>
              <w:left w:val="nil"/>
              <w:bottom w:val="nil"/>
              <w:right w:val="nil"/>
            </w:tcBorders>
            <w:shd w:val="clear" w:color="auto" w:fill="auto"/>
            <w:noWrap/>
            <w:vAlign w:val="center"/>
          </w:tcPr>
          <w:p w14:paraId="1658F0D9"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0.018    </w:t>
            </w:r>
          </w:p>
        </w:tc>
        <w:tc>
          <w:tcPr>
            <w:tcW w:w="680" w:type="dxa"/>
            <w:tcBorders>
              <w:top w:val="nil"/>
              <w:left w:val="nil"/>
              <w:bottom w:val="nil"/>
              <w:right w:val="nil"/>
            </w:tcBorders>
            <w:shd w:val="clear" w:color="auto" w:fill="auto"/>
            <w:noWrap/>
            <w:vAlign w:val="center"/>
          </w:tcPr>
          <w:p w14:paraId="6D1C7F3C"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0.018     </w:t>
            </w:r>
          </w:p>
        </w:tc>
        <w:tc>
          <w:tcPr>
            <w:tcW w:w="680" w:type="dxa"/>
            <w:tcBorders>
              <w:top w:val="nil"/>
              <w:left w:val="nil"/>
              <w:bottom w:val="nil"/>
              <w:right w:val="nil"/>
            </w:tcBorders>
            <w:shd w:val="clear" w:color="auto" w:fill="auto"/>
            <w:noWrap/>
            <w:vAlign w:val="center"/>
          </w:tcPr>
          <w:p w14:paraId="794A08CB"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.306</w:t>
            </w:r>
          </w:p>
        </w:tc>
      </w:tr>
      <w:tr w:rsidR="002B1ABD" w:rsidRPr="006C023E" w14:paraId="4FE20B59" w14:textId="77777777" w:rsidTr="009B66A5">
        <w:trPr>
          <w:trHeight w:val="310"/>
        </w:trPr>
        <w:tc>
          <w:tcPr>
            <w:tcW w:w="960" w:type="dxa"/>
            <w:tcBorders>
              <w:top w:val="nil"/>
              <w:left w:val="nil"/>
              <w:bottom w:val="nil"/>
              <w:right w:val="nil"/>
            </w:tcBorders>
            <w:shd w:val="clear" w:color="auto" w:fill="auto"/>
            <w:noWrap/>
            <w:vAlign w:val="center"/>
          </w:tcPr>
          <w:p w14:paraId="478DDB44"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g)</w:t>
            </w:r>
          </w:p>
        </w:tc>
        <w:tc>
          <w:tcPr>
            <w:tcW w:w="3151" w:type="dxa"/>
            <w:tcBorders>
              <w:top w:val="nil"/>
              <w:left w:val="nil"/>
              <w:bottom w:val="nil"/>
              <w:right w:val="nil"/>
            </w:tcBorders>
            <w:shd w:val="clear" w:color="auto" w:fill="auto"/>
            <w:noWrap/>
            <w:vAlign w:val="center"/>
          </w:tcPr>
          <w:p w14:paraId="28218EFB"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eastAsia="ar-SA"/>
              </w:rPr>
              <w:t>high dopamine genetic profile</w:t>
            </w:r>
          </w:p>
        </w:tc>
        <w:tc>
          <w:tcPr>
            <w:tcW w:w="1134" w:type="dxa"/>
            <w:tcBorders>
              <w:top w:val="nil"/>
              <w:left w:val="nil"/>
              <w:bottom w:val="nil"/>
              <w:right w:val="nil"/>
            </w:tcBorders>
            <w:shd w:val="clear" w:color="auto" w:fill="auto"/>
            <w:noWrap/>
            <w:vAlign w:val="center"/>
          </w:tcPr>
          <w:p w14:paraId="2A76ED68"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0.005    </w:t>
            </w:r>
          </w:p>
        </w:tc>
        <w:tc>
          <w:tcPr>
            <w:tcW w:w="992" w:type="dxa"/>
            <w:tcBorders>
              <w:top w:val="nil"/>
              <w:left w:val="nil"/>
              <w:bottom w:val="nil"/>
              <w:right w:val="nil"/>
            </w:tcBorders>
            <w:shd w:val="clear" w:color="auto" w:fill="auto"/>
            <w:noWrap/>
            <w:vAlign w:val="center"/>
          </w:tcPr>
          <w:p w14:paraId="2F7E676E"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0.029    </w:t>
            </w:r>
          </w:p>
        </w:tc>
        <w:tc>
          <w:tcPr>
            <w:tcW w:w="851" w:type="dxa"/>
            <w:tcBorders>
              <w:top w:val="nil"/>
              <w:left w:val="nil"/>
              <w:bottom w:val="nil"/>
              <w:right w:val="nil"/>
            </w:tcBorders>
            <w:shd w:val="clear" w:color="auto" w:fill="auto"/>
            <w:noWrap/>
            <w:vAlign w:val="center"/>
          </w:tcPr>
          <w:p w14:paraId="1F52A6BA"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.873</w:t>
            </w:r>
          </w:p>
        </w:tc>
        <w:tc>
          <w:tcPr>
            <w:tcW w:w="425" w:type="dxa"/>
            <w:tcBorders>
              <w:top w:val="nil"/>
              <w:left w:val="nil"/>
              <w:bottom w:val="nil"/>
              <w:right w:val="nil"/>
            </w:tcBorders>
            <w:shd w:val="clear" w:color="auto" w:fill="auto"/>
            <w:noWrap/>
            <w:vAlign w:val="center"/>
          </w:tcPr>
          <w:p w14:paraId="40D2F726"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992" w:type="dxa"/>
            <w:tcBorders>
              <w:top w:val="nil"/>
              <w:left w:val="nil"/>
              <w:bottom w:val="nil"/>
              <w:right w:val="nil"/>
            </w:tcBorders>
            <w:shd w:val="clear" w:color="auto" w:fill="auto"/>
            <w:noWrap/>
            <w:vAlign w:val="center"/>
          </w:tcPr>
          <w:p w14:paraId="786054E1"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-0.014    </w:t>
            </w:r>
          </w:p>
        </w:tc>
        <w:tc>
          <w:tcPr>
            <w:tcW w:w="680" w:type="dxa"/>
            <w:tcBorders>
              <w:top w:val="nil"/>
              <w:left w:val="nil"/>
              <w:bottom w:val="nil"/>
              <w:right w:val="nil"/>
            </w:tcBorders>
            <w:shd w:val="clear" w:color="auto" w:fill="auto"/>
            <w:noWrap/>
            <w:vAlign w:val="center"/>
          </w:tcPr>
          <w:p w14:paraId="22A5210B"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0.017  </w:t>
            </w:r>
          </w:p>
        </w:tc>
        <w:tc>
          <w:tcPr>
            <w:tcW w:w="680" w:type="dxa"/>
            <w:tcBorders>
              <w:top w:val="nil"/>
              <w:left w:val="nil"/>
              <w:bottom w:val="nil"/>
              <w:right w:val="nil"/>
            </w:tcBorders>
            <w:shd w:val="clear" w:color="auto" w:fill="auto"/>
            <w:noWrap/>
            <w:vAlign w:val="center"/>
          </w:tcPr>
          <w:p w14:paraId="33F16CA7"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.398</w:t>
            </w:r>
          </w:p>
        </w:tc>
      </w:tr>
      <w:tr w:rsidR="002B1ABD" w:rsidRPr="006C023E" w14:paraId="79F82DA3" w14:textId="77777777" w:rsidTr="009B66A5">
        <w:trPr>
          <w:trHeight w:val="310"/>
        </w:trPr>
        <w:tc>
          <w:tcPr>
            <w:tcW w:w="960" w:type="dxa"/>
            <w:tcBorders>
              <w:top w:val="nil"/>
              <w:left w:val="nil"/>
              <w:bottom w:val="nil"/>
              <w:right w:val="nil"/>
            </w:tcBorders>
            <w:shd w:val="clear" w:color="auto" w:fill="auto"/>
            <w:noWrap/>
            <w:vAlign w:val="center"/>
          </w:tcPr>
          <w:p w14:paraId="2DDA3684"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3151" w:type="dxa"/>
            <w:tcBorders>
              <w:top w:val="nil"/>
              <w:left w:val="nil"/>
              <w:bottom w:val="nil"/>
              <w:right w:val="nil"/>
            </w:tcBorders>
            <w:shd w:val="clear" w:color="auto" w:fill="auto"/>
            <w:noWrap/>
            <w:vAlign w:val="center"/>
          </w:tcPr>
          <w:p w14:paraId="276A2FFC"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1134" w:type="dxa"/>
            <w:tcBorders>
              <w:top w:val="nil"/>
              <w:left w:val="nil"/>
              <w:bottom w:val="nil"/>
              <w:right w:val="nil"/>
            </w:tcBorders>
            <w:shd w:val="clear" w:color="auto" w:fill="auto"/>
            <w:noWrap/>
            <w:vAlign w:val="center"/>
          </w:tcPr>
          <w:p w14:paraId="2FBF9BB5"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992" w:type="dxa"/>
            <w:tcBorders>
              <w:top w:val="nil"/>
              <w:left w:val="nil"/>
              <w:bottom w:val="nil"/>
              <w:right w:val="nil"/>
            </w:tcBorders>
            <w:shd w:val="clear" w:color="auto" w:fill="auto"/>
            <w:noWrap/>
            <w:vAlign w:val="center"/>
          </w:tcPr>
          <w:p w14:paraId="64C53B54"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851" w:type="dxa"/>
            <w:tcBorders>
              <w:top w:val="nil"/>
              <w:left w:val="nil"/>
              <w:bottom w:val="nil"/>
              <w:right w:val="nil"/>
            </w:tcBorders>
            <w:shd w:val="clear" w:color="auto" w:fill="auto"/>
            <w:noWrap/>
            <w:vAlign w:val="center"/>
          </w:tcPr>
          <w:p w14:paraId="7D81F7C7"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425" w:type="dxa"/>
            <w:tcBorders>
              <w:top w:val="nil"/>
              <w:left w:val="nil"/>
              <w:bottom w:val="nil"/>
              <w:right w:val="nil"/>
            </w:tcBorders>
            <w:shd w:val="clear" w:color="auto" w:fill="auto"/>
            <w:noWrap/>
            <w:vAlign w:val="center"/>
          </w:tcPr>
          <w:p w14:paraId="7E0B8D91"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992" w:type="dxa"/>
            <w:tcBorders>
              <w:top w:val="nil"/>
              <w:left w:val="nil"/>
              <w:bottom w:val="nil"/>
              <w:right w:val="nil"/>
            </w:tcBorders>
            <w:shd w:val="clear" w:color="auto" w:fill="auto"/>
            <w:noWrap/>
            <w:vAlign w:val="center"/>
          </w:tcPr>
          <w:p w14:paraId="1C42F2AF"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680" w:type="dxa"/>
            <w:tcBorders>
              <w:top w:val="nil"/>
              <w:left w:val="nil"/>
              <w:bottom w:val="nil"/>
              <w:right w:val="nil"/>
            </w:tcBorders>
            <w:shd w:val="clear" w:color="auto" w:fill="auto"/>
            <w:noWrap/>
            <w:vAlign w:val="center"/>
          </w:tcPr>
          <w:p w14:paraId="4F64D28E"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680" w:type="dxa"/>
            <w:tcBorders>
              <w:top w:val="nil"/>
              <w:left w:val="nil"/>
              <w:bottom w:val="nil"/>
              <w:right w:val="nil"/>
            </w:tcBorders>
            <w:shd w:val="clear" w:color="auto" w:fill="auto"/>
            <w:noWrap/>
            <w:vAlign w:val="center"/>
          </w:tcPr>
          <w:p w14:paraId="69EE6727"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r>
      <w:tr w:rsidR="002B1ABD" w:rsidRPr="006C023E" w14:paraId="6B82E9A7" w14:textId="77777777" w:rsidTr="009B66A5">
        <w:trPr>
          <w:trHeight w:val="310"/>
        </w:trPr>
        <w:tc>
          <w:tcPr>
            <w:tcW w:w="960" w:type="dxa"/>
            <w:tcBorders>
              <w:top w:val="nil"/>
              <w:left w:val="nil"/>
              <w:bottom w:val="nil"/>
              <w:right w:val="nil"/>
            </w:tcBorders>
            <w:shd w:val="clear" w:color="auto" w:fill="auto"/>
            <w:noWrap/>
            <w:vAlign w:val="center"/>
            <w:hideMark/>
          </w:tcPr>
          <w:p w14:paraId="40FBCAB0"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8905" w:type="dxa"/>
            <w:gridSpan w:val="8"/>
            <w:tcBorders>
              <w:top w:val="nil"/>
              <w:left w:val="nil"/>
              <w:bottom w:val="nil"/>
            </w:tcBorders>
            <w:shd w:val="clear" w:color="auto" w:fill="auto"/>
            <w:noWrap/>
            <w:vAlign w:val="center"/>
            <w:hideMark/>
          </w:tcPr>
          <w:p w14:paraId="169BA12D" w14:textId="77777777" w:rsidR="009D1103" w:rsidRPr="006C023E" w:rsidRDefault="009D1103" w:rsidP="008D10BD">
            <w:pPr>
              <w:spacing w:after="0" w:line="240" w:lineRule="auto"/>
              <w:rPr>
                <w:rFonts w:ascii="Times New Roman" w:eastAsia="Times New Roman" w:hAnsi="Times New Roman" w:cs="Times New Roman"/>
                <w:i/>
                <w:sz w:val="24"/>
                <w:szCs w:val="24"/>
                <w:lang w:val="fi-FI" w:eastAsia="fi-FI"/>
              </w:rPr>
            </w:pPr>
            <w:r w:rsidRPr="006C023E">
              <w:rPr>
                <w:rFonts w:ascii="Times New Roman" w:eastAsia="Times New Roman" w:hAnsi="Times New Roman" w:cs="Times New Roman"/>
                <w:i/>
                <w:sz w:val="24"/>
                <w:szCs w:val="24"/>
                <w:lang w:val="fi-FI" w:eastAsia="fi-FI"/>
              </w:rPr>
              <w:t>Men</w:t>
            </w:r>
          </w:p>
        </w:tc>
      </w:tr>
      <w:tr w:rsidR="002B1ABD" w:rsidRPr="006C023E" w14:paraId="6B23C0F5" w14:textId="77777777" w:rsidTr="009B66A5">
        <w:trPr>
          <w:trHeight w:val="310"/>
        </w:trPr>
        <w:tc>
          <w:tcPr>
            <w:tcW w:w="960" w:type="dxa"/>
            <w:tcBorders>
              <w:top w:val="nil"/>
              <w:left w:val="nil"/>
              <w:bottom w:val="nil"/>
              <w:right w:val="nil"/>
            </w:tcBorders>
            <w:shd w:val="clear" w:color="auto" w:fill="auto"/>
            <w:noWrap/>
            <w:vAlign w:val="center"/>
            <w:hideMark/>
          </w:tcPr>
          <w:p w14:paraId="184A8F40"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3151" w:type="dxa"/>
            <w:tcBorders>
              <w:top w:val="nil"/>
              <w:left w:val="nil"/>
              <w:bottom w:val="nil"/>
              <w:right w:val="nil"/>
            </w:tcBorders>
            <w:shd w:val="clear" w:color="auto" w:fill="auto"/>
            <w:noWrap/>
            <w:vAlign w:val="center"/>
            <w:hideMark/>
          </w:tcPr>
          <w:p w14:paraId="7F664D28"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rs2268498 C</w:t>
            </w:r>
            <w:r w:rsidRPr="006C023E">
              <w:rPr>
                <w:rFonts w:ascii="Times New Roman" w:eastAsia="Times New Roman" w:hAnsi="Times New Roman" w:cs="Times New Roman"/>
                <w:sz w:val="24"/>
                <w:szCs w:val="24"/>
                <w:lang w:val="fi-FI" w:eastAsia="fi-FI"/>
              </w:rPr>
              <w:sym w:font="Wingdings" w:char="F0E0"/>
            </w:r>
            <w:r w:rsidRPr="006C023E">
              <w:rPr>
                <w:rFonts w:ascii="Times New Roman" w:eastAsia="Times New Roman" w:hAnsi="Times New Roman" w:cs="Times New Roman"/>
                <w:sz w:val="24"/>
                <w:szCs w:val="24"/>
                <w:lang w:val="fi-FI" w:eastAsia="fi-FI"/>
              </w:rPr>
              <w:t>T (OXTR)</w:t>
            </w:r>
          </w:p>
        </w:tc>
        <w:tc>
          <w:tcPr>
            <w:tcW w:w="1134" w:type="dxa"/>
            <w:tcBorders>
              <w:top w:val="nil"/>
              <w:left w:val="nil"/>
              <w:bottom w:val="nil"/>
              <w:right w:val="nil"/>
            </w:tcBorders>
            <w:shd w:val="clear" w:color="auto" w:fill="auto"/>
            <w:noWrap/>
            <w:vAlign w:val="center"/>
          </w:tcPr>
          <w:p w14:paraId="12AAFF9B"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0.042    </w:t>
            </w:r>
          </w:p>
        </w:tc>
        <w:tc>
          <w:tcPr>
            <w:tcW w:w="992" w:type="dxa"/>
            <w:tcBorders>
              <w:top w:val="nil"/>
              <w:left w:val="nil"/>
              <w:bottom w:val="nil"/>
              <w:right w:val="nil"/>
            </w:tcBorders>
            <w:shd w:val="clear" w:color="auto" w:fill="auto"/>
            <w:noWrap/>
            <w:vAlign w:val="center"/>
          </w:tcPr>
          <w:p w14:paraId="451C8B64"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0.052    </w:t>
            </w:r>
          </w:p>
        </w:tc>
        <w:tc>
          <w:tcPr>
            <w:tcW w:w="851" w:type="dxa"/>
            <w:tcBorders>
              <w:top w:val="nil"/>
              <w:left w:val="nil"/>
              <w:bottom w:val="nil"/>
              <w:right w:val="nil"/>
            </w:tcBorders>
            <w:shd w:val="clear" w:color="auto" w:fill="auto"/>
            <w:noWrap/>
            <w:vAlign w:val="center"/>
          </w:tcPr>
          <w:p w14:paraId="731C4A00"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.420</w:t>
            </w:r>
          </w:p>
        </w:tc>
        <w:tc>
          <w:tcPr>
            <w:tcW w:w="425" w:type="dxa"/>
            <w:tcBorders>
              <w:top w:val="nil"/>
              <w:left w:val="nil"/>
              <w:bottom w:val="nil"/>
              <w:right w:val="nil"/>
            </w:tcBorders>
            <w:shd w:val="clear" w:color="auto" w:fill="auto"/>
            <w:noWrap/>
            <w:vAlign w:val="center"/>
          </w:tcPr>
          <w:p w14:paraId="1F4FD791"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992" w:type="dxa"/>
            <w:tcBorders>
              <w:top w:val="nil"/>
              <w:left w:val="nil"/>
              <w:bottom w:val="nil"/>
              <w:right w:val="nil"/>
            </w:tcBorders>
            <w:shd w:val="clear" w:color="auto" w:fill="auto"/>
            <w:noWrap/>
            <w:vAlign w:val="center"/>
          </w:tcPr>
          <w:p w14:paraId="550D8900"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-0.028    </w:t>
            </w:r>
          </w:p>
        </w:tc>
        <w:tc>
          <w:tcPr>
            <w:tcW w:w="680" w:type="dxa"/>
            <w:tcBorders>
              <w:top w:val="nil"/>
              <w:left w:val="nil"/>
              <w:bottom w:val="nil"/>
              <w:right w:val="nil"/>
            </w:tcBorders>
            <w:shd w:val="clear" w:color="auto" w:fill="auto"/>
            <w:noWrap/>
            <w:vAlign w:val="center"/>
          </w:tcPr>
          <w:p w14:paraId="034DAF1A"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0.034   </w:t>
            </w:r>
          </w:p>
        </w:tc>
        <w:tc>
          <w:tcPr>
            <w:tcW w:w="680" w:type="dxa"/>
            <w:tcBorders>
              <w:top w:val="nil"/>
              <w:left w:val="nil"/>
              <w:bottom w:val="nil"/>
              <w:right w:val="nil"/>
            </w:tcBorders>
            <w:shd w:val="clear" w:color="auto" w:fill="auto"/>
            <w:noWrap/>
            <w:vAlign w:val="center"/>
          </w:tcPr>
          <w:p w14:paraId="564333B6"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.413</w:t>
            </w:r>
          </w:p>
        </w:tc>
      </w:tr>
      <w:tr w:rsidR="002B1ABD" w:rsidRPr="006C023E" w14:paraId="757A78AD" w14:textId="77777777" w:rsidTr="009B66A5">
        <w:trPr>
          <w:trHeight w:val="310"/>
        </w:trPr>
        <w:tc>
          <w:tcPr>
            <w:tcW w:w="960" w:type="dxa"/>
            <w:tcBorders>
              <w:top w:val="nil"/>
              <w:left w:val="nil"/>
              <w:bottom w:val="nil"/>
              <w:right w:val="nil"/>
            </w:tcBorders>
            <w:shd w:val="clear" w:color="auto" w:fill="auto"/>
            <w:noWrap/>
            <w:vAlign w:val="center"/>
            <w:hideMark/>
          </w:tcPr>
          <w:p w14:paraId="55AE60CD"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3151" w:type="dxa"/>
            <w:tcBorders>
              <w:top w:val="nil"/>
              <w:left w:val="nil"/>
              <w:bottom w:val="nil"/>
              <w:right w:val="nil"/>
            </w:tcBorders>
            <w:shd w:val="clear" w:color="auto" w:fill="auto"/>
            <w:noWrap/>
            <w:vAlign w:val="center"/>
            <w:hideMark/>
          </w:tcPr>
          <w:p w14:paraId="1DC48499"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rs3796863 C</w:t>
            </w:r>
            <w:r w:rsidRPr="006C023E">
              <w:rPr>
                <w:rFonts w:ascii="Times New Roman" w:eastAsia="Times New Roman" w:hAnsi="Times New Roman" w:cs="Times New Roman"/>
                <w:sz w:val="24"/>
                <w:szCs w:val="24"/>
                <w:lang w:val="fi-FI" w:eastAsia="fi-FI"/>
              </w:rPr>
              <w:sym w:font="Wingdings" w:char="F0E0"/>
            </w:r>
            <w:r w:rsidRPr="006C023E">
              <w:rPr>
                <w:rFonts w:ascii="Times New Roman" w:eastAsia="Times New Roman" w:hAnsi="Times New Roman" w:cs="Times New Roman"/>
                <w:sz w:val="24"/>
                <w:szCs w:val="24"/>
                <w:lang w:val="fi-FI" w:eastAsia="fi-FI"/>
              </w:rPr>
              <w:t>A (CD38)</w:t>
            </w:r>
          </w:p>
        </w:tc>
        <w:tc>
          <w:tcPr>
            <w:tcW w:w="1134" w:type="dxa"/>
            <w:tcBorders>
              <w:top w:val="nil"/>
              <w:left w:val="nil"/>
              <w:bottom w:val="nil"/>
              <w:right w:val="nil"/>
            </w:tcBorders>
            <w:shd w:val="clear" w:color="auto" w:fill="auto"/>
            <w:noWrap/>
            <w:vAlign w:val="center"/>
          </w:tcPr>
          <w:p w14:paraId="171F992F"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0.023    </w:t>
            </w:r>
          </w:p>
        </w:tc>
        <w:tc>
          <w:tcPr>
            <w:tcW w:w="992" w:type="dxa"/>
            <w:tcBorders>
              <w:top w:val="nil"/>
              <w:left w:val="nil"/>
              <w:bottom w:val="nil"/>
              <w:right w:val="nil"/>
            </w:tcBorders>
            <w:shd w:val="clear" w:color="auto" w:fill="auto"/>
            <w:noWrap/>
            <w:vAlign w:val="center"/>
          </w:tcPr>
          <w:p w14:paraId="32444B02"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0.055    </w:t>
            </w:r>
          </w:p>
        </w:tc>
        <w:tc>
          <w:tcPr>
            <w:tcW w:w="851" w:type="dxa"/>
            <w:tcBorders>
              <w:top w:val="nil"/>
              <w:left w:val="nil"/>
              <w:bottom w:val="nil"/>
              <w:right w:val="nil"/>
            </w:tcBorders>
            <w:shd w:val="clear" w:color="auto" w:fill="auto"/>
            <w:noWrap/>
            <w:vAlign w:val="center"/>
          </w:tcPr>
          <w:p w14:paraId="00FE68A4"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.679</w:t>
            </w:r>
          </w:p>
        </w:tc>
        <w:tc>
          <w:tcPr>
            <w:tcW w:w="425" w:type="dxa"/>
            <w:tcBorders>
              <w:top w:val="nil"/>
              <w:left w:val="nil"/>
              <w:bottom w:val="nil"/>
              <w:right w:val="nil"/>
            </w:tcBorders>
            <w:shd w:val="clear" w:color="auto" w:fill="auto"/>
            <w:noWrap/>
            <w:vAlign w:val="center"/>
          </w:tcPr>
          <w:p w14:paraId="3B01180C"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992" w:type="dxa"/>
            <w:tcBorders>
              <w:top w:val="nil"/>
              <w:left w:val="nil"/>
              <w:bottom w:val="nil"/>
              <w:right w:val="nil"/>
            </w:tcBorders>
            <w:shd w:val="clear" w:color="auto" w:fill="auto"/>
            <w:noWrap/>
            <w:vAlign w:val="center"/>
          </w:tcPr>
          <w:p w14:paraId="34044E3E"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-0.054    </w:t>
            </w:r>
          </w:p>
        </w:tc>
        <w:tc>
          <w:tcPr>
            <w:tcW w:w="680" w:type="dxa"/>
            <w:tcBorders>
              <w:top w:val="nil"/>
              <w:left w:val="nil"/>
              <w:bottom w:val="nil"/>
              <w:right w:val="nil"/>
            </w:tcBorders>
            <w:shd w:val="clear" w:color="auto" w:fill="auto"/>
            <w:noWrap/>
            <w:vAlign w:val="center"/>
          </w:tcPr>
          <w:p w14:paraId="243A6336"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0.036   </w:t>
            </w:r>
          </w:p>
        </w:tc>
        <w:tc>
          <w:tcPr>
            <w:tcW w:w="680" w:type="dxa"/>
            <w:tcBorders>
              <w:top w:val="nil"/>
              <w:left w:val="nil"/>
              <w:bottom w:val="nil"/>
              <w:right w:val="nil"/>
            </w:tcBorders>
            <w:shd w:val="clear" w:color="auto" w:fill="auto"/>
            <w:noWrap/>
            <w:vAlign w:val="center"/>
          </w:tcPr>
          <w:p w14:paraId="6EFCDB6B"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.138</w:t>
            </w:r>
          </w:p>
        </w:tc>
      </w:tr>
      <w:tr w:rsidR="002B1ABD" w:rsidRPr="006C023E" w14:paraId="000458F0" w14:textId="77777777" w:rsidTr="009B66A5">
        <w:trPr>
          <w:trHeight w:val="310"/>
        </w:trPr>
        <w:tc>
          <w:tcPr>
            <w:tcW w:w="960" w:type="dxa"/>
            <w:tcBorders>
              <w:top w:val="nil"/>
              <w:left w:val="nil"/>
              <w:bottom w:val="nil"/>
              <w:right w:val="nil"/>
            </w:tcBorders>
            <w:shd w:val="clear" w:color="auto" w:fill="auto"/>
            <w:noWrap/>
            <w:vAlign w:val="center"/>
            <w:hideMark/>
          </w:tcPr>
          <w:p w14:paraId="767478C2"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3151" w:type="dxa"/>
            <w:tcBorders>
              <w:top w:val="nil"/>
              <w:left w:val="nil"/>
              <w:bottom w:val="nil"/>
              <w:right w:val="nil"/>
            </w:tcBorders>
            <w:shd w:val="clear" w:color="auto" w:fill="auto"/>
            <w:noWrap/>
            <w:vAlign w:val="center"/>
            <w:hideMark/>
          </w:tcPr>
          <w:p w14:paraId="6D49AAAD"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rs1800497 C </w:t>
            </w:r>
            <w:r w:rsidRPr="006C023E">
              <w:rPr>
                <w:rFonts w:ascii="Times New Roman" w:eastAsia="Times New Roman" w:hAnsi="Times New Roman" w:cs="Times New Roman"/>
                <w:sz w:val="24"/>
                <w:szCs w:val="24"/>
                <w:lang w:val="fi-FI" w:eastAsia="fi-FI"/>
              </w:rPr>
              <w:sym w:font="Wingdings" w:char="F0E0"/>
            </w:r>
            <w:r w:rsidRPr="006C023E">
              <w:rPr>
                <w:rFonts w:ascii="Times New Roman" w:eastAsia="Times New Roman" w:hAnsi="Times New Roman" w:cs="Times New Roman"/>
                <w:sz w:val="24"/>
                <w:szCs w:val="24"/>
                <w:lang w:val="fi-FI" w:eastAsia="fi-FI"/>
              </w:rPr>
              <w:t xml:space="preserve"> T (ANKK1)</w:t>
            </w:r>
          </w:p>
        </w:tc>
        <w:tc>
          <w:tcPr>
            <w:tcW w:w="1134" w:type="dxa"/>
            <w:tcBorders>
              <w:top w:val="nil"/>
              <w:left w:val="nil"/>
              <w:bottom w:val="nil"/>
              <w:right w:val="nil"/>
            </w:tcBorders>
            <w:shd w:val="clear" w:color="auto" w:fill="auto"/>
            <w:noWrap/>
            <w:vAlign w:val="center"/>
          </w:tcPr>
          <w:p w14:paraId="3E25A6F5"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0.078    </w:t>
            </w:r>
          </w:p>
        </w:tc>
        <w:tc>
          <w:tcPr>
            <w:tcW w:w="992" w:type="dxa"/>
            <w:tcBorders>
              <w:top w:val="nil"/>
              <w:left w:val="nil"/>
              <w:bottom w:val="nil"/>
              <w:right w:val="nil"/>
            </w:tcBorders>
            <w:shd w:val="clear" w:color="auto" w:fill="auto"/>
            <w:noWrap/>
            <w:vAlign w:val="center"/>
          </w:tcPr>
          <w:p w14:paraId="4582E570"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0.064    </w:t>
            </w:r>
          </w:p>
        </w:tc>
        <w:tc>
          <w:tcPr>
            <w:tcW w:w="851" w:type="dxa"/>
            <w:tcBorders>
              <w:top w:val="nil"/>
              <w:left w:val="nil"/>
              <w:bottom w:val="nil"/>
              <w:right w:val="nil"/>
            </w:tcBorders>
            <w:shd w:val="clear" w:color="auto" w:fill="auto"/>
            <w:noWrap/>
            <w:vAlign w:val="center"/>
          </w:tcPr>
          <w:p w14:paraId="49A8CAC2"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.224</w:t>
            </w:r>
          </w:p>
        </w:tc>
        <w:tc>
          <w:tcPr>
            <w:tcW w:w="425" w:type="dxa"/>
            <w:tcBorders>
              <w:top w:val="nil"/>
              <w:left w:val="nil"/>
              <w:bottom w:val="nil"/>
              <w:right w:val="nil"/>
            </w:tcBorders>
            <w:shd w:val="clear" w:color="auto" w:fill="auto"/>
            <w:noWrap/>
            <w:vAlign w:val="center"/>
          </w:tcPr>
          <w:p w14:paraId="6B7762D8"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992" w:type="dxa"/>
            <w:tcBorders>
              <w:top w:val="nil"/>
              <w:left w:val="nil"/>
              <w:bottom w:val="nil"/>
              <w:right w:val="nil"/>
            </w:tcBorders>
            <w:shd w:val="clear" w:color="auto" w:fill="auto"/>
            <w:noWrap/>
            <w:vAlign w:val="center"/>
          </w:tcPr>
          <w:p w14:paraId="5E17E7A9"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0.028    </w:t>
            </w:r>
          </w:p>
        </w:tc>
        <w:tc>
          <w:tcPr>
            <w:tcW w:w="680" w:type="dxa"/>
            <w:tcBorders>
              <w:top w:val="nil"/>
              <w:left w:val="nil"/>
              <w:bottom w:val="nil"/>
              <w:right w:val="nil"/>
            </w:tcBorders>
            <w:shd w:val="clear" w:color="auto" w:fill="auto"/>
            <w:noWrap/>
            <w:vAlign w:val="center"/>
          </w:tcPr>
          <w:p w14:paraId="561F2D83"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0.043      </w:t>
            </w:r>
          </w:p>
        </w:tc>
        <w:tc>
          <w:tcPr>
            <w:tcW w:w="680" w:type="dxa"/>
            <w:tcBorders>
              <w:top w:val="nil"/>
              <w:left w:val="nil"/>
              <w:bottom w:val="nil"/>
              <w:right w:val="nil"/>
            </w:tcBorders>
            <w:shd w:val="clear" w:color="auto" w:fill="auto"/>
            <w:noWrap/>
            <w:vAlign w:val="center"/>
          </w:tcPr>
          <w:p w14:paraId="0521E2BE"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.515</w:t>
            </w:r>
          </w:p>
        </w:tc>
      </w:tr>
      <w:tr w:rsidR="002B1ABD" w:rsidRPr="006C023E" w14:paraId="320E2354" w14:textId="77777777" w:rsidTr="009B66A5">
        <w:trPr>
          <w:trHeight w:val="310"/>
        </w:trPr>
        <w:tc>
          <w:tcPr>
            <w:tcW w:w="960" w:type="dxa"/>
            <w:tcBorders>
              <w:top w:val="nil"/>
              <w:left w:val="nil"/>
              <w:right w:val="nil"/>
            </w:tcBorders>
            <w:shd w:val="clear" w:color="auto" w:fill="auto"/>
            <w:noWrap/>
            <w:vAlign w:val="center"/>
            <w:hideMark/>
          </w:tcPr>
          <w:p w14:paraId="41D48E5C"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3151" w:type="dxa"/>
            <w:tcBorders>
              <w:top w:val="nil"/>
              <w:left w:val="nil"/>
              <w:right w:val="nil"/>
            </w:tcBorders>
            <w:shd w:val="clear" w:color="auto" w:fill="auto"/>
            <w:noWrap/>
            <w:vAlign w:val="center"/>
            <w:hideMark/>
          </w:tcPr>
          <w:p w14:paraId="1266287B"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rs4680 A </w:t>
            </w:r>
            <w:r w:rsidRPr="006C023E">
              <w:rPr>
                <w:rFonts w:ascii="Times New Roman" w:eastAsia="Times New Roman" w:hAnsi="Times New Roman" w:cs="Times New Roman"/>
                <w:sz w:val="24"/>
                <w:szCs w:val="24"/>
                <w:lang w:val="fi-FI" w:eastAsia="fi-FI"/>
              </w:rPr>
              <w:sym w:font="Wingdings" w:char="F0E0"/>
            </w:r>
            <w:r w:rsidRPr="006C023E">
              <w:rPr>
                <w:rFonts w:ascii="Times New Roman" w:eastAsia="Times New Roman" w:hAnsi="Times New Roman" w:cs="Times New Roman"/>
                <w:sz w:val="24"/>
                <w:szCs w:val="24"/>
                <w:lang w:val="fi-FI" w:eastAsia="fi-FI"/>
              </w:rPr>
              <w:t xml:space="preserve"> G (COMT)</w:t>
            </w:r>
          </w:p>
        </w:tc>
        <w:tc>
          <w:tcPr>
            <w:tcW w:w="1134" w:type="dxa"/>
            <w:tcBorders>
              <w:top w:val="nil"/>
              <w:left w:val="nil"/>
              <w:right w:val="nil"/>
            </w:tcBorders>
            <w:shd w:val="clear" w:color="auto" w:fill="auto"/>
            <w:noWrap/>
            <w:vAlign w:val="center"/>
          </w:tcPr>
          <w:p w14:paraId="742BBBD7"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0.072    </w:t>
            </w:r>
          </w:p>
        </w:tc>
        <w:tc>
          <w:tcPr>
            <w:tcW w:w="992" w:type="dxa"/>
            <w:tcBorders>
              <w:top w:val="nil"/>
              <w:left w:val="nil"/>
              <w:right w:val="nil"/>
            </w:tcBorders>
            <w:shd w:val="clear" w:color="auto" w:fill="auto"/>
            <w:noWrap/>
            <w:vAlign w:val="center"/>
          </w:tcPr>
          <w:p w14:paraId="4CD21A0C"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0.053     </w:t>
            </w:r>
          </w:p>
        </w:tc>
        <w:tc>
          <w:tcPr>
            <w:tcW w:w="851" w:type="dxa"/>
            <w:tcBorders>
              <w:top w:val="nil"/>
              <w:left w:val="nil"/>
              <w:right w:val="nil"/>
            </w:tcBorders>
            <w:shd w:val="clear" w:color="auto" w:fill="auto"/>
            <w:noWrap/>
            <w:vAlign w:val="center"/>
          </w:tcPr>
          <w:p w14:paraId="333E0A6A"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.176</w:t>
            </w:r>
          </w:p>
        </w:tc>
        <w:tc>
          <w:tcPr>
            <w:tcW w:w="425" w:type="dxa"/>
            <w:tcBorders>
              <w:top w:val="nil"/>
              <w:left w:val="nil"/>
              <w:right w:val="nil"/>
            </w:tcBorders>
            <w:shd w:val="clear" w:color="auto" w:fill="auto"/>
            <w:noWrap/>
            <w:vAlign w:val="center"/>
          </w:tcPr>
          <w:p w14:paraId="6E2245FE"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992" w:type="dxa"/>
            <w:tcBorders>
              <w:top w:val="nil"/>
              <w:left w:val="nil"/>
              <w:right w:val="nil"/>
            </w:tcBorders>
            <w:shd w:val="clear" w:color="auto" w:fill="auto"/>
            <w:noWrap/>
            <w:vAlign w:val="center"/>
          </w:tcPr>
          <w:p w14:paraId="33E41809"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-0.045    </w:t>
            </w:r>
          </w:p>
        </w:tc>
        <w:tc>
          <w:tcPr>
            <w:tcW w:w="680" w:type="dxa"/>
            <w:tcBorders>
              <w:top w:val="nil"/>
              <w:left w:val="nil"/>
              <w:right w:val="nil"/>
            </w:tcBorders>
            <w:shd w:val="clear" w:color="auto" w:fill="auto"/>
            <w:noWrap/>
            <w:vAlign w:val="center"/>
          </w:tcPr>
          <w:p w14:paraId="507AE75D"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0.035   </w:t>
            </w:r>
          </w:p>
        </w:tc>
        <w:tc>
          <w:tcPr>
            <w:tcW w:w="680" w:type="dxa"/>
            <w:tcBorders>
              <w:top w:val="nil"/>
              <w:left w:val="nil"/>
              <w:right w:val="nil"/>
            </w:tcBorders>
            <w:shd w:val="clear" w:color="auto" w:fill="auto"/>
            <w:noWrap/>
            <w:vAlign w:val="center"/>
          </w:tcPr>
          <w:p w14:paraId="160AA950"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.196</w:t>
            </w:r>
          </w:p>
        </w:tc>
      </w:tr>
      <w:tr w:rsidR="002B1ABD" w:rsidRPr="006C023E" w14:paraId="5FB41791" w14:textId="77777777" w:rsidTr="009B66A5">
        <w:trPr>
          <w:trHeight w:val="310"/>
        </w:trPr>
        <w:tc>
          <w:tcPr>
            <w:tcW w:w="960" w:type="dxa"/>
            <w:tcBorders>
              <w:top w:val="nil"/>
              <w:left w:val="nil"/>
              <w:bottom w:val="nil"/>
              <w:right w:val="nil"/>
            </w:tcBorders>
            <w:shd w:val="clear" w:color="auto" w:fill="auto"/>
            <w:noWrap/>
            <w:vAlign w:val="center"/>
            <w:hideMark/>
          </w:tcPr>
          <w:p w14:paraId="636E0902"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3151" w:type="dxa"/>
            <w:tcBorders>
              <w:top w:val="nil"/>
              <w:left w:val="nil"/>
              <w:bottom w:val="nil"/>
              <w:right w:val="nil"/>
            </w:tcBorders>
            <w:shd w:val="clear" w:color="auto" w:fill="auto"/>
            <w:noWrap/>
            <w:vAlign w:val="center"/>
            <w:hideMark/>
          </w:tcPr>
          <w:p w14:paraId="0F5C741C"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rs1611115 T</w:t>
            </w:r>
            <w:r w:rsidRPr="006C023E">
              <w:rPr>
                <w:rFonts w:ascii="Times New Roman" w:eastAsia="Times New Roman" w:hAnsi="Times New Roman" w:cs="Times New Roman"/>
                <w:sz w:val="24"/>
                <w:szCs w:val="24"/>
                <w:lang w:val="fi-FI" w:eastAsia="fi-FI"/>
              </w:rPr>
              <w:sym w:font="Wingdings" w:char="F0E0"/>
            </w:r>
            <w:r w:rsidRPr="006C023E">
              <w:rPr>
                <w:rFonts w:ascii="Times New Roman" w:eastAsia="Times New Roman" w:hAnsi="Times New Roman" w:cs="Times New Roman"/>
                <w:sz w:val="24"/>
                <w:szCs w:val="24"/>
                <w:lang w:val="fi-FI" w:eastAsia="fi-FI"/>
              </w:rPr>
              <w:t>C (DBH)</w:t>
            </w:r>
          </w:p>
        </w:tc>
        <w:tc>
          <w:tcPr>
            <w:tcW w:w="1134" w:type="dxa"/>
            <w:tcBorders>
              <w:top w:val="nil"/>
              <w:left w:val="nil"/>
              <w:bottom w:val="nil"/>
              <w:right w:val="nil"/>
            </w:tcBorders>
            <w:shd w:val="clear" w:color="auto" w:fill="auto"/>
            <w:noWrap/>
            <w:vAlign w:val="center"/>
          </w:tcPr>
          <w:p w14:paraId="68DF1C9A"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-0.120    </w:t>
            </w:r>
          </w:p>
        </w:tc>
        <w:tc>
          <w:tcPr>
            <w:tcW w:w="992" w:type="dxa"/>
            <w:tcBorders>
              <w:top w:val="nil"/>
              <w:left w:val="nil"/>
              <w:bottom w:val="nil"/>
              <w:right w:val="nil"/>
            </w:tcBorders>
            <w:shd w:val="clear" w:color="auto" w:fill="auto"/>
            <w:noWrap/>
            <w:vAlign w:val="center"/>
          </w:tcPr>
          <w:p w14:paraId="52593642"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0.069  </w:t>
            </w:r>
          </w:p>
        </w:tc>
        <w:tc>
          <w:tcPr>
            <w:tcW w:w="851" w:type="dxa"/>
            <w:tcBorders>
              <w:top w:val="nil"/>
              <w:left w:val="nil"/>
              <w:bottom w:val="nil"/>
              <w:right w:val="nil"/>
            </w:tcBorders>
            <w:shd w:val="clear" w:color="auto" w:fill="auto"/>
            <w:noWrap/>
            <w:vAlign w:val="center"/>
          </w:tcPr>
          <w:p w14:paraId="4383548C"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.083</w:t>
            </w:r>
          </w:p>
        </w:tc>
        <w:tc>
          <w:tcPr>
            <w:tcW w:w="425" w:type="dxa"/>
            <w:tcBorders>
              <w:top w:val="nil"/>
              <w:left w:val="nil"/>
              <w:bottom w:val="nil"/>
              <w:right w:val="nil"/>
            </w:tcBorders>
            <w:shd w:val="clear" w:color="auto" w:fill="auto"/>
            <w:noWrap/>
            <w:vAlign w:val="center"/>
          </w:tcPr>
          <w:p w14:paraId="204F5F25"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992" w:type="dxa"/>
            <w:tcBorders>
              <w:top w:val="nil"/>
              <w:left w:val="nil"/>
              <w:bottom w:val="nil"/>
              <w:right w:val="nil"/>
            </w:tcBorders>
            <w:shd w:val="clear" w:color="auto" w:fill="auto"/>
            <w:noWrap/>
            <w:vAlign w:val="center"/>
          </w:tcPr>
          <w:p w14:paraId="2001D194"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0.188    </w:t>
            </w:r>
          </w:p>
        </w:tc>
        <w:tc>
          <w:tcPr>
            <w:tcW w:w="680" w:type="dxa"/>
            <w:tcBorders>
              <w:top w:val="nil"/>
              <w:left w:val="nil"/>
              <w:bottom w:val="nil"/>
              <w:right w:val="nil"/>
            </w:tcBorders>
            <w:shd w:val="clear" w:color="auto" w:fill="auto"/>
            <w:noWrap/>
            <w:vAlign w:val="center"/>
          </w:tcPr>
          <w:p w14:paraId="00D1EB05"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0.047    </w:t>
            </w:r>
          </w:p>
        </w:tc>
        <w:tc>
          <w:tcPr>
            <w:tcW w:w="680" w:type="dxa"/>
            <w:tcBorders>
              <w:top w:val="nil"/>
              <w:left w:val="nil"/>
              <w:bottom w:val="nil"/>
              <w:right w:val="nil"/>
            </w:tcBorders>
            <w:shd w:val="clear" w:color="auto" w:fill="auto"/>
            <w:noWrap/>
            <w:vAlign w:val="center"/>
          </w:tcPr>
          <w:p w14:paraId="1031C08A" w14:textId="77777777" w:rsidR="009D1103" w:rsidRPr="006C023E" w:rsidRDefault="009D1103" w:rsidP="008D10BD">
            <w:pPr>
              <w:spacing w:after="0" w:line="240" w:lineRule="auto"/>
              <w:rPr>
                <w:rFonts w:ascii="Times New Roman" w:eastAsia="Times New Roman" w:hAnsi="Times New Roman" w:cs="Times New Roman"/>
                <w:b/>
                <w:bCs/>
                <w:sz w:val="24"/>
                <w:szCs w:val="24"/>
                <w:lang w:val="fi-FI" w:eastAsia="fi-FI"/>
              </w:rPr>
            </w:pPr>
            <w:r w:rsidRPr="006C023E">
              <w:rPr>
                <w:rFonts w:ascii="Times New Roman" w:eastAsia="Times New Roman" w:hAnsi="Times New Roman" w:cs="Times New Roman"/>
                <w:b/>
                <w:bCs/>
                <w:sz w:val="24"/>
                <w:szCs w:val="24"/>
                <w:lang w:val="fi-FI" w:eastAsia="fi-FI"/>
              </w:rPr>
              <w:t>&lt;.001</w:t>
            </w:r>
          </w:p>
        </w:tc>
      </w:tr>
      <w:tr w:rsidR="002B1ABD" w:rsidRPr="006C023E" w14:paraId="41483926" w14:textId="77777777" w:rsidTr="009B66A5">
        <w:trPr>
          <w:trHeight w:val="310"/>
        </w:trPr>
        <w:tc>
          <w:tcPr>
            <w:tcW w:w="960" w:type="dxa"/>
            <w:tcBorders>
              <w:top w:val="nil"/>
              <w:left w:val="nil"/>
              <w:bottom w:val="nil"/>
              <w:right w:val="nil"/>
            </w:tcBorders>
            <w:shd w:val="clear" w:color="auto" w:fill="auto"/>
            <w:noWrap/>
            <w:vAlign w:val="center"/>
          </w:tcPr>
          <w:p w14:paraId="1AF90C2D"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f)</w:t>
            </w:r>
          </w:p>
        </w:tc>
        <w:tc>
          <w:tcPr>
            <w:tcW w:w="3151" w:type="dxa"/>
            <w:tcBorders>
              <w:top w:val="nil"/>
              <w:left w:val="nil"/>
              <w:bottom w:val="nil"/>
              <w:right w:val="nil"/>
            </w:tcBorders>
            <w:shd w:val="clear" w:color="auto" w:fill="auto"/>
            <w:noWrap/>
            <w:vAlign w:val="center"/>
          </w:tcPr>
          <w:p w14:paraId="5F54EB1E"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eastAsia="ar-SA"/>
              </w:rPr>
              <w:t>low oxytocin genetic profile</w:t>
            </w:r>
          </w:p>
        </w:tc>
        <w:tc>
          <w:tcPr>
            <w:tcW w:w="1134" w:type="dxa"/>
            <w:tcBorders>
              <w:top w:val="nil"/>
              <w:left w:val="nil"/>
              <w:bottom w:val="nil"/>
              <w:right w:val="nil"/>
            </w:tcBorders>
            <w:shd w:val="clear" w:color="auto" w:fill="auto"/>
            <w:noWrap/>
            <w:vAlign w:val="center"/>
          </w:tcPr>
          <w:p w14:paraId="57CCD6C2"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0.032    </w:t>
            </w:r>
          </w:p>
        </w:tc>
        <w:tc>
          <w:tcPr>
            <w:tcW w:w="992" w:type="dxa"/>
            <w:tcBorders>
              <w:top w:val="nil"/>
              <w:left w:val="nil"/>
              <w:bottom w:val="nil"/>
              <w:right w:val="nil"/>
            </w:tcBorders>
            <w:shd w:val="clear" w:color="auto" w:fill="auto"/>
            <w:noWrap/>
            <w:vAlign w:val="center"/>
          </w:tcPr>
          <w:p w14:paraId="6857A9CA"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0.038     </w:t>
            </w:r>
          </w:p>
        </w:tc>
        <w:tc>
          <w:tcPr>
            <w:tcW w:w="851" w:type="dxa"/>
            <w:tcBorders>
              <w:top w:val="nil"/>
              <w:left w:val="nil"/>
              <w:bottom w:val="nil"/>
              <w:right w:val="nil"/>
            </w:tcBorders>
            <w:shd w:val="clear" w:color="auto" w:fill="auto"/>
            <w:noWrap/>
            <w:vAlign w:val="center"/>
          </w:tcPr>
          <w:p w14:paraId="06199802"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.395</w:t>
            </w:r>
          </w:p>
        </w:tc>
        <w:tc>
          <w:tcPr>
            <w:tcW w:w="425" w:type="dxa"/>
            <w:tcBorders>
              <w:top w:val="nil"/>
              <w:left w:val="nil"/>
              <w:bottom w:val="nil"/>
              <w:right w:val="nil"/>
            </w:tcBorders>
            <w:shd w:val="clear" w:color="auto" w:fill="auto"/>
            <w:noWrap/>
            <w:vAlign w:val="center"/>
          </w:tcPr>
          <w:p w14:paraId="1EE92E3D"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992" w:type="dxa"/>
            <w:tcBorders>
              <w:top w:val="nil"/>
              <w:left w:val="nil"/>
              <w:bottom w:val="nil"/>
              <w:right w:val="nil"/>
            </w:tcBorders>
            <w:shd w:val="clear" w:color="auto" w:fill="auto"/>
            <w:noWrap/>
            <w:vAlign w:val="center"/>
          </w:tcPr>
          <w:p w14:paraId="729FA5C3"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-0.039    </w:t>
            </w:r>
          </w:p>
        </w:tc>
        <w:tc>
          <w:tcPr>
            <w:tcW w:w="680" w:type="dxa"/>
            <w:tcBorders>
              <w:top w:val="nil"/>
              <w:left w:val="nil"/>
              <w:bottom w:val="nil"/>
              <w:right w:val="nil"/>
            </w:tcBorders>
            <w:shd w:val="clear" w:color="auto" w:fill="auto"/>
            <w:noWrap/>
            <w:vAlign w:val="center"/>
          </w:tcPr>
          <w:p w14:paraId="71A70E3E"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0.025   </w:t>
            </w:r>
          </w:p>
        </w:tc>
        <w:tc>
          <w:tcPr>
            <w:tcW w:w="680" w:type="dxa"/>
            <w:tcBorders>
              <w:top w:val="nil"/>
              <w:left w:val="nil"/>
              <w:bottom w:val="nil"/>
              <w:right w:val="nil"/>
            </w:tcBorders>
            <w:shd w:val="clear" w:color="auto" w:fill="auto"/>
            <w:noWrap/>
            <w:vAlign w:val="center"/>
          </w:tcPr>
          <w:p w14:paraId="30DA49A6"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.112</w:t>
            </w:r>
          </w:p>
        </w:tc>
      </w:tr>
      <w:tr w:rsidR="002B1ABD" w:rsidRPr="006C023E" w14:paraId="68217F85" w14:textId="77777777" w:rsidTr="009B66A5">
        <w:trPr>
          <w:trHeight w:val="310"/>
        </w:trPr>
        <w:tc>
          <w:tcPr>
            <w:tcW w:w="960" w:type="dxa"/>
            <w:tcBorders>
              <w:top w:val="nil"/>
              <w:left w:val="nil"/>
              <w:bottom w:val="single" w:sz="4" w:space="0" w:color="auto"/>
              <w:right w:val="nil"/>
            </w:tcBorders>
            <w:shd w:val="clear" w:color="auto" w:fill="auto"/>
            <w:noWrap/>
            <w:vAlign w:val="center"/>
          </w:tcPr>
          <w:p w14:paraId="0AC54A76"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g)</w:t>
            </w:r>
          </w:p>
        </w:tc>
        <w:tc>
          <w:tcPr>
            <w:tcW w:w="3151" w:type="dxa"/>
            <w:tcBorders>
              <w:top w:val="nil"/>
              <w:left w:val="nil"/>
              <w:bottom w:val="single" w:sz="4" w:space="0" w:color="auto"/>
              <w:right w:val="nil"/>
            </w:tcBorders>
            <w:shd w:val="clear" w:color="auto" w:fill="auto"/>
            <w:noWrap/>
            <w:vAlign w:val="center"/>
          </w:tcPr>
          <w:p w14:paraId="4DC65AAC"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eastAsia="ar-SA"/>
              </w:rPr>
              <w:t>high dopamine genetic profile</w:t>
            </w:r>
          </w:p>
        </w:tc>
        <w:tc>
          <w:tcPr>
            <w:tcW w:w="1134" w:type="dxa"/>
            <w:tcBorders>
              <w:top w:val="nil"/>
              <w:left w:val="nil"/>
              <w:bottom w:val="single" w:sz="4" w:space="0" w:color="auto"/>
              <w:right w:val="nil"/>
            </w:tcBorders>
            <w:shd w:val="clear" w:color="auto" w:fill="auto"/>
            <w:noWrap/>
            <w:vAlign w:val="center"/>
          </w:tcPr>
          <w:p w14:paraId="4D914F1A"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0.028    </w:t>
            </w:r>
          </w:p>
        </w:tc>
        <w:tc>
          <w:tcPr>
            <w:tcW w:w="992" w:type="dxa"/>
            <w:tcBorders>
              <w:top w:val="nil"/>
              <w:left w:val="nil"/>
              <w:bottom w:val="single" w:sz="4" w:space="0" w:color="auto"/>
              <w:right w:val="nil"/>
            </w:tcBorders>
            <w:shd w:val="clear" w:color="auto" w:fill="auto"/>
            <w:noWrap/>
            <w:vAlign w:val="center"/>
          </w:tcPr>
          <w:p w14:paraId="5A947162"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0.036    </w:t>
            </w:r>
          </w:p>
        </w:tc>
        <w:tc>
          <w:tcPr>
            <w:tcW w:w="851" w:type="dxa"/>
            <w:tcBorders>
              <w:top w:val="nil"/>
              <w:left w:val="nil"/>
              <w:bottom w:val="single" w:sz="4" w:space="0" w:color="auto"/>
              <w:right w:val="nil"/>
            </w:tcBorders>
            <w:shd w:val="clear" w:color="auto" w:fill="auto"/>
            <w:noWrap/>
            <w:vAlign w:val="center"/>
          </w:tcPr>
          <w:p w14:paraId="0BCEADBF"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.448</w:t>
            </w:r>
          </w:p>
        </w:tc>
        <w:tc>
          <w:tcPr>
            <w:tcW w:w="425" w:type="dxa"/>
            <w:tcBorders>
              <w:top w:val="nil"/>
              <w:left w:val="nil"/>
              <w:bottom w:val="single" w:sz="4" w:space="0" w:color="auto"/>
              <w:right w:val="nil"/>
            </w:tcBorders>
            <w:shd w:val="clear" w:color="auto" w:fill="auto"/>
            <w:noWrap/>
            <w:vAlign w:val="center"/>
          </w:tcPr>
          <w:p w14:paraId="12EC3681"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992" w:type="dxa"/>
            <w:tcBorders>
              <w:top w:val="nil"/>
              <w:left w:val="nil"/>
              <w:bottom w:val="single" w:sz="4" w:space="0" w:color="auto"/>
              <w:right w:val="nil"/>
            </w:tcBorders>
            <w:shd w:val="clear" w:color="auto" w:fill="auto"/>
            <w:noWrap/>
            <w:vAlign w:val="center"/>
          </w:tcPr>
          <w:p w14:paraId="0AF3BC99"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0.036    </w:t>
            </w:r>
          </w:p>
        </w:tc>
        <w:tc>
          <w:tcPr>
            <w:tcW w:w="680" w:type="dxa"/>
            <w:tcBorders>
              <w:top w:val="nil"/>
              <w:left w:val="nil"/>
              <w:bottom w:val="single" w:sz="4" w:space="0" w:color="auto"/>
              <w:right w:val="nil"/>
            </w:tcBorders>
            <w:shd w:val="clear" w:color="auto" w:fill="auto"/>
            <w:noWrap/>
            <w:vAlign w:val="center"/>
          </w:tcPr>
          <w:p w14:paraId="4396E2DE"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0.024       </w:t>
            </w:r>
          </w:p>
        </w:tc>
        <w:tc>
          <w:tcPr>
            <w:tcW w:w="680" w:type="dxa"/>
            <w:tcBorders>
              <w:top w:val="nil"/>
              <w:left w:val="nil"/>
              <w:bottom w:val="single" w:sz="4" w:space="0" w:color="auto"/>
              <w:right w:val="nil"/>
            </w:tcBorders>
            <w:shd w:val="clear" w:color="auto" w:fill="auto"/>
            <w:noWrap/>
            <w:vAlign w:val="center"/>
          </w:tcPr>
          <w:p w14:paraId="0E8A3BB6"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.133</w:t>
            </w:r>
          </w:p>
        </w:tc>
      </w:tr>
    </w:tbl>
    <w:p w14:paraId="6825F951" w14:textId="77777777" w:rsidR="009D1103" w:rsidRPr="006C023E" w:rsidRDefault="009D1103" w:rsidP="008D10BD">
      <w:pPr>
        <w:spacing w:line="480" w:lineRule="auto"/>
        <w:rPr>
          <w:rFonts w:ascii="Times New Roman" w:hAnsi="Times New Roman" w:cs="Times New Roman"/>
          <w:sz w:val="24"/>
          <w:szCs w:val="24"/>
        </w:rPr>
      </w:pPr>
      <w:r w:rsidRPr="006C023E">
        <w:rPr>
          <w:rFonts w:ascii="Times New Roman" w:hAnsi="Times New Roman" w:cs="Times New Roman"/>
          <w:i/>
          <w:sz w:val="24"/>
          <w:szCs w:val="24"/>
        </w:rPr>
        <w:t>Notes</w:t>
      </w:r>
      <w:r w:rsidRPr="006C023E">
        <w:rPr>
          <w:rFonts w:ascii="Times New Roman" w:hAnsi="Times New Roman" w:cs="Times New Roman"/>
          <w:sz w:val="24"/>
          <w:szCs w:val="24"/>
        </w:rPr>
        <w:t xml:space="preserve">. </w:t>
      </w:r>
      <w:bookmarkStart w:id="0" w:name="_Hlk40399326"/>
      <w:r w:rsidRPr="006C023E">
        <w:rPr>
          <w:rFonts w:ascii="Times New Roman" w:hAnsi="Times New Roman" w:cs="Times New Roman"/>
          <w:sz w:val="24"/>
          <w:szCs w:val="24"/>
        </w:rPr>
        <w:t>In all models (n=2130), included covariates were year of birth, gender, childhood and adulthood socioeconomic status, and the top 10 genetic principal components. Across models, RMSEAs = 0.032-0.035 and CFIs = 0.882-0.</w:t>
      </w:r>
      <w:bookmarkEnd w:id="0"/>
      <w:r w:rsidRPr="006C023E">
        <w:rPr>
          <w:rFonts w:ascii="Times New Roman" w:hAnsi="Times New Roman" w:cs="Times New Roman"/>
          <w:sz w:val="24"/>
          <w:szCs w:val="24"/>
        </w:rPr>
        <w:t xml:space="preserve">894. </w:t>
      </w:r>
    </w:p>
    <w:p w14:paraId="13DA76C3" w14:textId="77777777" w:rsidR="009D1103" w:rsidRPr="006C023E" w:rsidRDefault="009D1103" w:rsidP="008D10BD">
      <w:pPr>
        <w:rPr>
          <w:rFonts w:ascii="Times New Roman" w:hAnsi="Times New Roman" w:cs="Times New Roman"/>
          <w:sz w:val="24"/>
          <w:szCs w:val="24"/>
        </w:rPr>
      </w:pPr>
      <w:r w:rsidRPr="006C023E">
        <w:rPr>
          <w:rFonts w:ascii="Times New Roman" w:hAnsi="Times New Roman" w:cs="Times New Roman"/>
          <w:sz w:val="24"/>
          <w:szCs w:val="24"/>
        </w:rPr>
        <w:br w:type="page"/>
      </w:r>
    </w:p>
    <w:p w14:paraId="3F0AE49E" w14:textId="08B362E9" w:rsidR="009D1103" w:rsidRPr="006C023E" w:rsidRDefault="009D1103" w:rsidP="008D10BD">
      <w:pPr>
        <w:spacing w:line="240" w:lineRule="auto"/>
        <w:rPr>
          <w:rFonts w:ascii="Times New Roman" w:hAnsi="Times New Roman" w:cs="Times New Roman"/>
          <w:sz w:val="24"/>
          <w:szCs w:val="24"/>
        </w:rPr>
      </w:pPr>
      <w:r w:rsidRPr="006C023E">
        <w:rPr>
          <w:rFonts w:ascii="Times New Roman" w:hAnsi="Times New Roman" w:cs="Times New Roman"/>
          <w:b/>
          <w:sz w:val="24"/>
          <w:szCs w:val="24"/>
        </w:rPr>
        <w:lastRenderedPageBreak/>
        <w:t>Table S</w:t>
      </w:r>
      <w:r w:rsidR="00EF2B17" w:rsidRPr="006C023E">
        <w:rPr>
          <w:rFonts w:ascii="Times New Roman" w:hAnsi="Times New Roman" w:cs="Times New Roman"/>
          <w:b/>
          <w:sz w:val="24"/>
          <w:szCs w:val="24"/>
        </w:rPr>
        <w:t>4</w:t>
      </w:r>
      <w:r w:rsidRPr="006C023E">
        <w:rPr>
          <w:rFonts w:ascii="Times New Roman" w:hAnsi="Times New Roman" w:cs="Times New Roman"/>
          <w:b/>
          <w:sz w:val="24"/>
          <w:szCs w:val="24"/>
        </w:rPr>
        <w:t>.</w:t>
      </w:r>
      <w:r w:rsidRPr="006C023E">
        <w:rPr>
          <w:rFonts w:ascii="Times New Roman" w:hAnsi="Times New Roman" w:cs="Times New Roman"/>
          <w:sz w:val="24"/>
          <w:szCs w:val="24"/>
        </w:rPr>
        <w:t xml:space="preserve"> </w:t>
      </w:r>
      <w:r w:rsidRPr="006C023E">
        <w:rPr>
          <w:rFonts w:ascii="Times New Roman" w:eastAsia="Times New Roman" w:hAnsi="Times New Roman" w:cs="Times New Roman"/>
          <w:iCs/>
          <w:sz w:val="24"/>
          <w:szCs w:val="24"/>
          <w:lang w:eastAsia="fi-FI"/>
        </w:rPr>
        <w:t xml:space="preserve">Association between Oxytocin and Dopamine Pathway Genes and a Model using only the Reversed </w:t>
      </w:r>
      <w:r w:rsidR="00395CCD" w:rsidRPr="006C023E">
        <w:rPr>
          <w:rFonts w:ascii="Times New Roman" w:eastAsia="Times New Roman" w:hAnsi="Times New Roman" w:cs="Times New Roman"/>
          <w:iCs/>
          <w:sz w:val="24"/>
          <w:szCs w:val="24"/>
          <w:lang w:eastAsia="fi-FI"/>
        </w:rPr>
        <w:t xml:space="preserve">Scored </w:t>
      </w:r>
      <w:r w:rsidRPr="006C023E">
        <w:rPr>
          <w:rFonts w:ascii="Times New Roman" w:eastAsia="Times New Roman" w:hAnsi="Times New Roman" w:cs="Times New Roman"/>
          <w:iCs/>
          <w:sz w:val="24"/>
          <w:szCs w:val="24"/>
          <w:lang w:eastAsia="fi-FI"/>
        </w:rPr>
        <w:t>TCI Items (Low Revengefulness)</w:t>
      </w:r>
    </w:p>
    <w:tbl>
      <w:tblPr>
        <w:tblW w:w="9881" w:type="dxa"/>
        <w:tblCellMar>
          <w:left w:w="70" w:type="dxa"/>
          <w:right w:w="70" w:type="dxa"/>
        </w:tblCellMar>
        <w:tblLook w:val="04A0" w:firstRow="1" w:lastRow="0" w:firstColumn="1" w:lastColumn="0" w:noHBand="0" w:noVBand="1"/>
      </w:tblPr>
      <w:tblGrid>
        <w:gridCol w:w="960"/>
        <w:gridCol w:w="3151"/>
        <w:gridCol w:w="1134"/>
        <w:gridCol w:w="992"/>
        <w:gridCol w:w="851"/>
        <w:gridCol w:w="425"/>
        <w:gridCol w:w="992"/>
        <w:gridCol w:w="680"/>
        <w:gridCol w:w="809"/>
      </w:tblGrid>
      <w:tr w:rsidR="002B1ABD" w:rsidRPr="006C023E" w14:paraId="400CAA83" w14:textId="77777777" w:rsidTr="009B66A5">
        <w:trPr>
          <w:trHeight w:val="310"/>
        </w:trPr>
        <w:tc>
          <w:tcPr>
            <w:tcW w:w="960" w:type="dxa"/>
            <w:tcBorders>
              <w:top w:val="single" w:sz="4" w:space="0" w:color="auto"/>
              <w:left w:val="nil"/>
              <w:bottom w:val="single" w:sz="4" w:space="0" w:color="auto"/>
              <w:right w:val="nil"/>
            </w:tcBorders>
            <w:shd w:val="clear" w:color="auto" w:fill="auto"/>
            <w:noWrap/>
            <w:hideMark/>
          </w:tcPr>
          <w:p w14:paraId="1FF149B5" w14:textId="77777777" w:rsidR="009D1103" w:rsidRPr="006C023E" w:rsidRDefault="009D1103" w:rsidP="008D10BD">
            <w:pPr>
              <w:spacing w:after="0" w:line="240" w:lineRule="auto"/>
              <w:rPr>
                <w:rFonts w:ascii="Times New Roman" w:eastAsia="Times New Roman" w:hAnsi="Times New Roman" w:cs="Times New Roman"/>
                <w:i/>
                <w:iCs/>
                <w:sz w:val="24"/>
                <w:szCs w:val="24"/>
                <w:lang w:val="fi-FI" w:eastAsia="fi-FI"/>
              </w:rPr>
            </w:pPr>
            <w:r w:rsidRPr="006C023E">
              <w:rPr>
                <w:rFonts w:ascii="Times New Roman" w:eastAsia="Times New Roman" w:hAnsi="Times New Roman" w:cs="Times New Roman"/>
                <w:i/>
                <w:iCs/>
                <w:sz w:val="24"/>
                <w:szCs w:val="24"/>
                <w:lang w:eastAsia="fi-FI"/>
              </w:rPr>
              <w:t>Model</w:t>
            </w:r>
          </w:p>
        </w:tc>
        <w:tc>
          <w:tcPr>
            <w:tcW w:w="3151" w:type="dxa"/>
            <w:tcBorders>
              <w:top w:val="single" w:sz="4" w:space="0" w:color="auto"/>
              <w:left w:val="nil"/>
              <w:bottom w:val="single" w:sz="4" w:space="0" w:color="auto"/>
              <w:right w:val="nil"/>
            </w:tcBorders>
            <w:shd w:val="clear" w:color="auto" w:fill="auto"/>
            <w:noWrap/>
            <w:hideMark/>
          </w:tcPr>
          <w:p w14:paraId="06A56319" w14:textId="77777777" w:rsidR="009D1103" w:rsidRPr="006C023E" w:rsidRDefault="009D1103" w:rsidP="008D10BD">
            <w:pPr>
              <w:spacing w:after="0" w:line="240" w:lineRule="auto"/>
              <w:rPr>
                <w:rFonts w:ascii="Times New Roman" w:eastAsia="Times New Roman" w:hAnsi="Times New Roman" w:cs="Times New Roman"/>
                <w:i/>
                <w:iCs/>
                <w:sz w:val="24"/>
                <w:szCs w:val="24"/>
                <w:lang w:val="fi-FI" w:eastAsia="fi-FI"/>
              </w:rPr>
            </w:pPr>
            <w:r w:rsidRPr="006C023E">
              <w:rPr>
                <w:rFonts w:ascii="Times New Roman" w:eastAsia="Times New Roman" w:hAnsi="Times New Roman" w:cs="Times New Roman"/>
                <w:i/>
                <w:iCs/>
                <w:sz w:val="24"/>
                <w:szCs w:val="24"/>
                <w:lang w:val="fi-FI" w:eastAsia="fi-FI"/>
              </w:rPr>
              <w:t> </w:t>
            </w:r>
          </w:p>
        </w:tc>
        <w:tc>
          <w:tcPr>
            <w:tcW w:w="1134" w:type="dxa"/>
            <w:tcBorders>
              <w:top w:val="single" w:sz="4" w:space="0" w:color="auto"/>
              <w:left w:val="nil"/>
              <w:bottom w:val="single" w:sz="4" w:space="0" w:color="auto"/>
              <w:right w:val="nil"/>
            </w:tcBorders>
            <w:shd w:val="clear" w:color="auto" w:fill="auto"/>
            <w:noWrap/>
            <w:hideMark/>
          </w:tcPr>
          <w:p w14:paraId="11D76E5B" w14:textId="77777777" w:rsidR="009D1103" w:rsidRPr="006C023E" w:rsidRDefault="009D1103" w:rsidP="008D10BD">
            <w:pPr>
              <w:spacing w:after="0" w:line="240" w:lineRule="auto"/>
              <w:rPr>
                <w:rFonts w:ascii="Times New Roman" w:eastAsia="Times New Roman" w:hAnsi="Times New Roman" w:cs="Times New Roman"/>
                <w:i/>
                <w:iCs/>
                <w:sz w:val="24"/>
                <w:szCs w:val="24"/>
                <w:lang w:val="fi-FI" w:eastAsia="fi-FI"/>
              </w:rPr>
            </w:pPr>
            <w:r w:rsidRPr="006C023E">
              <w:rPr>
                <w:rFonts w:ascii="Times New Roman" w:eastAsia="Times New Roman" w:hAnsi="Times New Roman" w:cs="Times New Roman"/>
                <w:iCs/>
                <w:sz w:val="24"/>
                <w:szCs w:val="24"/>
                <w:lang w:eastAsia="fi-FI"/>
              </w:rPr>
              <w:t>Initial levels</w:t>
            </w:r>
          </w:p>
        </w:tc>
        <w:tc>
          <w:tcPr>
            <w:tcW w:w="992" w:type="dxa"/>
            <w:tcBorders>
              <w:top w:val="single" w:sz="4" w:space="0" w:color="auto"/>
              <w:left w:val="nil"/>
              <w:bottom w:val="single" w:sz="4" w:space="0" w:color="auto"/>
              <w:right w:val="nil"/>
            </w:tcBorders>
            <w:shd w:val="clear" w:color="auto" w:fill="auto"/>
            <w:noWrap/>
            <w:hideMark/>
          </w:tcPr>
          <w:p w14:paraId="10B15C59" w14:textId="77777777" w:rsidR="009D1103" w:rsidRPr="006C023E" w:rsidRDefault="009D1103" w:rsidP="008D10BD">
            <w:pPr>
              <w:spacing w:after="0" w:line="240" w:lineRule="auto"/>
              <w:rPr>
                <w:rFonts w:ascii="Times New Roman" w:eastAsia="Times New Roman" w:hAnsi="Times New Roman" w:cs="Times New Roman"/>
                <w:i/>
                <w:iCs/>
                <w:sz w:val="24"/>
                <w:szCs w:val="24"/>
                <w:lang w:val="fi-FI" w:eastAsia="fi-FI"/>
              </w:rPr>
            </w:pPr>
            <w:r w:rsidRPr="006C023E">
              <w:rPr>
                <w:rFonts w:ascii="Times New Roman" w:eastAsia="Times New Roman" w:hAnsi="Times New Roman" w:cs="Times New Roman"/>
                <w:i/>
                <w:iCs/>
                <w:sz w:val="24"/>
                <w:szCs w:val="24"/>
                <w:lang w:eastAsia="fi-FI"/>
              </w:rPr>
              <w:t xml:space="preserve"> (SE)</w:t>
            </w:r>
          </w:p>
        </w:tc>
        <w:tc>
          <w:tcPr>
            <w:tcW w:w="851" w:type="dxa"/>
            <w:tcBorders>
              <w:top w:val="single" w:sz="4" w:space="0" w:color="auto"/>
              <w:left w:val="nil"/>
              <w:bottom w:val="single" w:sz="4" w:space="0" w:color="auto"/>
              <w:right w:val="nil"/>
            </w:tcBorders>
            <w:shd w:val="clear" w:color="auto" w:fill="auto"/>
            <w:noWrap/>
            <w:hideMark/>
          </w:tcPr>
          <w:p w14:paraId="7F307A26" w14:textId="77777777" w:rsidR="009D1103" w:rsidRPr="006C023E" w:rsidRDefault="009D1103" w:rsidP="008D10BD">
            <w:pPr>
              <w:spacing w:after="0" w:line="240" w:lineRule="auto"/>
              <w:rPr>
                <w:rFonts w:ascii="Times New Roman" w:eastAsia="Times New Roman" w:hAnsi="Times New Roman" w:cs="Times New Roman"/>
                <w:i/>
                <w:iCs/>
                <w:sz w:val="24"/>
                <w:szCs w:val="24"/>
                <w:lang w:val="fi-FI" w:eastAsia="fi-FI"/>
              </w:rPr>
            </w:pPr>
            <w:r w:rsidRPr="006C023E">
              <w:rPr>
                <w:rFonts w:ascii="Times New Roman" w:eastAsia="Times New Roman" w:hAnsi="Times New Roman" w:cs="Times New Roman"/>
                <w:i/>
                <w:iCs/>
                <w:sz w:val="24"/>
                <w:szCs w:val="24"/>
                <w:lang w:eastAsia="fi-FI"/>
              </w:rPr>
              <w:t xml:space="preserve">p </w:t>
            </w:r>
          </w:p>
        </w:tc>
        <w:tc>
          <w:tcPr>
            <w:tcW w:w="425" w:type="dxa"/>
            <w:tcBorders>
              <w:top w:val="single" w:sz="4" w:space="0" w:color="auto"/>
              <w:left w:val="nil"/>
              <w:bottom w:val="single" w:sz="4" w:space="0" w:color="auto"/>
              <w:right w:val="nil"/>
            </w:tcBorders>
            <w:shd w:val="clear" w:color="auto" w:fill="auto"/>
            <w:noWrap/>
            <w:hideMark/>
          </w:tcPr>
          <w:p w14:paraId="01CB1060" w14:textId="77777777" w:rsidR="009D1103" w:rsidRPr="006C023E" w:rsidRDefault="009D1103" w:rsidP="008D10BD">
            <w:pPr>
              <w:spacing w:after="0" w:line="240" w:lineRule="auto"/>
              <w:rPr>
                <w:rFonts w:ascii="Times New Roman" w:eastAsia="Times New Roman" w:hAnsi="Times New Roman" w:cs="Times New Roman"/>
                <w:i/>
                <w:iCs/>
                <w:sz w:val="24"/>
                <w:szCs w:val="24"/>
                <w:lang w:val="fi-FI" w:eastAsia="fi-FI"/>
              </w:rPr>
            </w:pPr>
            <w:r w:rsidRPr="006C023E">
              <w:rPr>
                <w:rFonts w:ascii="Times New Roman" w:eastAsia="Times New Roman" w:hAnsi="Times New Roman" w:cs="Times New Roman"/>
                <w:i/>
                <w:iCs/>
                <w:sz w:val="24"/>
                <w:szCs w:val="24"/>
                <w:lang w:eastAsia="fi-FI"/>
              </w:rPr>
              <w:t> </w:t>
            </w:r>
          </w:p>
        </w:tc>
        <w:tc>
          <w:tcPr>
            <w:tcW w:w="992" w:type="dxa"/>
            <w:tcBorders>
              <w:top w:val="single" w:sz="4" w:space="0" w:color="auto"/>
              <w:left w:val="nil"/>
              <w:bottom w:val="single" w:sz="4" w:space="0" w:color="auto"/>
              <w:right w:val="nil"/>
            </w:tcBorders>
            <w:shd w:val="clear" w:color="auto" w:fill="auto"/>
            <w:noWrap/>
            <w:hideMark/>
          </w:tcPr>
          <w:p w14:paraId="663FDD0F" w14:textId="77777777" w:rsidR="009D1103" w:rsidRPr="006C023E" w:rsidRDefault="009D1103" w:rsidP="008D10BD">
            <w:pPr>
              <w:spacing w:after="0" w:line="240" w:lineRule="auto"/>
              <w:rPr>
                <w:rFonts w:ascii="Times New Roman" w:eastAsia="Times New Roman" w:hAnsi="Times New Roman" w:cs="Times New Roman"/>
                <w:i/>
                <w:iCs/>
                <w:sz w:val="24"/>
                <w:szCs w:val="24"/>
                <w:lang w:val="fi-FI" w:eastAsia="fi-FI"/>
              </w:rPr>
            </w:pPr>
            <w:r w:rsidRPr="006C023E">
              <w:rPr>
                <w:rFonts w:ascii="Times New Roman" w:eastAsia="Times New Roman" w:hAnsi="Times New Roman" w:cs="Times New Roman"/>
                <w:iCs/>
                <w:sz w:val="24"/>
                <w:szCs w:val="24"/>
                <w:lang w:eastAsia="fi-FI"/>
              </w:rPr>
              <w:t>Change over time</w:t>
            </w:r>
          </w:p>
        </w:tc>
        <w:tc>
          <w:tcPr>
            <w:tcW w:w="567" w:type="dxa"/>
            <w:tcBorders>
              <w:top w:val="single" w:sz="4" w:space="0" w:color="auto"/>
              <w:left w:val="nil"/>
              <w:bottom w:val="single" w:sz="4" w:space="0" w:color="auto"/>
              <w:right w:val="nil"/>
            </w:tcBorders>
            <w:shd w:val="clear" w:color="auto" w:fill="auto"/>
            <w:noWrap/>
            <w:hideMark/>
          </w:tcPr>
          <w:p w14:paraId="3B106C68" w14:textId="77777777" w:rsidR="009D1103" w:rsidRPr="006C023E" w:rsidRDefault="009D1103" w:rsidP="008D10BD">
            <w:pPr>
              <w:spacing w:after="0" w:line="240" w:lineRule="auto"/>
              <w:rPr>
                <w:rFonts w:ascii="Times New Roman" w:eastAsia="Times New Roman" w:hAnsi="Times New Roman" w:cs="Times New Roman"/>
                <w:i/>
                <w:iCs/>
                <w:sz w:val="24"/>
                <w:szCs w:val="24"/>
                <w:lang w:val="fi-FI" w:eastAsia="fi-FI"/>
              </w:rPr>
            </w:pPr>
            <w:r w:rsidRPr="006C023E">
              <w:rPr>
                <w:rFonts w:ascii="Times New Roman" w:eastAsia="Times New Roman" w:hAnsi="Times New Roman" w:cs="Times New Roman"/>
                <w:i/>
                <w:iCs/>
                <w:sz w:val="24"/>
                <w:szCs w:val="24"/>
                <w:lang w:eastAsia="fi-FI"/>
              </w:rPr>
              <w:t>(SE)</w:t>
            </w:r>
          </w:p>
        </w:tc>
        <w:tc>
          <w:tcPr>
            <w:tcW w:w="809" w:type="dxa"/>
            <w:tcBorders>
              <w:top w:val="single" w:sz="4" w:space="0" w:color="auto"/>
              <w:left w:val="nil"/>
              <w:bottom w:val="single" w:sz="4" w:space="0" w:color="auto"/>
              <w:right w:val="nil"/>
            </w:tcBorders>
            <w:shd w:val="clear" w:color="auto" w:fill="auto"/>
            <w:noWrap/>
            <w:hideMark/>
          </w:tcPr>
          <w:p w14:paraId="001BA81A" w14:textId="77777777" w:rsidR="009D1103" w:rsidRPr="006C023E" w:rsidRDefault="009D1103" w:rsidP="008D10BD">
            <w:pPr>
              <w:spacing w:after="0" w:line="240" w:lineRule="auto"/>
              <w:rPr>
                <w:rFonts w:ascii="Times New Roman" w:eastAsia="Times New Roman" w:hAnsi="Times New Roman" w:cs="Times New Roman"/>
                <w:i/>
                <w:iCs/>
                <w:sz w:val="24"/>
                <w:szCs w:val="24"/>
                <w:lang w:val="fi-FI" w:eastAsia="fi-FI"/>
              </w:rPr>
            </w:pPr>
            <w:r w:rsidRPr="006C023E">
              <w:rPr>
                <w:rFonts w:ascii="Times New Roman" w:eastAsia="Times New Roman" w:hAnsi="Times New Roman" w:cs="Times New Roman"/>
                <w:i/>
                <w:iCs/>
                <w:sz w:val="24"/>
                <w:szCs w:val="24"/>
                <w:lang w:eastAsia="fi-FI"/>
              </w:rPr>
              <w:t>p</w:t>
            </w:r>
          </w:p>
        </w:tc>
      </w:tr>
      <w:tr w:rsidR="002B1ABD" w:rsidRPr="006C023E" w14:paraId="4EF8C155" w14:textId="77777777" w:rsidTr="009B66A5">
        <w:trPr>
          <w:trHeight w:val="310"/>
        </w:trPr>
        <w:tc>
          <w:tcPr>
            <w:tcW w:w="960" w:type="dxa"/>
            <w:tcBorders>
              <w:top w:val="single" w:sz="4" w:space="0" w:color="auto"/>
              <w:left w:val="nil"/>
              <w:bottom w:val="nil"/>
              <w:right w:val="nil"/>
            </w:tcBorders>
            <w:shd w:val="clear" w:color="auto" w:fill="auto"/>
            <w:noWrap/>
            <w:vAlign w:val="center"/>
            <w:hideMark/>
          </w:tcPr>
          <w:p w14:paraId="40F63EDB" w14:textId="77777777" w:rsidR="009D1103" w:rsidRPr="006C023E" w:rsidRDefault="009D1103" w:rsidP="008D10BD">
            <w:pPr>
              <w:spacing w:after="0" w:line="240" w:lineRule="auto"/>
              <w:rPr>
                <w:rFonts w:ascii="Times New Roman" w:eastAsia="Times New Roman" w:hAnsi="Times New Roman" w:cs="Times New Roman"/>
                <w:i/>
                <w:iCs/>
                <w:sz w:val="24"/>
                <w:szCs w:val="24"/>
                <w:lang w:val="fi-FI" w:eastAsia="fi-FI"/>
              </w:rPr>
            </w:pPr>
            <w:r w:rsidRPr="006C023E">
              <w:rPr>
                <w:rFonts w:ascii="Times New Roman" w:eastAsia="Times New Roman" w:hAnsi="Times New Roman" w:cs="Times New Roman"/>
                <w:i/>
                <w:iCs/>
                <w:sz w:val="24"/>
                <w:szCs w:val="24"/>
                <w:lang w:eastAsia="fi-FI"/>
              </w:rPr>
              <w:t>Model 1</w:t>
            </w:r>
          </w:p>
        </w:tc>
        <w:tc>
          <w:tcPr>
            <w:tcW w:w="8921" w:type="dxa"/>
            <w:gridSpan w:val="8"/>
            <w:tcBorders>
              <w:top w:val="single" w:sz="4" w:space="0" w:color="auto"/>
              <w:left w:val="nil"/>
              <w:bottom w:val="nil"/>
            </w:tcBorders>
            <w:shd w:val="clear" w:color="auto" w:fill="auto"/>
            <w:noWrap/>
            <w:vAlign w:val="center"/>
            <w:hideMark/>
          </w:tcPr>
          <w:p w14:paraId="41D62290"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i/>
                <w:iCs/>
                <w:sz w:val="24"/>
                <w:szCs w:val="24"/>
                <w:lang w:eastAsia="fi-FI"/>
              </w:rPr>
              <w:t>Developmental model</w:t>
            </w:r>
          </w:p>
        </w:tc>
      </w:tr>
      <w:tr w:rsidR="002B1ABD" w:rsidRPr="006C023E" w14:paraId="2F91C446" w14:textId="77777777" w:rsidTr="009B66A5">
        <w:trPr>
          <w:trHeight w:val="310"/>
        </w:trPr>
        <w:tc>
          <w:tcPr>
            <w:tcW w:w="960" w:type="dxa"/>
            <w:tcBorders>
              <w:top w:val="nil"/>
              <w:left w:val="nil"/>
              <w:bottom w:val="nil"/>
              <w:right w:val="nil"/>
            </w:tcBorders>
            <w:shd w:val="clear" w:color="auto" w:fill="auto"/>
            <w:noWrap/>
            <w:vAlign w:val="center"/>
            <w:hideMark/>
          </w:tcPr>
          <w:p w14:paraId="381DBD9C"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3151" w:type="dxa"/>
            <w:tcBorders>
              <w:top w:val="nil"/>
              <w:left w:val="nil"/>
              <w:bottom w:val="nil"/>
              <w:right w:val="nil"/>
            </w:tcBorders>
            <w:shd w:val="clear" w:color="auto" w:fill="auto"/>
            <w:noWrap/>
            <w:vAlign w:val="center"/>
            <w:hideMark/>
          </w:tcPr>
          <w:p w14:paraId="67FFDA71"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eastAsia="fi-FI"/>
              </w:rPr>
              <w:t>Latent factors</w:t>
            </w:r>
          </w:p>
        </w:tc>
        <w:tc>
          <w:tcPr>
            <w:tcW w:w="1134" w:type="dxa"/>
            <w:tcBorders>
              <w:top w:val="nil"/>
              <w:left w:val="nil"/>
              <w:bottom w:val="nil"/>
              <w:right w:val="nil"/>
            </w:tcBorders>
            <w:shd w:val="clear" w:color="auto" w:fill="auto"/>
            <w:noWrap/>
            <w:vAlign w:val="center"/>
          </w:tcPr>
          <w:p w14:paraId="5D6C19E9"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3.651    </w:t>
            </w:r>
          </w:p>
        </w:tc>
        <w:tc>
          <w:tcPr>
            <w:tcW w:w="992" w:type="dxa"/>
            <w:tcBorders>
              <w:top w:val="nil"/>
              <w:left w:val="nil"/>
              <w:bottom w:val="nil"/>
              <w:right w:val="nil"/>
            </w:tcBorders>
            <w:shd w:val="clear" w:color="auto" w:fill="auto"/>
            <w:noWrap/>
            <w:vAlign w:val="center"/>
          </w:tcPr>
          <w:p w14:paraId="172AD8F6"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0.074   </w:t>
            </w:r>
          </w:p>
        </w:tc>
        <w:tc>
          <w:tcPr>
            <w:tcW w:w="851" w:type="dxa"/>
            <w:tcBorders>
              <w:top w:val="nil"/>
              <w:left w:val="nil"/>
              <w:bottom w:val="nil"/>
              <w:right w:val="nil"/>
            </w:tcBorders>
            <w:shd w:val="clear" w:color="auto" w:fill="auto"/>
            <w:noWrap/>
            <w:vAlign w:val="center"/>
          </w:tcPr>
          <w:p w14:paraId="61D21C9F" w14:textId="77777777" w:rsidR="009D1103" w:rsidRPr="006C023E" w:rsidRDefault="009D1103" w:rsidP="008D10BD">
            <w:pPr>
              <w:spacing w:after="0" w:line="240" w:lineRule="auto"/>
              <w:rPr>
                <w:rFonts w:ascii="Times New Roman" w:eastAsia="Times New Roman" w:hAnsi="Times New Roman" w:cs="Times New Roman"/>
                <w:b/>
                <w:bCs/>
                <w:sz w:val="24"/>
                <w:szCs w:val="24"/>
                <w:lang w:val="fi-FI" w:eastAsia="fi-FI"/>
              </w:rPr>
            </w:pPr>
            <w:r w:rsidRPr="006C023E">
              <w:rPr>
                <w:rFonts w:ascii="Times New Roman" w:eastAsia="Times New Roman" w:hAnsi="Times New Roman" w:cs="Times New Roman"/>
                <w:b/>
                <w:bCs/>
                <w:sz w:val="24"/>
                <w:szCs w:val="24"/>
                <w:lang w:val="fi-FI" w:eastAsia="fi-FI"/>
              </w:rPr>
              <w:t>&lt;.001</w:t>
            </w:r>
          </w:p>
        </w:tc>
        <w:tc>
          <w:tcPr>
            <w:tcW w:w="425" w:type="dxa"/>
            <w:tcBorders>
              <w:top w:val="nil"/>
              <w:left w:val="nil"/>
              <w:bottom w:val="nil"/>
              <w:right w:val="nil"/>
            </w:tcBorders>
            <w:shd w:val="clear" w:color="auto" w:fill="auto"/>
            <w:noWrap/>
            <w:vAlign w:val="center"/>
          </w:tcPr>
          <w:p w14:paraId="54A0F5FF" w14:textId="77777777" w:rsidR="009D1103" w:rsidRPr="006C023E" w:rsidRDefault="009D1103" w:rsidP="008D10BD">
            <w:pPr>
              <w:spacing w:after="0" w:line="240" w:lineRule="auto"/>
              <w:rPr>
                <w:rFonts w:ascii="Times New Roman" w:eastAsia="Times New Roman" w:hAnsi="Times New Roman" w:cs="Times New Roman"/>
                <w:b/>
                <w:bCs/>
                <w:sz w:val="24"/>
                <w:szCs w:val="24"/>
                <w:lang w:val="fi-FI" w:eastAsia="fi-FI"/>
              </w:rPr>
            </w:pPr>
          </w:p>
        </w:tc>
        <w:tc>
          <w:tcPr>
            <w:tcW w:w="992" w:type="dxa"/>
            <w:tcBorders>
              <w:top w:val="nil"/>
              <w:left w:val="nil"/>
              <w:bottom w:val="nil"/>
              <w:right w:val="nil"/>
            </w:tcBorders>
            <w:shd w:val="clear" w:color="auto" w:fill="auto"/>
            <w:noWrap/>
            <w:vAlign w:val="center"/>
          </w:tcPr>
          <w:p w14:paraId="3E0A299A"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0.281    </w:t>
            </w:r>
          </w:p>
        </w:tc>
        <w:tc>
          <w:tcPr>
            <w:tcW w:w="567" w:type="dxa"/>
            <w:tcBorders>
              <w:top w:val="nil"/>
              <w:left w:val="nil"/>
              <w:bottom w:val="nil"/>
              <w:right w:val="nil"/>
            </w:tcBorders>
            <w:shd w:val="clear" w:color="auto" w:fill="auto"/>
            <w:noWrap/>
            <w:vAlign w:val="center"/>
          </w:tcPr>
          <w:p w14:paraId="26EADD5A"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0.051</w:t>
            </w:r>
          </w:p>
        </w:tc>
        <w:tc>
          <w:tcPr>
            <w:tcW w:w="809" w:type="dxa"/>
            <w:tcBorders>
              <w:top w:val="nil"/>
              <w:left w:val="nil"/>
              <w:bottom w:val="nil"/>
              <w:right w:val="nil"/>
            </w:tcBorders>
            <w:shd w:val="clear" w:color="auto" w:fill="auto"/>
            <w:noWrap/>
            <w:vAlign w:val="center"/>
          </w:tcPr>
          <w:p w14:paraId="1B3A8876" w14:textId="77777777" w:rsidR="009D1103" w:rsidRPr="006C023E" w:rsidRDefault="009D1103" w:rsidP="008D10BD">
            <w:pPr>
              <w:spacing w:after="0" w:line="240" w:lineRule="auto"/>
              <w:rPr>
                <w:rFonts w:ascii="Times New Roman" w:eastAsia="Times New Roman" w:hAnsi="Times New Roman" w:cs="Times New Roman"/>
                <w:b/>
                <w:bCs/>
                <w:sz w:val="24"/>
                <w:szCs w:val="24"/>
                <w:lang w:val="fi-FI" w:eastAsia="fi-FI"/>
              </w:rPr>
            </w:pPr>
            <w:r w:rsidRPr="006C023E">
              <w:rPr>
                <w:rFonts w:ascii="Times New Roman" w:eastAsia="Times New Roman" w:hAnsi="Times New Roman" w:cs="Times New Roman"/>
                <w:b/>
                <w:bCs/>
                <w:sz w:val="24"/>
                <w:szCs w:val="24"/>
                <w:lang w:val="fi-FI" w:eastAsia="fi-FI"/>
              </w:rPr>
              <w:t>&lt;.001</w:t>
            </w:r>
          </w:p>
        </w:tc>
      </w:tr>
      <w:tr w:rsidR="002B1ABD" w:rsidRPr="006C023E" w14:paraId="6781A76E" w14:textId="77777777" w:rsidTr="009B66A5">
        <w:trPr>
          <w:trHeight w:val="310"/>
        </w:trPr>
        <w:tc>
          <w:tcPr>
            <w:tcW w:w="960" w:type="dxa"/>
            <w:tcBorders>
              <w:top w:val="nil"/>
              <w:left w:val="nil"/>
              <w:bottom w:val="nil"/>
              <w:right w:val="nil"/>
            </w:tcBorders>
            <w:shd w:val="clear" w:color="auto" w:fill="auto"/>
            <w:noWrap/>
            <w:vAlign w:val="center"/>
            <w:hideMark/>
          </w:tcPr>
          <w:p w14:paraId="06238E1F"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3151" w:type="dxa"/>
            <w:tcBorders>
              <w:top w:val="nil"/>
              <w:left w:val="nil"/>
              <w:bottom w:val="nil"/>
              <w:right w:val="nil"/>
            </w:tcBorders>
            <w:shd w:val="clear" w:color="auto" w:fill="auto"/>
            <w:noWrap/>
            <w:vAlign w:val="center"/>
            <w:hideMark/>
          </w:tcPr>
          <w:p w14:paraId="1D0FE2D4"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1134" w:type="dxa"/>
            <w:tcBorders>
              <w:top w:val="nil"/>
              <w:left w:val="nil"/>
              <w:bottom w:val="nil"/>
              <w:right w:val="nil"/>
            </w:tcBorders>
            <w:shd w:val="clear" w:color="auto" w:fill="auto"/>
            <w:noWrap/>
            <w:vAlign w:val="center"/>
            <w:hideMark/>
          </w:tcPr>
          <w:p w14:paraId="057D8EE6"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992" w:type="dxa"/>
            <w:tcBorders>
              <w:top w:val="nil"/>
              <w:left w:val="nil"/>
              <w:bottom w:val="nil"/>
              <w:right w:val="nil"/>
            </w:tcBorders>
            <w:shd w:val="clear" w:color="auto" w:fill="auto"/>
            <w:noWrap/>
            <w:vAlign w:val="center"/>
            <w:hideMark/>
          </w:tcPr>
          <w:p w14:paraId="3CDFC3A7"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851" w:type="dxa"/>
            <w:tcBorders>
              <w:top w:val="nil"/>
              <w:left w:val="nil"/>
              <w:bottom w:val="nil"/>
              <w:right w:val="nil"/>
            </w:tcBorders>
            <w:shd w:val="clear" w:color="auto" w:fill="auto"/>
            <w:noWrap/>
            <w:vAlign w:val="center"/>
            <w:hideMark/>
          </w:tcPr>
          <w:p w14:paraId="6F61BD0D"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425" w:type="dxa"/>
            <w:tcBorders>
              <w:top w:val="nil"/>
              <w:left w:val="nil"/>
              <w:bottom w:val="nil"/>
              <w:right w:val="nil"/>
            </w:tcBorders>
            <w:shd w:val="clear" w:color="auto" w:fill="auto"/>
            <w:noWrap/>
            <w:vAlign w:val="center"/>
            <w:hideMark/>
          </w:tcPr>
          <w:p w14:paraId="139E7E55"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992" w:type="dxa"/>
            <w:tcBorders>
              <w:top w:val="nil"/>
              <w:left w:val="nil"/>
              <w:bottom w:val="nil"/>
              <w:right w:val="nil"/>
            </w:tcBorders>
            <w:shd w:val="clear" w:color="auto" w:fill="auto"/>
            <w:noWrap/>
            <w:vAlign w:val="center"/>
            <w:hideMark/>
          </w:tcPr>
          <w:p w14:paraId="426137DA"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567" w:type="dxa"/>
            <w:tcBorders>
              <w:top w:val="nil"/>
              <w:left w:val="nil"/>
              <w:bottom w:val="nil"/>
              <w:right w:val="nil"/>
            </w:tcBorders>
            <w:shd w:val="clear" w:color="auto" w:fill="auto"/>
            <w:noWrap/>
            <w:vAlign w:val="center"/>
            <w:hideMark/>
          </w:tcPr>
          <w:p w14:paraId="26A89025"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809" w:type="dxa"/>
            <w:tcBorders>
              <w:top w:val="nil"/>
              <w:left w:val="nil"/>
              <w:bottom w:val="nil"/>
              <w:right w:val="nil"/>
            </w:tcBorders>
            <w:shd w:val="clear" w:color="auto" w:fill="auto"/>
            <w:noWrap/>
            <w:vAlign w:val="center"/>
            <w:hideMark/>
          </w:tcPr>
          <w:p w14:paraId="2BAEAF23"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r>
      <w:tr w:rsidR="002B1ABD" w:rsidRPr="006C023E" w14:paraId="02614A60" w14:textId="77777777" w:rsidTr="009B66A5">
        <w:trPr>
          <w:trHeight w:val="310"/>
        </w:trPr>
        <w:tc>
          <w:tcPr>
            <w:tcW w:w="960" w:type="dxa"/>
            <w:tcBorders>
              <w:top w:val="nil"/>
              <w:left w:val="nil"/>
              <w:bottom w:val="nil"/>
              <w:right w:val="nil"/>
            </w:tcBorders>
            <w:shd w:val="clear" w:color="auto" w:fill="auto"/>
            <w:noWrap/>
            <w:vAlign w:val="center"/>
            <w:hideMark/>
          </w:tcPr>
          <w:p w14:paraId="74011F5E" w14:textId="77777777" w:rsidR="009D1103" w:rsidRPr="006C023E" w:rsidRDefault="009D1103" w:rsidP="008D10BD">
            <w:pPr>
              <w:spacing w:after="0" w:line="240" w:lineRule="auto"/>
              <w:rPr>
                <w:rFonts w:ascii="Times New Roman" w:eastAsia="Times New Roman" w:hAnsi="Times New Roman" w:cs="Times New Roman"/>
                <w:i/>
                <w:iCs/>
                <w:sz w:val="24"/>
                <w:szCs w:val="24"/>
                <w:lang w:val="fi-FI" w:eastAsia="fi-FI"/>
              </w:rPr>
            </w:pPr>
            <w:r w:rsidRPr="006C023E">
              <w:rPr>
                <w:rFonts w:ascii="Times New Roman" w:eastAsia="Times New Roman" w:hAnsi="Times New Roman" w:cs="Times New Roman"/>
                <w:i/>
                <w:iCs/>
                <w:sz w:val="24"/>
                <w:szCs w:val="24"/>
                <w:lang w:eastAsia="fi-FI"/>
              </w:rPr>
              <w:t>Model 2</w:t>
            </w:r>
          </w:p>
        </w:tc>
        <w:tc>
          <w:tcPr>
            <w:tcW w:w="8921" w:type="dxa"/>
            <w:gridSpan w:val="8"/>
            <w:tcBorders>
              <w:top w:val="nil"/>
              <w:left w:val="nil"/>
              <w:bottom w:val="nil"/>
              <w:right w:val="nil"/>
            </w:tcBorders>
            <w:shd w:val="clear" w:color="auto" w:fill="auto"/>
            <w:noWrap/>
            <w:vAlign w:val="center"/>
            <w:hideMark/>
          </w:tcPr>
          <w:p w14:paraId="6A1D5561" w14:textId="77777777" w:rsidR="009D1103" w:rsidRPr="006C023E" w:rsidRDefault="009D1103" w:rsidP="008D10BD">
            <w:pPr>
              <w:spacing w:after="0" w:line="240" w:lineRule="auto"/>
              <w:rPr>
                <w:rFonts w:ascii="Times New Roman" w:eastAsia="Times New Roman" w:hAnsi="Times New Roman" w:cs="Times New Roman"/>
                <w:sz w:val="24"/>
                <w:szCs w:val="24"/>
                <w:lang w:eastAsia="fi-FI"/>
              </w:rPr>
            </w:pPr>
            <w:r w:rsidRPr="006C023E">
              <w:rPr>
                <w:rFonts w:ascii="Times New Roman" w:eastAsia="Times New Roman" w:hAnsi="Times New Roman" w:cs="Times New Roman"/>
                <w:i/>
                <w:iCs/>
                <w:sz w:val="24"/>
                <w:szCs w:val="24"/>
                <w:lang w:eastAsia="fi-FI"/>
              </w:rPr>
              <w:t>Adding the effect of oxytocin and dopamine pathway genes, SNPs entered separately</w:t>
            </w:r>
          </w:p>
        </w:tc>
      </w:tr>
      <w:tr w:rsidR="002B1ABD" w:rsidRPr="006C023E" w14:paraId="38CD7E68" w14:textId="77777777" w:rsidTr="009B66A5">
        <w:trPr>
          <w:trHeight w:val="310"/>
        </w:trPr>
        <w:tc>
          <w:tcPr>
            <w:tcW w:w="960" w:type="dxa"/>
            <w:tcBorders>
              <w:top w:val="nil"/>
              <w:left w:val="nil"/>
              <w:bottom w:val="nil"/>
              <w:right w:val="nil"/>
            </w:tcBorders>
            <w:shd w:val="clear" w:color="auto" w:fill="auto"/>
            <w:noWrap/>
            <w:vAlign w:val="center"/>
            <w:hideMark/>
          </w:tcPr>
          <w:p w14:paraId="696EFA12" w14:textId="77777777" w:rsidR="009D1103" w:rsidRPr="006C023E" w:rsidRDefault="009D1103" w:rsidP="008D10BD">
            <w:pPr>
              <w:spacing w:after="0" w:line="240" w:lineRule="auto"/>
              <w:rPr>
                <w:rFonts w:ascii="Times New Roman" w:eastAsia="Times New Roman" w:hAnsi="Times New Roman" w:cs="Times New Roman"/>
                <w:sz w:val="24"/>
                <w:szCs w:val="24"/>
                <w:lang w:eastAsia="fi-FI"/>
              </w:rPr>
            </w:pPr>
            <w:r w:rsidRPr="006C023E">
              <w:rPr>
                <w:rFonts w:ascii="Times New Roman" w:eastAsia="Times New Roman" w:hAnsi="Times New Roman" w:cs="Times New Roman"/>
                <w:sz w:val="24"/>
                <w:szCs w:val="24"/>
                <w:lang w:eastAsia="fi-FI"/>
              </w:rPr>
              <w:t>a)</w:t>
            </w:r>
          </w:p>
        </w:tc>
        <w:tc>
          <w:tcPr>
            <w:tcW w:w="3151" w:type="dxa"/>
            <w:tcBorders>
              <w:top w:val="nil"/>
              <w:left w:val="nil"/>
              <w:bottom w:val="nil"/>
              <w:right w:val="nil"/>
            </w:tcBorders>
            <w:shd w:val="clear" w:color="auto" w:fill="auto"/>
            <w:noWrap/>
            <w:vAlign w:val="center"/>
            <w:hideMark/>
          </w:tcPr>
          <w:p w14:paraId="617C8365"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rs2268498 C</w:t>
            </w:r>
            <w:r w:rsidRPr="006C023E">
              <w:rPr>
                <w:rFonts w:ascii="Times New Roman" w:eastAsia="Times New Roman" w:hAnsi="Times New Roman" w:cs="Times New Roman"/>
                <w:sz w:val="24"/>
                <w:szCs w:val="24"/>
                <w:lang w:val="fi-FI" w:eastAsia="fi-FI"/>
              </w:rPr>
              <w:sym w:font="Wingdings" w:char="F0E0"/>
            </w:r>
            <w:r w:rsidRPr="006C023E">
              <w:rPr>
                <w:rFonts w:ascii="Times New Roman" w:eastAsia="Times New Roman" w:hAnsi="Times New Roman" w:cs="Times New Roman"/>
                <w:sz w:val="24"/>
                <w:szCs w:val="24"/>
                <w:lang w:val="fi-FI" w:eastAsia="fi-FI"/>
              </w:rPr>
              <w:t>T (OXTR)</w:t>
            </w:r>
          </w:p>
        </w:tc>
        <w:tc>
          <w:tcPr>
            <w:tcW w:w="1134" w:type="dxa"/>
            <w:tcBorders>
              <w:top w:val="nil"/>
              <w:left w:val="nil"/>
              <w:bottom w:val="nil"/>
              <w:right w:val="nil"/>
            </w:tcBorders>
            <w:shd w:val="clear" w:color="auto" w:fill="auto"/>
            <w:noWrap/>
            <w:vAlign w:val="center"/>
          </w:tcPr>
          <w:p w14:paraId="00C99808"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0.033    </w:t>
            </w:r>
          </w:p>
        </w:tc>
        <w:tc>
          <w:tcPr>
            <w:tcW w:w="992" w:type="dxa"/>
            <w:tcBorders>
              <w:top w:val="nil"/>
              <w:left w:val="nil"/>
              <w:bottom w:val="nil"/>
              <w:right w:val="nil"/>
            </w:tcBorders>
            <w:shd w:val="clear" w:color="auto" w:fill="auto"/>
            <w:noWrap/>
            <w:vAlign w:val="center"/>
          </w:tcPr>
          <w:p w14:paraId="50DA1251"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0.033     </w:t>
            </w:r>
          </w:p>
        </w:tc>
        <w:tc>
          <w:tcPr>
            <w:tcW w:w="851" w:type="dxa"/>
            <w:tcBorders>
              <w:top w:val="nil"/>
              <w:left w:val="nil"/>
              <w:bottom w:val="nil"/>
              <w:right w:val="nil"/>
            </w:tcBorders>
            <w:shd w:val="clear" w:color="auto" w:fill="auto"/>
            <w:noWrap/>
            <w:vAlign w:val="center"/>
          </w:tcPr>
          <w:p w14:paraId="58FD9C18"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.323</w:t>
            </w:r>
          </w:p>
        </w:tc>
        <w:tc>
          <w:tcPr>
            <w:tcW w:w="425" w:type="dxa"/>
            <w:tcBorders>
              <w:top w:val="nil"/>
              <w:left w:val="nil"/>
              <w:bottom w:val="nil"/>
              <w:right w:val="nil"/>
            </w:tcBorders>
            <w:shd w:val="clear" w:color="auto" w:fill="auto"/>
            <w:noWrap/>
            <w:vAlign w:val="center"/>
          </w:tcPr>
          <w:p w14:paraId="145A34E4"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992" w:type="dxa"/>
            <w:tcBorders>
              <w:top w:val="nil"/>
              <w:left w:val="nil"/>
              <w:bottom w:val="nil"/>
              <w:right w:val="nil"/>
            </w:tcBorders>
            <w:shd w:val="clear" w:color="auto" w:fill="auto"/>
            <w:noWrap/>
            <w:vAlign w:val="center"/>
          </w:tcPr>
          <w:p w14:paraId="63ABBF15"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-0.007    </w:t>
            </w:r>
          </w:p>
        </w:tc>
        <w:tc>
          <w:tcPr>
            <w:tcW w:w="567" w:type="dxa"/>
            <w:tcBorders>
              <w:top w:val="nil"/>
              <w:left w:val="nil"/>
              <w:bottom w:val="nil"/>
              <w:right w:val="nil"/>
            </w:tcBorders>
            <w:shd w:val="clear" w:color="auto" w:fill="auto"/>
            <w:noWrap/>
            <w:vAlign w:val="center"/>
          </w:tcPr>
          <w:p w14:paraId="4ECE6191"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0.022   </w:t>
            </w:r>
          </w:p>
        </w:tc>
        <w:tc>
          <w:tcPr>
            <w:tcW w:w="809" w:type="dxa"/>
            <w:tcBorders>
              <w:top w:val="nil"/>
              <w:left w:val="nil"/>
              <w:bottom w:val="nil"/>
              <w:right w:val="nil"/>
            </w:tcBorders>
            <w:shd w:val="clear" w:color="auto" w:fill="auto"/>
            <w:noWrap/>
            <w:vAlign w:val="center"/>
          </w:tcPr>
          <w:p w14:paraId="5E81E8D1"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.764</w:t>
            </w:r>
          </w:p>
        </w:tc>
      </w:tr>
      <w:tr w:rsidR="002B1ABD" w:rsidRPr="006C023E" w14:paraId="3E1C019D" w14:textId="77777777" w:rsidTr="009B66A5">
        <w:trPr>
          <w:trHeight w:val="310"/>
        </w:trPr>
        <w:tc>
          <w:tcPr>
            <w:tcW w:w="960" w:type="dxa"/>
            <w:tcBorders>
              <w:top w:val="nil"/>
              <w:left w:val="nil"/>
              <w:bottom w:val="nil"/>
              <w:right w:val="nil"/>
            </w:tcBorders>
            <w:shd w:val="clear" w:color="auto" w:fill="auto"/>
            <w:noWrap/>
            <w:vAlign w:val="center"/>
            <w:hideMark/>
          </w:tcPr>
          <w:p w14:paraId="3E772583"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b)</w:t>
            </w:r>
          </w:p>
        </w:tc>
        <w:tc>
          <w:tcPr>
            <w:tcW w:w="3151" w:type="dxa"/>
            <w:tcBorders>
              <w:top w:val="nil"/>
              <w:left w:val="nil"/>
              <w:bottom w:val="nil"/>
              <w:right w:val="nil"/>
            </w:tcBorders>
            <w:shd w:val="clear" w:color="auto" w:fill="auto"/>
            <w:noWrap/>
            <w:vAlign w:val="center"/>
            <w:hideMark/>
          </w:tcPr>
          <w:p w14:paraId="7BE6E23C"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rs3796863 C</w:t>
            </w:r>
            <w:r w:rsidRPr="006C023E">
              <w:rPr>
                <w:rFonts w:ascii="Times New Roman" w:eastAsia="Times New Roman" w:hAnsi="Times New Roman" w:cs="Times New Roman"/>
                <w:sz w:val="24"/>
                <w:szCs w:val="24"/>
                <w:lang w:val="fi-FI" w:eastAsia="fi-FI"/>
              </w:rPr>
              <w:sym w:font="Wingdings" w:char="F0E0"/>
            </w:r>
            <w:r w:rsidRPr="006C023E">
              <w:rPr>
                <w:rFonts w:ascii="Times New Roman" w:eastAsia="Times New Roman" w:hAnsi="Times New Roman" w:cs="Times New Roman"/>
                <w:sz w:val="24"/>
                <w:szCs w:val="24"/>
                <w:lang w:val="fi-FI" w:eastAsia="fi-FI"/>
              </w:rPr>
              <w:t>A (CD38)</w:t>
            </w:r>
          </w:p>
        </w:tc>
        <w:tc>
          <w:tcPr>
            <w:tcW w:w="1134" w:type="dxa"/>
            <w:tcBorders>
              <w:top w:val="nil"/>
              <w:left w:val="nil"/>
              <w:bottom w:val="nil"/>
              <w:right w:val="nil"/>
            </w:tcBorders>
            <w:shd w:val="clear" w:color="auto" w:fill="auto"/>
            <w:noWrap/>
            <w:vAlign w:val="center"/>
          </w:tcPr>
          <w:p w14:paraId="63821B38"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0.012    </w:t>
            </w:r>
          </w:p>
        </w:tc>
        <w:tc>
          <w:tcPr>
            <w:tcW w:w="992" w:type="dxa"/>
            <w:tcBorders>
              <w:top w:val="nil"/>
              <w:left w:val="nil"/>
              <w:bottom w:val="nil"/>
              <w:right w:val="nil"/>
            </w:tcBorders>
            <w:shd w:val="clear" w:color="auto" w:fill="auto"/>
            <w:noWrap/>
            <w:vAlign w:val="center"/>
          </w:tcPr>
          <w:p w14:paraId="115B2444"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0.034    </w:t>
            </w:r>
          </w:p>
        </w:tc>
        <w:tc>
          <w:tcPr>
            <w:tcW w:w="851" w:type="dxa"/>
            <w:tcBorders>
              <w:top w:val="nil"/>
              <w:left w:val="nil"/>
              <w:bottom w:val="nil"/>
              <w:right w:val="nil"/>
            </w:tcBorders>
            <w:shd w:val="clear" w:color="auto" w:fill="auto"/>
            <w:noWrap/>
            <w:vAlign w:val="center"/>
          </w:tcPr>
          <w:p w14:paraId="708AEDE9"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.730</w:t>
            </w:r>
          </w:p>
        </w:tc>
        <w:tc>
          <w:tcPr>
            <w:tcW w:w="425" w:type="dxa"/>
            <w:tcBorders>
              <w:top w:val="nil"/>
              <w:left w:val="nil"/>
              <w:bottom w:val="nil"/>
              <w:right w:val="nil"/>
            </w:tcBorders>
            <w:shd w:val="clear" w:color="auto" w:fill="auto"/>
            <w:noWrap/>
            <w:vAlign w:val="center"/>
          </w:tcPr>
          <w:p w14:paraId="1CD6001A"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992" w:type="dxa"/>
            <w:tcBorders>
              <w:top w:val="nil"/>
              <w:left w:val="nil"/>
              <w:bottom w:val="nil"/>
              <w:right w:val="nil"/>
            </w:tcBorders>
            <w:shd w:val="clear" w:color="auto" w:fill="auto"/>
            <w:noWrap/>
            <w:vAlign w:val="center"/>
          </w:tcPr>
          <w:p w14:paraId="58CEB40B"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0.017    </w:t>
            </w:r>
          </w:p>
        </w:tc>
        <w:tc>
          <w:tcPr>
            <w:tcW w:w="567" w:type="dxa"/>
            <w:tcBorders>
              <w:top w:val="nil"/>
              <w:left w:val="nil"/>
              <w:bottom w:val="nil"/>
              <w:right w:val="nil"/>
            </w:tcBorders>
            <w:shd w:val="clear" w:color="auto" w:fill="auto"/>
            <w:noWrap/>
            <w:vAlign w:val="center"/>
          </w:tcPr>
          <w:p w14:paraId="0CDDF898"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0.022     </w:t>
            </w:r>
          </w:p>
        </w:tc>
        <w:tc>
          <w:tcPr>
            <w:tcW w:w="809" w:type="dxa"/>
            <w:tcBorders>
              <w:top w:val="nil"/>
              <w:left w:val="nil"/>
              <w:bottom w:val="nil"/>
              <w:right w:val="nil"/>
            </w:tcBorders>
            <w:shd w:val="clear" w:color="auto" w:fill="auto"/>
            <w:noWrap/>
            <w:vAlign w:val="center"/>
          </w:tcPr>
          <w:p w14:paraId="3A969697"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.437</w:t>
            </w:r>
          </w:p>
        </w:tc>
      </w:tr>
      <w:tr w:rsidR="002B1ABD" w:rsidRPr="006C023E" w14:paraId="03BBA1A7" w14:textId="77777777" w:rsidTr="009B66A5">
        <w:trPr>
          <w:trHeight w:val="310"/>
        </w:trPr>
        <w:tc>
          <w:tcPr>
            <w:tcW w:w="960" w:type="dxa"/>
            <w:tcBorders>
              <w:top w:val="nil"/>
              <w:left w:val="nil"/>
              <w:bottom w:val="nil"/>
              <w:right w:val="nil"/>
            </w:tcBorders>
            <w:shd w:val="clear" w:color="auto" w:fill="auto"/>
            <w:noWrap/>
            <w:vAlign w:val="center"/>
            <w:hideMark/>
          </w:tcPr>
          <w:p w14:paraId="5376A6F2"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c)</w:t>
            </w:r>
          </w:p>
        </w:tc>
        <w:tc>
          <w:tcPr>
            <w:tcW w:w="3151" w:type="dxa"/>
            <w:tcBorders>
              <w:top w:val="nil"/>
              <w:left w:val="nil"/>
              <w:bottom w:val="nil"/>
              <w:right w:val="nil"/>
            </w:tcBorders>
            <w:shd w:val="clear" w:color="auto" w:fill="auto"/>
            <w:noWrap/>
            <w:vAlign w:val="center"/>
            <w:hideMark/>
          </w:tcPr>
          <w:p w14:paraId="09EF73A0"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rs1800497 C </w:t>
            </w:r>
            <w:r w:rsidRPr="006C023E">
              <w:rPr>
                <w:rFonts w:ascii="Times New Roman" w:eastAsia="Times New Roman" w:hAnsi="Times New Roman" w:cs="Times New Roman"/>
                <w:sz w:val="24"/>
                <w:szCs w:val="24"/>
                <w:lang w:val="fi-FI" w:eastAsia="fi-FI"/>
              </w:rPr>
              <w:sym w:font="Wingdings" w:char="F0E0"/>
            </w:r>
            <w:r w:rsidRPr="006C023E">
              <w:rPr>
                <w:rFonts w:ascii="Times New Roman" w:eastAsia="Times New Roman" w:hAnsi="Times New Roman" w:cs="Times New Roman"/>
                <w:sz w:val="24"/>
                <w:szCs w:val="24"/>
                <w:lang w:val="fi-FI" w:eastAsia="fi-FI"/>
              </w:rPr>
              <w:t xml:space="preserve"> T (ANKK1)</w:t>
            </w:r>
          </w:p>
        </w:tc>
        <w:tc>
          <w:tcPr>
            <w:tcW w:w="1134" w:type="dxa"/>
            <w:tcBorders>
              <w:top w:val="nil"/>
              <w:left w:val="nil"/>
              <w:bottom w:val="nil"/>
              <w:right w:val="nil"/>
            </w:tcBorders>
            <w:shd w:val="clear" w:color="auto" w:fill="auto"/>
            <w:noWrap/>
            <w:vAlign w:val="center"/>
          </w:tcPr>
          <w:p w14:paraId="42336F35"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-0.005    </w:t>
            </w:r>
          </w:p>
        </w:tc>
        <w:tc>
          <w:tcPr>
            <w:tcW w:w="992" w:type="dxa"/>
            <w:tcBorders>
              <w:top w:val="nil"/>
              <w:left w:val="nil"/>
              <w:bottom w:val="nil"/>
              <w:right w:val="nil"/>
            </w:tcBorders>
            <w:shd w:val="clear" w:color="auto" w:fill="auto"/>
            <w:noWrap/>
            <w:vAlign w:val="center"/>
          </w:tcPr>
          <w:p w14:paraId="4A3E12EE"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0.040   </w:t>
            </w:r>
          </w:p>
        </w:tc>
        <w:tc>
          <w:tcPr>
            <w:tcW w:w="851" w:type="dxa"/>
            <w:tcBorders>
              <w:top w:val="nil"/>
              <w:left w:val="nil"/>
              <w:bottom w:val="nil"/>
              <w:right w:val="nil"/>
            </w:tcBorders>
            <w:shd w:val="clear" w:color="auto" w:fill="auto"/>
            <w:noWrap/>
            <w:vAlign w:val="center"/>
          </w:tcPr>
          <w:p w14:paraId="4A6903A9"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.907</w:t>
            </w:r>
          </w:p>
        </w:tc>
        <w:tc>
          <w:tcPr>
            <w:tcW w:w="425" w:type="dxa"/>
            <w:tcBorders>
              <w:top w:val="nil"/>
              <w:left w:val="nil"/>
              <w:bottom w:val="nil"/>
              <w:right w:val="nil"/>
            </w:tcBorders>
            <w:shd w:val="clear" w:color="auto" w:fill="auto"/>
            <w:noWrap/>
            <w:vAlign w:val="center"/>
          </w:tcPr>
          <w:p w14:paraId="39BE4402"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992" w:type="dxa"/>
            <w:tcBorders>
              <w:top w:val="nil"/>
              <w:left w:val="nil"/>
              <w:bottom w:val="nil"/>
              <w:right w:val="nil"/>
            </w:tcBorders>
            <w:shd w:val="clear" w:color="auto" w:fill="auto"/>
            <w:noWrap/>
            <w:vAlign w:val="center"/>
          </w:tcPr>
          <w:p w14:paraId="5343E3DB"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-0.021    </w:t>
            </w:r>
          </w:p>
        </w:tc>
        <w:tc>
          <w:tcPr>
            <w:tcW w:w="567" w:type="dxa"/>
            <w:tcBorders>
              <w:top w:val="nil"/>
              <w:left w:val="nil"/>
              <w:bottom w:val="nil"/>
              <w:right w:val="nil"/>
            </w:tcBorders>
            <w:shd w:val="clear" w:color="auto" w:fill="auto"/>
            <w:noWrap/>
            <w:vAlign w:val="center"/>
          </w:tcPr>
          <w:p w14:paraId="6E892E4F"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0.026   </w:t>
            </w:r>
          </w:p>
        </w:tc>
        <w:tc>
          <w:tcPr>
            <w:tcW w:w="809" w:type="dxa"/>
            <w:tcBorders>
              <w:top w:val="nil"/>
              <w:left w:val="nil"/>
              <w:bottom w:val="nil"/>
              <w:right w:val="nil"/>
            </w:tcBorders>
            <w:shd w:val="clear" w:color="auto" w:fill="auto"/>
            <w:noWrap/>
            <w:vAlign w:val="center"/>
          </w:tcPr>
          <w:p w14:paraId="1FC2802A"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.426</w:t>
            </w:r>
          </w:p>
        </w:tc>
      </w:tr>
      <w:tr w:rsidR="002B1ABD" w:rsidRPr="006C023E" w14:paraId="5172ED0E" w14:textId="77777777" w:rsidTr="009B66A5">
        <w:trPr>
          <w:trHeight w:val="310"/>
        </w:trPr>
        <w:tc>
          <w:tcPr>
            <w:tcW w:w="960" w:type="dxa"/>
            <w:tcBorders>
              <w:top w:val="nil"/>
              <w:left w:val="nil"/>
              <w:bottom w:val="nil"/>
              <w:right w:val="nil"/>
            </w:tcBorders>
            <w:shd w:val="clear" w:color="auto" w:fill="auto"/>
            <w:noWrap/>
            <w:vAlign w:val="center"/>
            <w:hideMark/>
          </w:tcPr>
          <w:p w14:paraId="503547B4"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bookmarkStart w:id="1" w:name="_Hlk64419501"/>
            <w:bookmarkStart w:id="2" w:name="_Hlk64419207"/>
            <w:r w:rsidRPr="006C023E">
              <w:rPr>
                <w:rFonts w:ascii="Times New Roman" w:eastAsia="Times New Roman" w:hAnsi="Times New Roman" w:cs="Times New Roman"/>
                <w:sz w:val="24"/>
                <w:szCs w:val="24"/>
                <w:lang w:val="fi-FI" w:eastAsia="fi-FI"/>
              </w:rPr>
              <w:t>d)</w:t>
            </w:r>
          </w:p>
        </w:tc>
        <w:tc>
          <w:tcPr>
            <w:tcW w:w="3151" w:type="dxa"/>
            <w:tcBorders>
              <w:top w:val="nil"/>
              <w:left w:val="nil"/>
              <w:bottom w:val="nil"/>
              <w:right w:val="nil"/>
            </w:tcBorders>
            <w:shd w:val="clear" w:color="auto" w:fill="auto"/>
            <w:noWrap/>
            <w:vAlign w:val="center"/>
            <w:hideMark/>
          </w:tcPr>
          <w:p w14:paraId="270C9B89"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rs4680 A </w:t>
            </w:r>
            <w:r w:rsidRPr="006C023E">
              <w:rPr>
                <w:rFonts w:ascii="Times New Roman" w:eastAsia="Times New Roman" w:hAnsi="Times New Roman" w:cs="Times New Roman"/>
                <w:sz w:val="24"/>
                <w:szCs w:val="24"/>
                <w:lang w:val="fi-FI" w:eastAsia="fi-FI"/>
              </w:rPr>
              <w:sym w:font="Wingdings" w:char="F0E0"/>
            </w:r>
            <w:r w:rsidRPr="006C023E">
              <w:rPr>
                <w:rFonts w:ascii="Times New Roman" w:eastAsia="Times New Roman" w:hAnsi="Times New Roman" w:cs="Times New Roman"/>
                <w:sz w:val="24"/>
                <w:szCs w:val="24"/>
                <w:lang w:val="fi-FI" w:eastAsia="fi-FI"/>
              </w:rPr>
              <w:t xml:space="preserve"> G (COMT)</w:t>
            </w:r>
          </w:p>
        </w:tc>
        <w:tc>
          <w:tcPr>
            <w:tcW w:w="1134" w:type="dxa"/>
            <w:tcBorders>
              <w:top w:val="nil"/>
              <w:left w:val="nil"/>
              <w:bottom w:val="nil"/>
              <w:right w:val="nil"/>
            </w:tcBorders>
            <w:shd w:val="clear" w:color="auto" w:fill="auto"/>
            <w:noWrap/>
            <w:vAlign w:val="center"/>
          </w:tcPr>
          <w:p w14:paraId="29B793C3"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-0.028    </w:t>
            </w:r>
          </w:p>
        </w:tc>
        <w:tc>
          <w:tcPr>
            <w:tcW w:w="992" w:type="dxa"/>
            <w:tcBorders>
              <w:top w:val="nil"/>
              <w:left w:val="nil"/>
              <w:bottom w:val="nil"/>
              <w:right w:val="nil"/>
            </w:tcBorders>
            <w:shd w:val="clear" w:color="auto" w:fill="auto"/>
            <w:noWrap/>
            <w:vAlign w:val="center"/>
          </w:tcPr>
          <w:p w14:paraId="02AC7423"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0.033   </w:t>
            </w:r>
          </w:p>
        </w:tc>
        <w:tc>
          <w:tcPr>
            <w:tcW w:w="851" w:type="dxa"/>
            <w:tcBorders>
              <w:top w:val="nil"/>
              <w:left w:val="nil"/>
              <w:bottom w:val="nil"/>
              <w:right w:val="nil"/>
            </w:tcBorders>
            <w:shd w:val="clear" w:color="auto" w:fill="auto"/>
            <w:noWrap/>
            <w:vAlign w:val="center"/>
          </w:tcPr>
          <w:p w14:paraId="2CF02374"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.390</w:t>
            </w:r>
          </w:p>
        </w:tc>
        <w:tc>
          <w:tcPr>
            <w:tcW w:w="425" w:type="dxa"/>
            <w:tcBorders>
              <w:top w:val="nil"/>
              <w:left w:val="nil"/>
              <w:bottom w:val="nil"/>
              <w:right w:val="nil"/>
            </w:tcBorders>
            <w:shd w:val="clear" w:color="auto" w:fill="auto"/>
            <w:noWrap/>
            <w:vAlign w:val="center"/>
          </w:tcPr>
          <w:p w14:paraId="138CF096"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992" w:type="dxa"/>
            <w:tcBorders>
              <w:top w:val="nil"/>
              <w:left w:val="nil"/>
              <w:bottom w:val="nil"/>
              <w:right w:val="nil"/>
            </w:tcBorders>
            <w:shd w:val="clear" w:color="auto" w:fill="auto"/>
            <w:noWrap/>
            <w:vAlign w:val="center"/>
          </w:tcPr>
          <w:p w14:paraId="20F67400"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0.044    </w:t>
            </w:r>
          </w:p>
        </w:tc>
        <w:tc>
          <w:tcPr>
            <w:tcW w:w="567" w:type="dxa"/>
            <w:tcBorders>
              <w:top w:val="nil"/>
              <w:left w:val="nil"/>
              <w:bottom w:val="nil"/>
              <w:right w:val="nil"/>
            </w:tcBorders>
            <w:shd w:val="clear" w:color="auto" w:fill="auto"/>
            <w:noWrap/>
            <w:vAlign w:val="center"/>
          </w:tcPr>
          <w:p w14:paraId="29CCDEBF"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0.022    </w:t>
            </w:r>
          </w:p>
        </w:tc>
        <w:tc>
          <w:tcPr>
            <w:tcW w:w="809" w:type="dxa"/>
            <w:tcBorders>
              <w:top w:val="nil"/>
              <w:left w:val="nil"/>
              <w:bottom w:val="nil"/>
              <w:right w:val="nil"/>
            </w:tcBorders>
            <w:shd w:val="clear" w:color="auto" w:fill="auto"/>
            <w:noWrap/>
            <w:vAlign w:val="center"/>
          </w:tcPr>
          <w:p w14:paraId="338A0873" w14:textId="77777777" w:rsidR="009D1103" w:rsidRPr="006C023E" w:rsidRDefault="009D1103" w:rsidP="008D10BD">
            <w:pPr>
              <w:spacing w:after="0" w:line="240" w:lineRule="auto"/>
              <w:rPr>
                <w:rFonts w:ascii="Times New Roman" w:eastAsia="Times New Roman" w:hAnsi="Times New Roman" w:cs="Times New Roman"/>
                <w:b/>
                <w:bCs/>
                <w:sz w:val="24"/>
                <w:szCs w:val="24"/>
                <w:lang w:val="fi-FI" w:eastAsia="fi-FI"/>
              </w:rPr>
            </w:pPr>
            <w:r w:rsidRPr="006C023E">
              <w:rPr>
                <w:rFonts w:ascii="Times New Roman" w:eastAsia="Times New Roman" w:hAnsi="Times New Roman" w:cs="Times New Roman"/>
                <w:b/>
                <w:bCs/>
                <w:sz w:val="24"/>
                <w:szCs w:val="24"/>
                <w:lang w:val="fi-FI" w:eastAsia="fi-FI"/>
              </w:rPr>
              <w:t>.041</w:t>
            </w:r>
          </w:p>
        </w:tc>
      </w:tr>
      <w:bookmarkEnd w:id="1"/>
      <w:tr w:rsidR="002B1ABD" w:rsidRPr="006C023E" w14:paraId="22A74BA8" w14:textId="77777777" w:rsidTr="009B66A5">
        <w:trPr>
          <w:trHeight w:val="310"/>
        </w:trPr>
        <w:tc>
          <w:tcPr>
            <w:tcW w:w="960" w:type="dxa"/>
            <w:tcBorders>
              <w:top w:val="nil"/>
              <w:left w:val="nil"/>
              <w:bottom w:val="nil"/>
              <w:right w:val="nil"/>
            </w:tcBorders>
            <w:shd w:val="clear" w:color="auto" w:fill="auto"/>
            <w:noWrap/>
            <w:vAlign w:val="center"/>
            <w:hideMark/>
          </w:tcPr>
          <w:p w14:paraId="40FD24A7"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e)</w:t>
            </w:r>
          </w:p>
        </w:tc>
        <w:tc>
          <w:tcPr>
            <w:tcW w:w="3151" w:type="dxa"/>
            <w:tcBorders>
              <w:top w:val="nil"/>
              <w:left w:val="nil"/>
              <w:bottom w:val="nil"/>
              <w:right w:val="nil"/>
            </w:tcBorders>
            <w:shd w:val="clear" w:color="auto" w:fill="auto"/>
            <w:noWrap/>
            <w:vAlign w:val="center"/>
            <w:hideMark/>
          </w:tcPr>
          <w:p w14:paraId="4A73EA17"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rs1611115 T</w:t>
            </w:r>
            <w:r w:rsidRPr="006C023E">
              <w:rPr>
                <w:rFonts w:ascii="Times New Roman" w:eastAsia="Times New Roman" w:hAnsi="Times New Roman" w:cs="Times New Roman"/>
                <w:sz w:val="24"/>
                <w:szCs w:val="24"/>
                <w:lang w:val="fi-FI" w:eastAsia="fi-FI"/>
              </w:rPr>
              <w:sym w:font="Wingdings" w:char="F0E0"/>
            </w:r>
            <w:r w:rsidRPr="006C023E">
              <w:rPr>
                <w:rFonts w:ascii="Times New Roman" w:eastAsia="Times New Roman" w:hAnsi="Times New Roman" w:cs="Times New Roman"/>
                <w:sz w:val="24"/>
                <w:szCs w:val="24"/>
                <w:lang w:val="fi-FI" w:eastAsia="fi-FI"/>
              </w:rPr>
              <w:t>C (DBH)</w:t>
            </w:r>
          </w:p>
        </w:tc>
        <w:tc>
          <w:tcPr>
            <w:tcW w:w="1134" w:type="dxa"/>
            <w:tcBorders>
              <w:top w:val="nil"/>
              <w:left w:val="nil"/>
              <w:bottom w:val="nil"/>
              <w:right w:val="nil"/>
            </w:tcBorders>
            <w:shd w:val="clear" w:color="auto" w:fill="auto"/>
            <w:noWrap/>
            <w:vAlign w:val="center"/>
          </w:tcPr>
          <w:p w14:paraId="5BE862E0"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-0.033    </w:t>
            </w:r>
          </w:p>
        </w:tc>
        <w:tc>
          <w:tcPr>
            <w:tcW w:w="992" w:type="dxa"/>
            <w:tcBorders>
              <w:top w:val="nil"/>
              <w:left w:val="nil"/>
              <w:bottom w:val="nil"/>
              <w:right w:val="nil"/>
            </w:tcBorders>
            <w:shd w:val="clear" w:color="auto" w:fill="auto"/>
            <w:noWrap/>
            <w:vAlign w:val="center"/>
          </w:tcPr>
          <w:p w14:paraId="7D260223"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0.042  </w:t>
            </w:r>
          </w:p>
        </w:tc>
        <w:tc>
          <w:tcPr>
            <w:tcW w:w="851" w:type="dxa"/>
            <w:tcBorders>
              <w:top w:val="nil"/>
              <w:left w:val="nil"/>
              <w:bottom w:val="nil"/>
              <w:right w:val="nil"/>
            </w:tcBorders>
            <w:shd w:val="clear" w:color="auto" w:fill="auto"/>
            <w:noWrap/>
            <w:vAlign w:val="center"/>
          </w:tcPr>
          <w:p w14:paraId="362D05F5"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.431</w:t>
            </w:r>
          </w:p>
        </w:tc>
        <w:tc>
          <w:tcPr>
            <w:tcW w:w="425" w:type="dxa"/>
            <w:tcBorders>
              <w:top w:val="nil"/>
              <w:left w:val="nil"/>
              <w:bottom w:val="nil"/>
              <w:right w:val="nil"/>
            </w:tcBorders>
            <w:shd w:val="clear" w:color="auto" w:fill="auto"/>
            <w:noWrap/>
            <w:vAlign w:val="center"/>
          </w:tcPr>
          <w:p w14:paraId="784A4A9D"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992" w:type="dxa"/>
            <w:tcBorders>
              <w:top w:val="nil"/>
              <w:left w:val="nil"/>
              <w:bottom w:val="nil"/>
              <w:right w:val="nil"/>
            </w:tcBorders>
            <w:shd w:val="clear" w:color="auto" w:fill="auto"/>
            <w:noWrap/>
            <w:vAlign w:val="center"/>
          </w:tcPr>
          <w:p w14:paraId="551D553B"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0.057    </w:t>
            </w:r>
          </w:p>
        </w:tc>
        <w:tc>
          <w:tcPr>
            <w:tcW w:w="567" w:type="dxa"/>
            <w:tcBorders>
              <w:top w:val="nil"/>
              <w:left w:val="nil"/>
              <w:bottom w:val="nil"/>
              <w:right w:val="nil"/>
            </w:tcBorders>
            <w:shd w:val="clear" w:color="auto" w:fill="auto"/>
            <w:noWrap/>
            <w:vAlign w:val="center"/>
          </w:tcPr>
          <w:p w14:paraId="615B9D5C"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0.028       </w:t>
            </w:r>
          </w:p>
        </w:tc>
        <w:tc>
          <w:tcPr>
            <w:tcW w:w="809" w:type="dxa"/>
            <w:tcBorders>
              <w:top w:val="nil"/>
              <w:left w:val="nil"/>
              <w:bottom w:val="nil"/>
              <w:right w:val="nil"/>
            </w:tcBorders>
            <w:shd w:val="clear" w:color="auto" w:fill="auto"/>
            <w:noWrap/>
            <w:vAlign w:val="center"/>
          </w:tcPr>
          <w:p w14:paraId="12B0C5F7" w14:textId="77777777" w:rsidR="009D1103" w:rsidRPr="006C023E" w:rsidRDefault="009D1103" w:rsidP="008D10BD">
            <w:pPr>
              <w:spacing w:after="0" w:line="240" w:lineRule="auto"/>
              <w:rPr>
                <w:rFonts w:ascii="Times New Roman" w:eastAsia="Times New Roman" w:hAnsi="Times New Roman" w:cs="Times New Roman"/>
                <w:b/>
                <w:bCs/>
                <w:sz w:val="24"/>
                <w:szCs w:val="24"/>
                <w:lang w:val="fi-FI" w:eastAsia="fi-FI"/>
              </w:rPr>
            </w:pPr>
            <w:r w:rsidRPr="006C023E">
              <w:rPr>
                <w:rFonts w:ascii="Times New Roman" w:eastAsia="Times New Roman" w:hAnsi="Times New Roman" w:cs="Times New Roman"/>
                <w:b/>
                <w:bCs/>
                <w:sz w:val="24"/>
                <w:szCs w:val="24"/>
                <w:lang w:val="fi-FI" w:eastAsia="fi-FI"/>
              </w:rPr>
              <w:t>.045</w:t>
            </w:r>
          </w:p>
        </w:tc>
      </w:tr>
      <w:tr w:rsidR="002B1ABD" w:rsidRPr="006C023E" w14:paraId="1F00641C" w14:textId="77777777" w:rsidTr="009B66A5">
        <w:trPr>
          <w:trHeight w:val="310"/>
        </w:trPr>
        <w:tc>
          <w:tcPr>
            <w:tcW w:w="960" w:type="dxa"/>
            <w:tcBorders>
              <w:top w:val="nil"/>
              <w:left w:val="nil"/>
              <w:bottom w:val="nil"/>
              <w:right w:val="nil"/>
            </w:tcBorders>
            <w:shd w:val="clear" w:color="auto" w:fill="auto"/>
            <w:noWrap/>
            <w:vAlign w:val="center"/>
            <w:hideMark/>
          </w:tcPr>
          <w:p w14:paraId="070E24FB"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f)</w:t>
            </w:r>
          </w:p>
        </w:tc>
        <w:tc>
          <w:tcPr>
            <w:tcW w:w="3151" w:type="dxa"/>
            <w:tcBorders>
              <w:top w:val="nil"/>
              <w:left w:val="nil"/>
              <w:bottom w:val="nil"/>
              <w:right w:val="nil"/>
            </w:tcBorders>
            <w:shd w:val="clear" w:color="auto" w:fill="auto"/>
            <w:noWrap/>
            <w:vAlign w:val="center"/>
            <w:hideMark/>
          </w:tcPr>
          <w:p w14:paraId="44AD6675"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eastAsia="ar-SA"/>
              </w:rPr>
              <w:t>low oxytocin genetic profile</w:t>
            </w:r>
          </w:p>
        </w:tc>
        <w:tc>
          <w:tcPr>
            <w:tcW w:w="1134" w:type="dxa"/>
            <w:tcBorders>
              <w:top w:val="nil"/>
              <w:left w:val="nil"/>
              <w:bottom w:val="nil"/>
              <w:right w:val="nil"/>
            </w:tcBorders>
            <w:shd w:val="clear" w:color="auto" w:fill="auto"/>
            <w:noWrap/>
            <w:vAlign w:val="center"/>
          </w:tcPr>
          <w:p w14:paraId="4B4075F6"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0.022    </w:t>
            </w:r>
          </w:p>
        </w:tc>
        <w:tc>
          <w:tcPr>
            <w:tcW w:w="992" w:type="dxa"/>
            <w:tcBorders>
              <w:top w:val="nil"/>
              <w:left w:val="nil"/>
              <w:bottom w:val="nil"/>
              <w:right w:val="nil"/>
            </w:tcBorders>
            <w:shd w:val="clear" w:color="auto" w:fill="auto"/>
            <w:noWrap/>
            <w:vAlign w:val="center"/>
          </w:tcPr>
          <w:p w14:paraId="02FA47F2"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0.023    </w:t>
            </w:r>
          </w:p>
        </w:tc>
        <w:tc>
          <w:tcPr>
            <w:tcW w:w="851" w:type="dxa"/>
            <w:tcBorders>
              <w:top w:val="nil"/>
              <w:left w:val="nil"/>
              <w:bottom w:val="nil"/>
              <w:right w:val="nil"/>
            </w:tcBorders>
            <w:shd w:val="clear" w:color="auto" w:fill="auto"/>
            <w:noWrap/>
            <w:vAlign w:val="center"/>
          </w:tcPr>
          <w:p w14:paraId="56A6BFC4"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.345</w:t>
            </w:r>
          </w:p>
        </w:tc>
        <w:tc>
          <w:tcPr>
            <w:tcW w:w="425" w:type="dxa"/>
            <w:tcBorders>
              <w:top w:val="nil"/>
              <w:left w:val="nil"/>
              <w:bottom w:val="nil"/>
              <w:right w:val="nil"/>
            </w:tcBorders>
            <w:shd w:val="clear" w:color="auto" w:fill="auto"/>
            <w:noWrap/>
            <w:vAlign w:val="center"/>
          </w:tcPr>
          <w:p w14:paraId="5617AC87"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992" w:type="dxa"/>
            <w:tcBorders>
              <w:top w:val="nil"/>
              <w:left w:val="nil"/>
              <w:bottom w:val="nil"/>
              <w:right w:val="nil"/>
            </w:tcBorders>
            <w:shd w:val="clear" w:color="auto" w:fill="auto"/>
            <w:noWrap/>
            <w:vAlign w:val="center"/>
          </w:tcPr>
          <w:p w14:paraId="65429E38"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0.005    </w:t>
            </w:r>
          </w:p>
        </w:tc>
        <w:tc>
          <w:tcPr>
            <w:tcW w:w="567" w:type="dxa"/>
            <w:tcBorders>
              <w:top w:val="nil"/>
              <w:left w:val="nil"/>
              <w:bottom w:val="nil"/>
              <w:right w:val="nil"/>
            </w:tcBorders>
            <w:shd w:val="clear" w:color="auto" w:fill="auto"/>
            <w:noWrap/>
            <w:vAlign w:val="center"/>
          </w:tcPr>
          <w:p w14:paraId="47BCA8C1"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0.015     </w:t>
            </w:r>
          </w:p>
        </w:tc>
        <w:tc>
          <w:tcPr>
            <w:tcW w:w="809" w:type="dxa"/>
            <w:tcBorders>
              <w:top w:val="nil"/>
              <w:left w:val="nil"/>
              <w:bottom w:val="nil"/>
              <w:right w:val="nil"/>
            </w:tcBorders>
            <w:shd w:val="clear" w:color="auto" w:fill="auto"/>
            <w:noWrap/>
            <w:vAlign w:val="center"/>
          </w:tcPr>
          <w:p w14:paraId="2BA2C8DC"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.745</w:t>
            </w:r>
          </w:p>
        </w:tc>
      </w:tr>
      <w:tr w:rsidR="002B1ABD" w:rsidRPr="006C023E" w14:paraId="7739DA0A" w14:textId="77777777" w:rsidTr="009B66A5">
        <w:trPr>
          <w:trHeight w:val="310"/>
        </w:trPr>
        <w:tc>
          <w:tcPr>
            <w:tcW w:w="960" w:type="dxa"/>
            <w:tcBorders>
              <w:top w:val="nil"/>
              <w:left w:val="nil"/>
              <w:bottom w:val="nil"/>
              <w:right w:val="nil"/>
            </w:tcBorders>
            <w:shd w:val="clear" w:color="auto" w:fill="auto"/>
            <w:noWrap/>
            <w:vAlign w:val="center"/>
          </w:tcPr>
          <w:p w14:paraId="6D0D44E2"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g)</w:t>
            </w:r>
          </w:p>
        </w:tc>
        <w:tc>
          <w:tcPr>
            <w:tcW w:w="3151" w:type="dxa"/>
            <w:tcBorders>
              <w:top w:val="nil"/>
              <w:left w:val="nil"/>
              <w:bottom w:val="nil"/>
              <w:right w:val="nil"/>
            </w:tcBorders>
            <w:shd w:val="clear" w:color="auto" w:fill="auto"/>
            <w:noWrap/>
            <w:vAlign w:val="center"/>
          </w:tcPr>
          <w:p w14:paraId="31189394"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eastAsia="ar-SA"/>
              </w:rPr>
              <w:t>high dopamine genetic profile</w:t>
            </w:r>
          </w:p>
        </w:tc>
        <w:tc>
          <w:tcPr>
            <w:tcW w:w="1134" w:type="dxa"/>
            <w:tcBorders>
              <w:top w:val="nil"/>
              <w:left w:val="nil"/>
              <w:bottom w:val="nil"/>
              <w:right w:val="nil"/>
            </w:tcBorders>
            <w:shd w:val="clear" w:color="auto" w:fill="auto"/>
            <w:noWrap/>
            <w:vAlign w:val="center"/>
          </w:tcPr>
          <w:p w14:paraId="16E269D0"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-0.023    </w:t>
            </w:r>
          </w:p>
        </w:tc>
        <w:tc>
          <w:tcPr>
            <w:tcW w:w="992" w:type="dxa"/>
            <w:tcBorders>
              <w:top w:val="nil"/>
              <w:left w:val="nil"/>
              <w:bottom w:val="nil"/>
              <w:right w:val="nil"/>
            </w:tcBorders>
            <w:shd w:val="clear" w:color="auto" w:fill="auto"/>
            <w:noWrap/>
            <w:vAlign w:val="center"/>
          </w:tcPr>
          <w:p w14:paraId="07020A43"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0.022   </w:t>
            </w:r>
          </w:p>
        </w:tc>
        <w:tc>
          <w:tcPr>
            <w:tcW w:w="851" w:type="dxa"/>
            <w:tcBorders>
              <w:top w:val="nil"/>
              <w:left w:val="nil"/>
              <w:bottom w:val="nil"/>
              <w:right w:val="nil"/>
            </w:tcBorders>
            <w:shd w:val="clear" w:color="auto" w:fill="auto"/>
            <w:noWrap/>
            <w:vAlign w:val="center"/>
          </w:tcPr>
          <w:p w14:paraId="74505A91"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.296</w:t>
            </w:r>
          </w:p>
        </w:tc>
        <w:tc>
          <w:tcPr>
            <w:tcW w:w="425" w:type="dxa"/>
            <w:tcBorders>
              <w:top w:val="nil"/>
              <w:left w:val="nil"/>
              <w:bottom w:val="nil"/>
              <w:right w:val="nil"/>
            </w:tcBorders>
            <w:shd w:val="clear" w:color="auto" w:fill="auto"/>
            <w:noWrap/>
            <w:vAlign w:val="center"/>
          </w:tcPr>
          <w:p w14:paraId="49AF6FA6"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992" w:type="dxa"/>
            <w:tcBorders>
              <w:top w:val="nil"/>
              <w:left w:val="nil"/>
              <w:bottom w:val="nil"/>
              <w:right w:val="nil"/>
            </w:tcBorders>
            <w:shd w:val="clear" w:color="auto" w:fill="auto"/>
            <w:noWrap/>
            <w:vAlign w:val="center"/>
          </w:tcPr>
          <w:p w14:paraId="6A5B209F"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0.029    </w:t>
            </w:r>
          </w:p>
        </w:tc>
        <w:tc>
          <w:tcPr>
            <w:tcW w:w="567" w:type="dxa"/>
            <w:tcBorders>
              <w:top w:val="nil"/>
              <w:left w:val="nil"/>
              <w:bottom w:val="nil"/>
              <w:right w:val="nil"/>
            </w:tcBorders>
            <w:shd w:val="clear" w:color="auto" w:fill="auto"/>
            <w:noWrap/>
            <w:vAlign w:val="center"/>
          </w:tcPr>
          <w:p w14:paraId="44FF747D"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0.015    </w:t>
            </w:r>
          </w:p>
        </w:tc>
        <w:tc>
          <w:tcPr>
            <w:tcW w:w="809" w:type="dxa"/>
            <w:tcBorders>
              <w:top w:val="nil"/>
              <w:left w:val="nil"/>
              <w:bottom w:val="nil"/>
              <w:right w:val="nil"/>
            </w:tcBorders>
            <w:shd w:val="clear" w:color="auto" w:fill="auto"/>
            <w:noWrap/>
            <w:vAlign w:val="center"/>
          </w:tcPr>
          <w:p w14:paraId="1724BB80" w14:textId="77777777" w:rsidR="009D1103" w:rsidRPr="006C023E" w:rsidRDefault="009D1103" w:rsidP="008D10BD">
            <w:pPr>
              <w:pStyle w:val="HTMLPreformatted"/>
              <w:shd w:val="clear" w:color="auto" w:fill="FFFFFF"/>
              <w:wordWrap w:val="0"/>
              <w:rPr>
                <w:rFonts w:ascii="Times New Roman" w:hAnsi="Times New Roman" w:cs="Times New Roman"/>
                <w:b/>
                <w:bCs/>
                <w:sz w:val="24"/>
                <w:szCs w:val="24"/>
              </w:rPr>
            </w:pPr>
            <w:r w:rsidRPr="006C023E">
              <w:rPr>
                <w:rFonts w:ascii="Times New Roman" w:hAnsi="Times New Roman" w:cs="Times New Roman"/>
                <w:b/>
                <w:bCs/>
                <w:sz w:val="24"/>
                <w:szCs w:val="24"/>
              </w:rPr>
              <w:t>.050</w:t>
            </w:r>
          </w:p>
        </w:tc>
      </w:tr>
      <w:bookmarkEnd w:id="2"/>
      <w:tr w:rsidR="002B1ABD" w:rsidRPr="006C023E" w14:paraId="0339F049" w14:textId="77777777" w:rsidTr="009B66A5">
        <w:trPr>
          <w:trHeight w:val="310"/>
        </w:trPr>
        <w:tc>
          <w:tcPr>
            <w:tcW w:w="960" w:type="dxa"/>
            <w:tcBorders>
              <w:top w:val="nil"/>
              <w:left w:val="nil"/>
              <w:bottom w:val="nil"/>
              <w:right w:val="nil"/>
            </w:tcBorders>
            <w:shd w:val="clear" w:color="auto" w:fill="auto"/>
            <w:noWrap/>
            <w:vAlign w:val="center"/>
          </w:tcPr>
          <w:p w14:paraId="016EA8D9"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3151" w:type="dxa"/>
            <w:tcBorders>
              <w:top w:val="nil"/>
              <w:left w:val="nil"/>
              <w:bottom w:val="nil"/>
              <w:right w:val="nil"/>
            </w:tcBorders>
            <w:shd w:val="clear" w:color="auto" w:fill="auto"/>
            <w:noWrap/>
            <w:vAlign w:val="center"/>
          </w:tcPr>
          <w:p w14:paraId="0D504003"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1134" w:type="dxa"/>
            <w:tcBorders>
              <w:top w:val="nil"/>
              <w:left w:val="nil"/>
              <w:bottom w:val="nil"/>
              <w:right w:val="nil"/>
            </w:tcBorders>
            <w:shd w:val="clear" w:color="auto" w:fill="auto"/>
            <w:noWrap/>
            <w:vAlign w:val="center"/>
          </w:tcPr>
          <w:p w14:paraId="5AB468E3"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992" w:type="dxa"/>
            <w:tcBorders>
              <w:top w:val="nil"/>
              <w:left w:val="nil"/>
              <w:bottom w:val="nil"/>
              <w:right w:val="nil"/>
            </w:tcBorders>
            <w:shd w:val="clear" w:color="auto" w:fill="auto"/>
            <w:noWrap/>
            <w:vAlign w:val="center"/>
          </w:tcPr>
          <w:p w14:paraId="5628C1D7"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851" w:type="dxa"/>
            <w:tcBorders>
              <w:top w:val="nil"/>
              <w:left w:val="nil"/>
              <w:bottom w:val="nil"/>
              <w:right w:val="nil"/>
            </w:tcBorders>
            <w:shd w:val="clear" w:color="auto" w:fill="auto"/>
            <w:noWrap/>
            <w:vAlign w:val="center"/>
          </w:tcPr>
          <w:p w14:paraId="74A13084"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425" w:type="dxa"/>
            <w:tcBorders>
              <w:top w:val="nil"/>
              <w:left w:val="nil"/>
              <w:bottom w:val="nil"/>
              <w:right w:val="nil"/>
            </w:tcBorders>
            <w:shd w:val="clear" w:color="auto" w:fill="auto"/>
            <w:noWrap/>
            <w:vAlign w:val="center"/>
          </w:tcPr>
          <w:p w14:paraId="66CF28DE"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992" w:type="dxa"/>
            <w:tcBorders>
              <w:top w:val="nil"/>
              <w:left w:val="nil"/>
              <w:bottom w:val="nil"/>
              <w:right w:val="nil"/>
            </w:tcBorders>
            <w:shd w:val="clear" w:color="auto" w:fill="auto"/>
            <w:noWrap/>
            <w:vAlign w:val="center"/>
          </w:tcPr>
          <w:p w14:paraId="345FC2A9"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567" w:type="dxa"/>
            <w:tcBorders>
              <w:top w:val="nil"/>
              <w:left w:val="nil"/>
              <w:bottom w:val="nil"/>
              <w:right w:val="nil"/>
            </w:tcBorders>
            <w:shd w:val="clear" w:color="auto" w:fill="auto"/>
            <w:noWrap/>
            <w:vAlign w:val="center"/>
          </w:tcPr>
          <w:p w14:paraId="58BBAA74"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809" w:type="dxa"/>
            <w:tcBorders>
              <w:top w:val="nil"/>
              <w:left w:val="nil"/>
              <w:bottom w:val="nil"/>
              <w:right w:val="nil"/>
            </w:tcBorders>
            <w:shd w:val="clear" w:color="auto" w:fill="auto"/>
            <w:noWrap/>
            <w:vAlign w:val="center"/>
          </w:tcPr>
          <w:p w14:paraId="328714E9"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r>
      <w:tr w:rsidR="002B1ABD" w:rsidRPr="006C023E" w14:paraId="61DB2B88" w14:textId="77777777" w:rsidTr="009B66A5">
        <w:trPr>
          <w:trHeight w:val="310"/>
        </w:trPr>
        <w:tc>
          <w:tcPr>
            <w:tcW w:w="960" w:type="dxa"/>
            <w:tcBorders>
              <w:top w:val="nil"/>
              <w:left w:val="nil"/>
              <w:bottom w:val="nil"/>
              <w:right w:val="nil"/>
            </w:tcBorders>
            <w:shd w:val="clear" w:color="auto" w:fill="auto"/>
            <w:noWrap/>
            <w:vAlign w:val="center"/>
            <w:hideMark/>
          </w:tcPr>
          <w:p w14:paraId="60C3D87D" w14:textId="77777777" w:rsidR="009D1103" w:rsidRPr="006C023E" w:rsidRDefault="009D1103" w:rsidP="008D10BD">
            <w:pPr>
              <w:spacing w:after="0" w:line="240" w:lineRule="auto"/>
              <w:rPr>
                <w:rFonts w:ascii="Times New Roman" w:eastAsia="Times New Roman" w:hAnsi="Times New Roman" w:cs="Times New Roman"/>
                <w:i/>
                <w:sz w:val="24"/>
                <w:szCs w:val="24"/>
                <w:lang w:val="fi-FI" w:eastAsia="fi-FI"/>
              </w:rPr>
            </w:pPr>
            <w:r w:rsidRPr="006C023E">
              <w:rPr>
                <w:rFonts w:ascii="Times New Roman" w:eastAsia="Times New Roman" w:hAnsi="Times New Roman" w:cs="Times New Roman"/>
                <w:i/>
                <w:sz w:val="24"/>
                <w:szCs w:val="24"/>
                <w:lang w:val="fi-FI" w:eastAsia="fi-FI"/>
              </w:rPr>
              <w:t>Model 3</w:t>
            </w:r>
          </w:p>
        </w:tc>
        <w:tc>
          <w:tcPr>
            <w:tcW w:w="8921" w:type="dxa"/>
            <w:gridSpan w:val="8"/>
            <w:tcBorders>
              <w:top w:val="nil"/>
              <w:left w:val="nil"/>
              <w:bottom w:val="nil"/>
            </w:tcBorders>
            <w:shd w:val="clear" w:color="auto" w:fill="auto"/>
            <w:noWrap/>
            <w:vAlign w:val="center"/>
          </w:tcPr>
          <w:p w14:paraId="5455278D" w14:textId="77777777" w:rsidR="009D1103" w:rsidRPr="006C023E" w:rsidRDefault="009D1103" w:rsidP="008D10BD">
            <w:pPr>
              <w:spacing w:after="0" w:line="240" w:lineRule="auto"/>
              <w:rPr>
                <w:rFonts w:ascii="Times New Roman" w:eastAsia="Times New Roman" w:hAnsi="Times New Roman" w:cs="Times New Roman"/>
                <w:i/>
                <w:sz w:val="24"/>
                <w:szCs w:val="24"/>
                <w:lang w:val="fi-FI" w:eastAsia="fi-FI"/>
              </w:rPr>
            </w:pPr>
            <w:r w:rsidRPr="006C023E">
              <w:rPr>
                <w:rFonts w:ascii="Times New Roman" w:eastAsia="Times New Roman" w:hAnsi="Times New Roman" w:cs="Times New Roman"/>
                <w:i/>
                <w:sz w:val="24"/>
                <w:szCs w:val="24"/>
                <w:lang w:val="fi-FI" w:eastAsia="fi-FI"/>
              </w:rPr>
              <w:t>Women</w:t>
            </w:r>
          </w:p>
        </w:tc>
      </w:tr>
      <w:tr w:rsidR="002B1ABD" w:rsidRPr="006C023E" w14:paraId="426424DE" w14:textId="77777777" w:rsidTr="009B66A5">
        <w:trPr>
          <w:trHeight w:val="310"/>
        </w:trPr>
        <w:tc>
          <w:tcPr>
            <w:tcW w:w="960" w:type="dxa"/>
            <w:tcBorders>
              <w:top w:val="nil"/>
              <w:left w:val="nil"/>
              <w:bottom w:val="nil"/>
              <w:right w:val="nil"/>
            </w:tcBorders>
            <w:shd w:val="clear" w:color="auto" w:fill="auto"/>
            <w:noWrap/>
            <w:vAlign w:val="center"/>
            <w:hideMark/>
          </w:tcPr>
          <w:p w14:paraId="3021DC0B"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eastAsia="fi-FI"/>
              </w:rPr>
              <w:t>a)</w:t>
            </w:r>
          </w:p>
        </w:tc>
        <w:tc>
          <w:tcPr>
            <w:tcW w:w="3151" w:type="dxa"/>
            <w:tcBorders>
              <w:top w:val="nil"/>
              <w:left w:val="nil"/>
              <w:bottom w:val="nil"/>
              <w:right w:val="nil"/>
            </w:tcBorders>
            <w:shd w:val="clear" w:color="auto" w:fill="auto"/>
            <w:noWrap/>
            <w:vAlign w:val="center"/>
            <w:hideMark/>
          </w:tcPr>
          <w:p w14:paraId="1E037175"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rs2268498 C</w:t>
            </w:r>
            <w:r w:rsidRPr="006C023E">
              <w:rPr>
                <w:rFonts w:ascii="Times New Roman" w:eastAsia="Times New Roman" w:hAnsi="Times New Roman" w:cs="Times New Roman"/>
                <w:sz w:val="24"/>
                <w:szCs w:val="24"/>
                <w:lang w:val="fi-FI" w:eastAsia="fi-FI"/>
              </w:rPr>
              <w:sym w:font="Wingdings" w:char="F0E0"/>
            </w:r>
            <w:r w:rsidRPr="006C023E">
              <w:rPr>
                <w:rFonts w:ascii="Times New Roman" w:eastAsia="Times New Roman" w:hAnsi="Times New Roman" w:cs="Times New Roman"/>
                <w:sz w:val="24"/>
                <w:szCs w:val="24"/>
                <w:lang w:val="fi-FI" w:eastAsia="fi-FI"/>
              </w:rPr>
              <w:t>T (OXTR)</w:t>
            </w:r>
          </w:p>
        </w:tc>
        <w:tc>
          <w:tcPr>
            <w:tcW w:w="1134" w:type="dxa"/>
            <w:tcBorders>
              <w:top w:val="nil"/>
              <w:left w:val="nil"/>
              <w:bottom w:val="nil"/>
              <w:right w:val="nil"/>
            </w:tcBorders>
            <w:shd w:val="clear" w:color="auto" w:fill="auto"/>
            <w:noWrap/>
            <w:vAlign w:val="center"/>
          </w:tcPr>
          <w:p w14:paraId="052458B8"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0.002    </w:t>
            </w:r>
          </w:p>
        </w:tc>
        <w:tc>
          <w:tcPr>
            <w:tcW w:w="992" w:type="dxa"/>
            <w:tcBorders>
              <w:top w:val="nil"/>
              <w:left w:val="nil"/>
              <w:bottom w:val="nil"/>
              <w:right w:val="nil"/>
            </w:tcBorders>
            <w:shd w:val="clear" w:color="auto" w:fill="auto"/>
            <w:noWrap/>
            <w:vAlign w:val="center"/>
          </w:tcPr>
          <w:p w14:paraId="5E6C3BB2"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0.045    </w:t>
            </w:r>
          </w:p>
        </w:tc>
        <w:tc>
          <w:tcPr>
            <w:tcW w:w="851" w:type="dxa"/>
            <w:tcBorders>
              <w:top w:val="nil"/>
              <w:left w:val="nil"/>
              <w:bottom w:val="nil"/>
              <w:right w:val="nil"/>
            </w:tcBorders>
            <w:shd w:val="clear" w:color="auto" w:fill="auto"/>
            <w:noWrap/>
            <w:vAlign w:val="center"/>
          </w:tcPr>
          <w:p w14:paraId="793B05FC"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.964</w:t>
            </w:r>
          </w:p>
        </w:tc>
        <w:tc>
          <w:tcPr>
            <w:tcW w:w="425" w:type="dxa"/>
            <w:tcBorders>
              <w:top w:val="nil"/>
              <w:left w:val="nil"/>
              <w:bottom w:val="nil"/>
              <w:right w:val="nil"/>
            </w:tcBorders>
            <w:shd w:val="clear" w:color="auto" w:fill="auto"/>
            <w:noWrap/>
            <w:vAlign w:val="center"/>
          </w:tcPr>
          <w:p w14:paraId="68618B15"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992" w:type="dxa"/>
            <w:tcBorders>
              <w:top w:val="nil"/>
              <w:left w:val="nil"/>
              <w:bottom w:val="nil"/>
              <w:right w:val="nil"/>
            </w:tcBorders>
            <w:shd w:val="clear" w:color="auto" w:fill="auto"/>
            <w:noWrap/>
            <w:vAlign w:val="center"/>
          </w:tcPr>
          <w:p w14:paraId="01218C42"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-0.001    </w:t>
            </w:r>
          </w:p>
        </w:tc>
        <w:tc>
          <w:tcPr>
            <w:tcW w:w="567" w:type="dxa"/>
            <w:tcBorders>
              <w:top w:val="nil"/>
              <w:left w:val="nil"/>
              <w:bottom w:val="nil"/>
              <w:right w:val="nil"/>
            </w:tcBorders>
            <w:shd w:val="clear" w:color="auto" w:fill="auto"/>
            <w:noWrap/>
            <w:vAlign w:val="center"/>
          </w:tcPr>
          <w:p w14:paraId="7F0E7B77"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0.028  </w:t>
            </w:r>
          </w:p>
        </w:tc>
        <w:tc>
          <w:tcPr>
            <w:tcW w:w="809" w:type="dxa"/>
            <w:tcBorders>
              <w:top w:val="nil"/>
              <w:left w:val="nil"/>
              <w:bottom w:val="nil"/>
              <w:right w:val="nil"/>
            </w:tcBorders>
            <w:shd w:val="clear" w:color="auto" w:fill="auto"/>
            <w:noWrap/>
            <w:vAlign w:val="center"/>
          </w:tcPr>
          <w:p w14:paraId="69A38CF9"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.963</w:t>
            </w:r>
          </w:p>
        </w:tc>
      </w:tr>
      <w:tr w:rsidR="002B1ABD" w:rsidRPr="006C023E" w14:paraId="1499DE84" w14:textId="77777777" w:rsidTr="009B66A5">
        <w:trPr>
          <w:trHeight w:val="310"/>
        </w:trPr>
        <w:tc>
          <w:tcPr>
            <w:tcW w:w="960" w:type="dxa"/>
            <w:tcBorders>
              <w:top w:val="nil"/>
              <w:left w:val="nil"/>
              <w:bottom w:val="nil"/>
              <w:right w:val="nil"/>
            </w:tcBorders>
            <w:shd w:val="clear" w:color="auto" w:fill="auto"/>
            <w:noWrap/>
            <w:vAlign w:val="center"/>
            <w:hideMark/>
          </w:tcPr>
          <w:p w14:paraId="16E72E85"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b)</w:t>
            </w:r>
          </w:p>
        </w:tc>
        <w:tc>
          <w:tcPr>
            <w:tcW w:w="3151" w:type="dxa"/>
            <w:tcBorders>
              <w:top w:val="nil"/>
              <w:left w:val="nil"/>
              <w:bottom w:val="nil"/>
              <w:right w:val="nil"/>
            </w:tcBorders>
            <w:shd w:val="clear" w:color="auto" w:fill="auto"/>
            <w:noWrap/>
            <w:vAlign w:val="center"/>
            <w:hideMark/>
          </w:tcPr>
          <w:p w14:paraId="3DF05DF0"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rs3796863 C</w:t>
            </w:r>
            <w:r w:rsidRPr="006C023E">
              <w:rPr>
                <w:rFonts w:ascii="Times New Roman" w:eastAsia="Times New Roman" w:hAnsi="Times New Roman" w:cs="Times New Roman"/>
                <w:sz w:val="24"/>
                <w:szCs w:val="24"/>
                <w:lang w:val="fi-FI" w:eastAsia="fi-FI"/>
              </w:rPr>
              <w:sym w:font="Wingdings" w:char="F0E0"/>
            </w:r>
            <w:r w:rsidRPr="006C023E">
              <w:rPr>
                <w:rFonts w:ascii="Times New Roman" w:eastAsia="Times New Roman" w:hAnsi="Times New Roman" w:cs="Times New Roman"/>
                <w:sz w:val="24"/>
                <w:szCs w:val="24"/>
                <w:lang w:val="fi-FI" w:eastAsia="fi-FI"/>
              </w:rPr>
              <w:t>A (CD38)</w:t>
            </w:r>
          </w:p>
        </w:tc>
        <w:tc>
          <w:tcPr>
            <w:tcW w:w="1134" w:type="dxa"/>
            <w:tcBorders>
              <w:top w:val="nil"/>
              <w:left w:val="nil"/>
              <w:bottom w:val="nil"/>
              <w:right w:val="nil"/>
            </w:tcBorders>
            <w:shd w:val="clear" w:color="auto" w:fill="auto"/>
            <w:noWrap/>
            <w:vAlign w:val="center"/>
          </w:tcPr>
          <w:p w14:paraId="49508DD0"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0.038    </w:t>
            </w:r>
          </w:p>
        </w:tc>
        <w:tc>
          <w:tcPr>
            <w:tcW w:w="992" w:type="dxa"/>
            <w:tcBorders>
              <w:top w:val="nil"/>
              <w:left w:val="nil"/>
              <w:bottom w:val="nil"/>
              <w:right w:val="nil"/>
            </w:tcBorders>
            <w:shd w:val="clear" w:color="auto" w:fill="auto"/>
            <w:noWrap/>
            <w:vAlign w:val="center"/>
          </w:tcPr>
          <w:p w14:paraId="325D454C"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0.044    </w:t>
            </w:r>
          </w:p>
        </w:tc>
        <w:tc>
          <w:tcPr>
            <w:tcW w:w="851" w:type="dxa"/>
            <w:tcBorders>
              <w:top w:val="nil"/>
              <w:left w:val="nil"/>
              <w:bottom w:val="nil"/>
              <w:right w:val="nil"/>
            </w:tcBorders>
            <w:shd w:val="clear" w:color="auto" w:fill="auto"/>
            <w:noWrap/>
            <w:vAlign w:val="center"/>
          </w:tcPr>
          <w:p w14:paraId="3F383B31"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.391</w:t>
            </w:r>
          </w:p>
        </w:tc>
        <w:tc>
          <w:tcPr>
            <w:tcW w:w="425" w:type="dxa"/>
            <w:tcBorders>
              <w:top w:val="nil"/>
              <w:left w:val="nil"/>
              <w:bottom w:val="nil"/>
              <w:right w:val="nil"/>
            </w:tcBorders>
            <w:shd w:val="clear" w:color="auto" w:fill="auto"/>
            <w:noWrap/>
            <w:vAlign w:val="center"/>
          </w:tcPr>
          <w:p w14:paraId="6B43A4AF"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992" w:type="dxa"/>
            <w:tcBorders>
              <w:top w:val="nil"/>
              <w:left w:val="nil"/>
              <w:bottom w:val="nil"/>
              <w:right w:val="nil"/>
            </w:tcBorders>
            <w:shd w:val="clear" w:color="auto" w:fill="auto"/>
            <w:noWrap/>
            <w:vAlign w:val="center"/>
          </w:tcPr>
          <w:p w14:paraId="1D11BE45"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-0.001    </w:t>
            </w:r>
          </w:p>
        </w:tc>
        <w:tc>
          <w:tcPr>
            <w:tcW w:w="567" w:type="dxa"/>
            <w:tcBorders>
              <w:top w:val="nil"/>
              <w:left w:val="nil"/>
              <w:bottom w:val="nil"/>
              <w:right w:val="nil"/>
            </w:tcBorders>
            <w:shd w:val="clear" w:color="auto" w:fill="auto"/>
            <w:noWrap/>
            <w:vAlign w:val="center"/>
          </w:tcPr>
          <w:p w14:paraId="4CBD17BC"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0.028  </w:t>
            </w:r>
          </w:p>
        </w:tc>
        <w:tc>
          <w:tcPr>
            <w:tcW w:w="809" w:type="dxa"/>
            <w:tcBorders>
              <w:top w:val="nil"/>
              <w:left w:val="nil"/>
              <w:bottom w:val="nil"/>
              <w:right w:val="nil"/>
            </w:tcBorders>
            <w:shd w:val="clear" w:color="auto" w:fill="auto"/>
            <w:noWrap/>
            <w:vAlign w:val="center"/>
          </w:tcPr>
          <w:p w14:paraId="0D4469C2"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.979</w:t>
            </w:r>
          </w:p>
        </w:tc>
      </w:tr>
      <w:tr w:rsidR="002B1ABD" w:rsidRPr="006C023E" w14:paraId="35812A86" w14:textId="77777777" w:rsidTr="009B66A5">
        <w:trPr>
          <w:trHeight w:val="310"/>
        </w:trPr>
        <w:tc>
          <w:tcPr>
            <w:tcW w:w="960" w:type="dxa"/>
            <w:tcBorders>
              <w:top w:val="nil"/>
              <w:left w:val="nil"/>
              <w:bottom w:val="nil"/>
              <w:right w:val="nil"/>
            </w:tcBorders>
            <w:shd w:val="clear" w:color="auto" w:fill="auto"/>
            <w:noWrap/>
            <w:vAlign w:val="center"/>
            <w:hideMark/>
          </w:tcPr>
          <w:p w14:paraId="6DFA39C7"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c)</w:t>
            </w:r>
          </w:p>
        </w:tc>
        <w:tc>
          <w:tcPr>
            <w:tcW w:w="3151" w:type="dxa"/>
            <w:tcBorders>
              <w:top w:val="nil"/>
              <w:left w:val="nil"/>
              <w:bottom w:val="nil"/>
              <w:right w:val="nil"/>
            </w:tcBorders>
            <w:shd w:val="clear" w:color="auto" w:fill="auto"/>
            <w:noWrap/>
            <w:vAlign w:val="center"/>
            <w:hideMark/>
          </w:tcPr>
          <w:p w14:paraId="3387809A"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rs1800497 C </w:t>
            </w:r>
            <w:r w:rsidRPr="006C023E">
              <w:rPr>
                <w:rFonts w:ascii="Times New Roman" w:eastAsia="Times New Roman" w:hAnsi="Times New Roman" w:cs="Times New Roman"/>
                <w:sz w:val="24"/>
                <w:szCs w:val="24"/>
                <w:lang w:val="fi-FI" w:eastAsia="fi-FI"/>
              </w:rPr>
              <w:sym w:font="Wingdings" w:char="F0E0"/>
            </w:r>
            <w:r w:rsidRPr="006C023E">
              <w:rPr>
                <w:rFonts w:ascii="Times New Roman" w:eastAsia="Times New Roman" w:hAnsi="Times New Roman" w:cs="Times New Roman"/>
                <w:sz w:val="24"/>
                <w:szCs w:val="24"/>
                <w:lang w:val="fi-FI" w:eastAsia="fi-FI"/>
              </w:rPr>
              <w:t xml:space="preserve"> T (ANKK1)</w:t>
            </w:r>
          </w:p>
        </w:tc>
        <w:tc>
          <w:tcPr>
            <w:tcW w:w="1134" w:type="dxa"/>
            <w:tcBorders>
              <w:top w:val="nil"/>
              <w:left w:val="nil"/>
              <w:bottom w:val="nil"/>
              <w:right w:val="nil"/>
            </w:tcBorders>
            <w:shd w:val="clear" w:color="auto" w:fill="auto"/>
            <w:noWrap/>
            <w:vAlign w:val="center"/>
          </w:tcPr>
          <w:p w14:paraId="705D70C7"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-0.060    </w:t>
            </w:r>
          </w:p>
        </w:tc>
        <w:tc>
          <w:tcPr>
            <w:tcW w:w="992" w:type="dxa"/>
            <w:tcBorders>
              <w:top w:val="nil"/>
              <w:left w:val="nil"/>
              <w:bottom w:val="nil"/>
              <w:right w:val="nil"/>
            </w:tcBorders>
            <w:shd w:val="clear" w:color="auto" w:fill="auto"/>
            <w:noWrap/>
            <w:vAlign w:val="center"/>
          </w:tcPr>
          <w:p w14:paraId="4BBC8485"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0.052  </w:t>
            </w:r>
          </w:p>
        </w:tc>
        <w:tc>
          <w:tcPr>
            <w:tcW w:w="851" w:type="dxa"/>
            <w:tcBorders>
              <w:top w:val="nil"/>
              <w:left w:val="nil"/>
              <w:bottom w:val="nil"/>
              <w:right w:val="nil"/>
            </w:tcBorders>
            <w:shd w:val="clear" w:color="auto" w:fill="auto"/>
            <w:noWrap/>
            <w:vAlign w:val="center"/>
          </w:tcPr>
          <w:p w14:paraId="1A34B078"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.252</w:t>
            </w:r>
          </w:p>
        </w:tc>
        <w:tc>
          <w:tcPr>
            <w:tcW w:w="425" w:type="dxa"/>
            <w:tcBorders>
              <w:top w:val="nil"/>
              <w:left w:val="nil"/>
              <w:bottom w:val="nil"/>
              <w:right w:val="nil"/>
            </w:tcBorders>
            <w:shd w:val="clear" w:color="auto" w:fill="auto"/>
            <w:noWrap/>
            <w:vAlign w:val="center"/>
          </w:tcPr>
          <w:p w14:paraId="7262B060"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992" w:type="dxa"/>
            <w:tcBorders>
              <w:top w:val="nil"/>
              <w:left w:val="nil"/>
              <w:bottom w:val="nil"/>
              <w:right w:val="nil"/>
            </w:tcBorders>
            <w:shd w:val="clear" w:color="auto" w:fill="auto"/>
            <w:noWrap/>
            <w:vAlign w:val="center"/>
          </w:tcPr>
          <w:p w14:paraId="4F154956"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-0.013    </w:t>
            </w:r>
          </w:p>
        </w:tc>
        <w:tc>
          <w:tcPr>
            <w:tcW w:w="567" w:type="dxa"/>
            <w:tcBorders>
              <w:top w:val="nil"/>
              <w:left w:val="nil"/>
              <w:bottom w:val="nil"/>
              <w:right w:val="nil"/>
            </w:tcBorders>
            <w:shd w:val="clear" w:color="auto" w:fill="auto"/>
            <w:noWrap/>
            <w:vAlign w:val="center"/>
          </w:tcPr>
          <w:p w14:paraId="7EAB48D2"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0.033  </w:t>
            </w:r>
          </w:p>
        </w:tc>
        <w:tc>
          <w:tcPr>
            <w:tcW w:w="809" w:type="dxa"/>
            <w:tcBorders>
              <w:top w:val="nil"/>
              <w:left w:val="nil"/>
              <w:bottom w:val="nil"/>
              <w:right w:val="nil"/>
            </w:tcBorders>
            <w:shd w:val="clear" w:color="auto" w:fill="auto"/>
            <w:noWrap/>
            <w:vAlign w:val="center"/>
          </w:tcPr>
          <w:p w14:paraId="0C15A5AA"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.688</w:t>
            </w:r>
          </w:p>
        </w:tc>
      </w:tr>
      <w:tr w:rsidR="002B1ABD" w:rsidRPr="006C023E" w14:paraId="52D0AA74" w14:textId="77777777" w:rsidTr="009B66A5">
        <w:trPr>
          <w:trHeight w:val="310"/>
        </w:trPr>
        <w:tc>
          <w:tcPr>
            <w:tcW w:w="960" w:type="dxa"/>
            <w:tcBorders>
              <w:top w:val="nil"/>
              <w:left w:val="nil"/>
              <w:bottom w:val="nil"/>
              <w:right w:val="nil"/>
            </w:tcBorders>
            <w:shd w:val="clear" w:color="auto" w:fill="auto"/>
            <w:noWrap/>
            <w:vAlign w:val="center"/>
            <w:hideMark/>
          </w:tcPr>
          <w:p w14:paraId="37492043"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d)</w:t>
            </w:r>
          </w:p>
        </w:tc>
        <w:tc>
          <w:tcPr>
            <w:tcW w:w="3151" w:type="dxa"/>
            <w:tcBorders>
              <w:top w:val="nil"/>
              <w:left w:val="nil"/>
              <w:bottom w:val="nil"/>
              <w:right w:val="nil"/>
            </w:tcBorders>
            <w:shd w:val="clear" w:color="auto" w:fill="auto"/>
            <w:noWrap/>
            <w:vAlign w:val="center"/>
            <w:hideMark/>
          </w:tcPr>
          <w:p w14:paraId="0B676C0E"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rs4680 A </w:t>
            </w:r>
            <w:r w:rsidRPr="006C023E">
              <w:rPr>
                <w:rFonts w:ascii="Times New Roman" w:eastAsia="Times New Roman" w:hAnsi="Times New Roman" w:cs="Times New Roman"/>
                <w:sz w:val="24"/>
                <w:szCs w:val="24"/>
                <w:lang w:val="fi-FI" w:eastAsia="fi-FI"/>
              </w:rPr>
              <w:sym w:font="Wingdings" w:char="F0E0"/>
            </w:r>
            <w:r w:rsidRPr="006C023E">
              <w:rPr>
                <w:rFonts w:ascii="Times New Roman" w:eastAsia="Times New Roman" w:hAnsi="Times New Roman" w:cs="Times New Roman"/>
                <w:sz w:val="24"/>
                <w:szCs w:val="24"/>
                <w:lang w:val="fi-FI" w:eastAsia="fi-FI"/>
              </w:rPr>
              <w:t xml:space="preserve"> G (COMT)</w:t>
            </w:r>
          </w:p>
        </w:tc>
        <w:tc>
          <w:tcPr>
            <w:tcW w:w="1134" w:type="dxa"/>
            <w:tcBorders>
              <w:top w:val="nil"/>
              <w:left w:val="nil"/>
              <w:bottom w:val="nil"/>
              <w:right w:val="nil"/>
            </w:tcBorders>
            <w:shd w:val="clear" w:color="auto" w:fill="auto"/>
            <w:noWrap/>
            <w:vAlign w:val="center"/>
          </w:tcPr>
          <w:p w14:paraId="19A91407"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-0.040    </w:t>
            </w:r>
          </w:p>
        </w:tc>
        <w:tc>
          <w:tcPr>
            <w:tcW w:w="992" w:type="dxa"/>
            <w:tcBorders>
              <w:top w:val="nil"/>
              <w:left w:val="nil"/>
              <w:bottom w:val="nil"/>
              <w:right w:val="nil"/>
            </w:tcBorders>
            <w:shd w:val="clear" w:color="auto" w:fill="auto"/>
            <w:noWrap/>
            <w:vAlign w:val="center"/>
          </w:tcPr>
          <w:p w14:paraId="06721A34"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0.043   </w:t>
            </w:r>
          </w:p>
        </w:tc>
        <w:tc>
          <w:tcPr>
            <w:tcW w:w="851" w:type="dxa"/>
            <w:tcBorders>
              <w:top w:val="nil"/>
              <w:left w:val="nil"/>
              <w:bottom w:val="nil"/>
              <w:right w:val="nil"/>
            </w:tcBorders>
            <w:shd w:val="clear" w:color="auto" w:fill="auto"/>
            <w:noWrap/>
            <w:vAlign w:val="center"/>
          </w:tcPr>
          <w:p w14:paraId="6263DF35"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.349</w:t>
            </w:r>
          </w:p>
        </w:tc>
        <w:tc>
          <w:tcPr>
            <w:tcW w:w="425" w:type="dxa"/>
            <w:tcBorders>
              <w:top w:val="nil"/>
              <w:left w:val="nil"/>
              <w:bottom w:val="nil"/>
              <w:right w:val="nil"/>
            </w:tcBorders>
            <w:shd w:val="clear" w:color="auto" w:fill="auto"/>
            <w:noWrap/>
            <w:vAlign w:val="center"/>
          </w:tcPr>
          <w:p w14:paraId="2C76D570"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992" w:type="dxa"/>
            <w:tcBorders>
              <w:top w:val="nil"/>
              <w:left w:val="nil"/>
              <w:bottom w:val="nil"/>
              <w:right w:val="nil"/>
            </w:tcBorders>
            <w:shd w:val="clear" w:color="auto" w:fill="auto"/>
            <w:noWrap/>
            <w:vAlign w:val="center"/>
          </w:tcPr>
          <w:p w14:paraId="65E6F3B7"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0.047    </w:t>
            </w:r>
          </w:p>
        </w:tc>
        <w:tc>
          <w:tcPr>
            <w:tcW w:w="567" w:type="dxa"/>
            <w:tcBorders>
              <w:top w:val="nil"/>
              <w:left w:val="nil"/>
              <w:bottom w:val="nil"/>
              <w:right w:val="nil"/>
            </w:tcBorders>
            <w:shd w:val="clear" w:color="auto" w:fill="auto"/>
            <w:noWrap/>
            <w:vAlign w:val="center"/>
          </w:tcPr>
          <w:p w14:paraId="68209F00"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0.027        </w:t>
            </w:r>
          </w:p>
        </w:tc>
        <w:tc>
          <w:tcPr>
            <w:tcW w:w="809" w:type="dxa"/>
            <w:tcBorders>
              <w:top w:val="nil"/>
              <w:left w:val="nil"/>
              <w:bottom w:val="nil"/>
              <w:right w:val="nil"/>
            </w:tcBorders>
            <w:shd w:val="clear" w:color="auto" w:fill="auto"/>
            <w:noWrap/>
            <w:vAlign w:val="center"/>
          </w:tcPr>
          <w:p w14:paraId="4680B5F1"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.085</w:t>
            </w:r>
          </w:p>
        </w:tc>
      </w:tr>
      <w:tr w:rsidR="002B1ABD" w:rsidRPr="006C023E" w14:paraId="72A37CE9" w14:textId="77777777" w:rsidTr="009B66A5">
        <w:trPr>
          <w:trHeight w:val="310"/>
        </w:trPr>
        <w:tc>
          <w:tcPr>
            <w:tcW w:w="960" w:type="dxa"/>
            <w:tcBorders>
              <w:top w:val="nil"/>
              <w:left w:val="nil"/>
              <w:bottom w:val="nil"/>
              <w:right w:val="nil"/>
            </w:tcBorders>
            <w:shd w:val="clear" w:color="auto" w:fill="auto"/>
            <w:noWrap/>
            <w:vAlign w:val="center"/>
            <w:hideMark/>
          </w:tcPr>
          <w:p w14:paraId="2A27FE0E"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e)</w:t>
            </w:r>
          </w:p>
        </w:tc>
        <w:tc>
          <w:tcPr>
            <w:tcW w:w="3151" w:type="dxa"/>
            <w:tcBorders>
              <w:top w:val="nil"/>
              <w:left w:val="nil"/>
              <w:bottom w:val="nil"/>
              <w:right w:val="nil"/>
            </w:tcBorders>
            <w:shd w:val="clear" w:color="auto" w:fill="auto"/>
            <w:noWrap/>
            <w:vAlign w:val="center"/>
            <w:hideMark/>
          </w:tcPr>
          <w:p w14:paraId="5B4A37BA"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rs1611115 T</w:t>
            </w:r>
            <w:r w:rsidRPr="006C023E">
              <w:rPr>
                <w:rFonts w:ascii="Times New Roman" w:eastAsia="Times New Roman" w:hAnsi="Times New Roman" w:cs="Times New Roman"/>
                <w:sz w:val="24"/>
                <w:szCs w:val="24"/>
                <w:lang w:val="fi-FI" w:eastAsia="fi-FI"/>
              </w:rPr>
              <w:sym w:font="Wingdings" w:char="F0E0"/>
            </w:r>
            <w:r w:rsidRPr="006C023E">
              <w:rPr>
                <w:rFonts w:ascii="Times New Roman" w:eastAsia="Times New Roman" w:hAnsi="Times New Roman" w:cs="Times New Roman"/>
                <w:sz w:val="24"/>
                <w:szCs w:val="24"/>
                <w:lang w:val="fi-FI" w:eastAsia="fi-FI"/>
              </w:rPr>
              <w:t>C (DBH)</w:t>
            </w:r>
          </w:p>
        </w:tc>
        <w:tc>
          <w:tcPr>
            <w:tcW w:w="1134" w:type="dxa"/>
            <w:tcBorders>
              <w:top w:val="nil"/>
              <w:left w:val="nil"/>
              <w:bottom w:val="nil"/>
              <w:right w:val="nil"/>
            </w:tcBorders>
            <w:shd w:val="clear" w:color="auto" w:fill="auto"/>
            <w:noWrap/>
            <w:vAlign w:val="center"/>
          </w:tcPr>
          <w:p w14:paraId="4948AFD7"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0.005    </w:t>
            </w:r>
          </w:p>
        </w:tc>
        <w:tc>
          <w:tcPr>
            <w:tcW w:w="992" w:type="dxa"/>
            <w:tcBorders>
              <w:top w:val="nil"/>
              <w:left w:val="nil"/>
              <w:bottom w:val="nil"/>
              <w:right w:val="nil"/>
            </w:tcBorders>
            <w:shd w:val="clear" w:color="auto" w:fill="auto"/>
            <w:noWrap/>
            <w:vAlign w:val="center"/>
          </w:tcPr>
          <w:p w14:paraId="048E99B6"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0.056    </w:t>
            </w:r>
          </w:p>
        </w:tc>
        <w:tc>
          <w:tcPr>
            <w:tcW w:w="851" w:type="dxa"/>
            <w:tcBorders>
              <w:top w:val="nil"/>
              <w:left w:val="nil"/>
              <w:bottom w:val="nil"/>
              <w:right w:val="nil"/>
            </w:tcBorders>
            <w:shd w:val="clear" w:color="auto" w:fill="auto"/>
            <w:noWrap/>
            <w:vAlign w:val="center"/>
          </w:tcPr>
          <w:p w14:paraId="6DAB7CFB"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.925</w:t>
            </w:r>
          </w:p>
        </w:tc>
        <w:tc>
          <w:tcPr>
            <w:tcW w:w="425" w:type="dxa"/>
            <w:tcBorders>
              <w:top w:val="nil"/>
              <w:left w:val="nil"/>
              <w:bottom w:val="nil"/>
              <w:right w:val="nil"/>
            </w:tcBorders>
            <w:shd w:val="clear" w:color="auto" w:fill="auto"/>
            <w:noWrap/>
            <w:vAlign w:val="center"/>
          </w:tcPr>
          <w:p w14:paraId="66E6AD48"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992" w:type="dxa"/>
            <w:tcBorders>
              <w:top w:val="nil"/>
              <w:left w:val="nil"/>
              <w:bottom w:val="nil"/>
              <w:right w:val="nil"/>
            </w:tcBorders>
            <w:shd w:val="clear" w:color="auto" w:fill="auto"/>
            <w:noWrap/>
            <w:vAlign w:val="center"/>
          </w:tcPr>
          <w:p w14:paraId="3A9285FD"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0.004    </w:t>
            </w:r>
          </w:p>
        </w:tc>
        <w:tc>
          <w:tcPr>
            <w:tcW w:w="567" w:type="dxa"/>
            <w:tcBorders>
              <w:top w:val="nil"/>
              <w:left w:val="nil"/>
              <w:bottom w:val="nil"/>
              <w:right w:val="nil"/>
            </w:tcBorders>
            <w:shd w:val="clear" w:color="auto" w:fill="auto"/>
            <w:noWrap/>
            <w:vAlign w:val="center"/>
          </w:tcPr>
          <w:p w14:paraId="222B04CB"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0.035    </w:t>
            </w:r>
          </w:p>
        </w:tc>
        <w:tc>
          <w:tcPr>
            <w:tcW w:w="809" w:type="dxa"/>
            <w:tcBorders>
              <w:top w:val="nil"/>
              <w:left w:val="nil"/>
              <w:bottom w:val="nil"/>
              <w:right w:val="nil"/>
            </w:tcBorders>
            <w:shd w:val="clear" w:color="auto" w:fill="auto"/>
            <w:noWrap/>
            <w:vAlign w:val="center"/>
          </w:tcPr>
          <w:p w14:paraId="676396F7"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.917</w:t>
            </w:r>
          </w:p>
        </w:tc>
      </w:tr>
      <w:tr w:rsidR="002B1ABD" w:rsidRPr="006C023E" w14:paraId="476AE108" w14:textId="77777777" w:rsidTr="009B66A5">
        <w:trPr>
          <w:trHeight w:val="310"/>
        </w:trPr>
        <w:tc>
          <w:tcPr>
            <w:tcW w:w="960" w:type="dxa"/>
            <w:tcBorders>
              <w:top w:val="nil"/>
              <w:left w:val="nil"/>
              <w:bottom w:val="nil"/>
              <w:right w:val="nil"/>
            </w:tcBorders>
            <w:shd w:val="clear" w:color="auto" w:fill="auto"/>
            <w:noWrap/>
            <w:vAlign w:val="center"/>
            <w:hideMark/>
          </w:tcPr>
          <w:p w14:paraId="04FBE82A"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f)</w:t>
            </w:r>
          </w:p>
        </w:tc>
        <w:tc>
          <w:tcPr>
            <w:tcW w:w="3151" w:type="dxa"/>
            <w:tcBorders>
              <w:top w:val="nil"/>
              <w:left w:val="nil"/>
              <w:bottom w:val="nil"/>
              <w:right w:val="nil"/>
            </w:tcBorders>
            <w:shd w:val="clear" w:color="auto" w:fill="auto"/>
            <w:noWrap/>
            <w:vAlign w:val="center"/>
            <w:hideMark/>
          </w:tcPr>
          <w:p w14:paraId="4F064DED"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eastAsia="ar-SA"/>
              </w:rPr>
              <w:t>low oxytocin genetic profile</w:t>
            </w:r>
          </w:p>
        </w:tc>
        <w:tc>
          <w:tcPr>
            <w:tcW w:w="1134" w:type="dxa"/>
            <w:tcBorders>
              <w:top w:val="nil"/>
              <w:left w:val="nil"/>
              <w:bottom w:val="nil"/>
              <w:right w:val="nil"/>
            </w:tcBorders>
            <w:shd w:val="clear" w:color="auto" w:fill="auto"/>
            <w:noWrap/>
            <w:vAlign w:val="center"/>
          </w:tcPr>
          <w:p w14:paraId="3FE85F8E"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0.020    </w:t>
            </w:r>
          </w:p>
        </w:tc>
        <w:tc>
          <w:tcPr>
            <w:tcW w:w="992" w:type="dxa"/>
            <w:tcBorders>
              <w:top w:val="nil"/>
              <w:left w:val="nil"/>
              <w:bottom w:val="nil"/>
              <w:right w:val="nil"/>
            </w:tcBorders>
            <w:shd w:val="clear" w:color="auto" w:fill="auto"/>
            <w:noWrap/>
            <w:vAlign w:val="center"/>
          </w:tcPr>
          <w:p w14:paraId="50A697FC"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0.031    </w:t>
            </w:r>
          </w:p>
        </w:tc>
        <w:tc>
          <w:tcPr>
            <w:tcW w:w="851" w:type="dxa"/>
            <w:tcBorders>
              <w:top w:val="nil"/>
              <w:left w:val="nil"/>
              <w:bottom w:val="nil"/>
              <w:right w:val="nil"/>
            </w:tcBorders>
            <w:shd w:val="clear" w:color="auto" w:fill="auto"/>
            <w:noWrap/>
            <w:vAlign w:val="center"/>
          </w:tcPr>
          <w:p w14:paraId="222190BD"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.523</w:t>
            </w:r>
          </w:p>
        </w:tc>
        <w:tc>
          <w:tcPr>
            <w:tcW w:w="425" w:type="dxa"/>
            <w:tcBorders>
              <w:top w:val="nil"/>
              <w:left w:val="nil"/>
              <w:bottom w:val="nil"/>
              <w:right w:val="nil"/>
            </w:tcBorders>
            <w:shd w:val="clear" w:color="auto" w:fill="auto"/>
            <w:noWrap/>
            <w:vAlign w:val="center"/>
          </w:tcPr>
          <w:p w14:paraId="7CBA759A"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992" w:type="dxa"/>
            <w:tcBorders>
              <w:top w:val="nil"/>
              <w:left w:val="nil"/>
              <w:bottom w:val="nil"/>
              <w:right w:val="nil"/>
            </w:tcBorders>
            <w:shd w:val="clear" w:color="auto" w:fill="auto"/>
            <w:noWrap/>
            <w:vAlign w:val="center"/>
          </w:tcPr>
          <w:p w14:paraId="183E9813"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-0.001    </w:t>
            </w:r>
          </w:p>
        </w:tc>
        <w:tc>
          <w:tcPr>
            <w:tcW w:w="567" w:type="dxa"/>
            <w:tcBorders>
              <w:top w:val="nil"/>
              <w:left w:val="nil"/>
              <w:bottom w:val="nil"/>
              <w:right w:val="nil"/>
            </w:tcBorders>
            <w:shd w:val="clear" w:color="auto" w:fill="auto"/>
            <w:noWrap/>
            <w:vAlign w:val="center"/>
          </w:tcPr>
          <w:p w14:paraId="345CBF95"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0.020   </w:t>
            </w:r>
          </w:p>
        </w:tc>
        <w:tc>
          <w:tcPr>
            <w:tcW w:w="809" w:type="dxa"/>
            <w:tcBorders>
              <w:top w:val="nil"/>
              <w:left w:val="nil"/>
              <w:bottom w:val="nil"/>
              <w:right w:val="nil"/>
            </w:tcBorders>
            <w:shd w:val="clear" w:color="auto" w:fill="auto"/>
            <w:noWrap/>
            <w:vAlign w:val="center"/>
          </w:tcPr>
          <w:p w14:paraId="652E972F"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.957</w:t>
            </w:r>
          </w:p>
        </w:tc>
      </w:tr>
      <w:tr w:rsidR="002B1ABD" w:rsidRPr="006C023E" w14:paraId="2B950F70" w14:textId="77777777" w:rsidTr="009B66A5">
        <w:trPr>
          <w:trHeight w:val="310"/>
        </w:trPr>
        <w:tc>
          <w:tcPr>
            <w:tcW w:w="960" w:type="dxa"/>
            <w:tcBorders>
              <w:top w:val="nil"/>
              <w:left w:val="nil"/>
              <w:bottom w:val="nil"/>
              <w:right w:val="nil"/>
            </w:tcBorders>
            <w:shd w:val="clear" w:color="auto" w:fill="auto"/>
            <w:noWrap/>
            <w:vAlign w:val="center"/>
          </w:tcPr>
          <w:p w14:paraId="6A47CC84"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g)</w:t>
            </w:r>
          </w:p>
        </w:tc>
        <w:tc>
          <w:tcPr>
            <w:tcW w:w="3151" w:type="dxa"/>
            <w:tcBorders>
              <w:top w:val="nil"/>
              <w:left w:val="nil"/>
              <w:bottom w:val="nil"/>
              <w:right w:val="nil"/>
            </w:tcBorders>
            <w:shd w:val="clear" w:color="auto" w:fill="auto"/>
            <w:noWrap/>
            <w:vAlign w:val="center"/>
          </w:tcPr>
          <w:p w14:paraId="5F7DD146"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eastAsia="ar-SA"/>
              </w:rPr>
              <w:t>high dopamine genetic profile</w:t>
            </w:r>
          </w:p>
        </w:tc>
        <w:tc>
          <w:tcPr>
            <w:tcW w:w="1134" w:type="dxa"/>
            <w:tcBorders>
              <w:top w:val="nil"/>
              <w:left w:val="nil"/>
              <w:bottom w:val="nil"/>
              <w:right w:val="nil"/>
            </w:tcBorders>
            <w:shd w:val="clear" w:color="auto" w:fill="auto"/>
            <w:noWrap/>
            <w:vAlign w:val="center"/>
          </w:tcPr>
          <w:p w14:paraId="78D244CA"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-0.034    </w:t>
            </w:r>
          </w:p>
        </w:tc>
        <w:tc>
          <w:tcPr>
            <w:tcW w:w="992" w:type="dxa"/>
            <w:tcBorders>
              <w:top w:val="nil"/>
              <w:left w:val="nil"/>
              <w:bottom w:val="nil"/>
              <w:right w:val="nil"/>
            </w:tcBorders>
            <w:shd w:val="clear" w:color="auto" w:fill="auto"/>
            <w:noWrap/>
            <w:vAlign w:val="center"/>
          </w:tcPr>
          <w:p w14:paraId="35A5FBD5"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0.029   </w:t>
            </w:r>
          </w:p>
        </w:tc>
        <w:tc>
          <w:tcPr>
            <w:tcW w:w="851" w:type="dxa"/>
            <w:tcBorders>
              <w:top w:val="nil"/>
              <w:left w:val="nil"/>
              <w:bottom w:val="nil"/>
              <w:right w:val="nil"/>
            </w:tcBorders>
            <w:shd w:val="clear" w:color="auto" w:fill="auto"/>
            <w:noWrap/>
            <w:vAlign w:val="center"/>
          </w:tcPr>
          <w:p w14:paraId="3BBAFD5C"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.228</w:t>
            </w:r>
          </w:p>
        </w:tc>
        <w:tc>
          <w:tcPr>
            <w:tcW w:w="425" w:type="dxa"/>
            <w:tcBorders>
              <w:top w:val="nil"/>
              <w:left w:val="nil"/>
              <w:bottom w:val="nil"/>
              <w:right w:val="nil"/>
            </w:tcBorders>
            <w:shd w:val="clear" w:color="auto" w:fill="auto"/>
            <w:noWrap/>
            <w:vAlign w:val="center"/>
          </w:tcPr>
          <w:p w14:paraId="0F968A3E"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992" w:type="dxa"/>
            <w:tcBorders>
              <w:top w:val="nil"/>
              <w:left w:val="nil"/>
              <w:bottom w:val="nil"/>
              <w:right w:val="nil"/>
            </w:tcBorders>
            <w:shd w:val="clear" w:color="auto" w:fill="auto"/>
            <w:noWrap/>
            <w:vAlign w:val="center"/>
          </w:tcPr>
          <w:p w14:paraId="1D421B82"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0.018    </w:t>
            </w:r>
          </w:p>
        </w:tc>
        <w:tc>
          <w:tcPr>
            <w:tcW w:w="567" w:type="dxa"/>
            <w:tcBorders>
              <w:top w:val="nil"/>
              <w:left w:val="nil"/>
              <w:bottom w:val="nil"/>
              <w:right w:val="nil"/>
            </w:tcBorders>
            <w:shd w:val="clear" w:color="auto" w:fill="auto"/>
            <w:noWrap/>
            <w:vAlign w:val="center"/>
          </w:tcPr>
          <w:p w14:paraId="0C25F96F"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0.018    </w:t>
            </w:r>
          </w:p>
        </w:tc>
        <w:tc>
          <w:tcPr>
            <w:tcW w:w="809" w:type="dxa"/>
            <w:tcBorders>
              <w:top w:val="nil"/>
              <w:left w:val="nil"/>
              <w:bottom w:val="nil"/>
              <w:right w:val="nil"/>
            </w:tcBorders>
            <w:shd w:val="clear" w:color="auto" w:fill="auto"/>
            <w:noWrap/>
            <w:vAlign w:val="center"/>
          </w:tcPr>
          <w:p w14:paraId="27DEDB70"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.327</w:t>
            </w:r>
          </w:p>
        </w:tc>
      </w:tr>
      <w:tr w:rsidR="002B1ABD" w:rsidRPr="006C023E" w14:paraId="17BC8E7E" w14:textId="77777777" w:rsidTr="009B66A5">
        <w:trPr>
          <w:trHeight w:val="310"/>
        </w:trPr>
        <w:tc>
          <w:tcPr>
            <w:tcW w:w="960" w:type="dxa"/>
            <w:tcBorders>
              <w:top w:val="nil"/>
              <w:left w:val="nil"/>
              <w:bottom w:val="nil"/>
              <w:right w:val="nil"/>
            </w:tcBorders>
            <w:shd w:val="clear" w:color="auto" w:fill="auto"/>
            <w:noWrap/>
            <w:vAlign w:val="center"/>
          </w:tcPr>
          <w:p w14:paraId="107DF490"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3151" w:type="dxa"/>
            <w:tcBorders>
              <w:top w:val="nil"/>
              <w:left w:val="nil"/>
              <w:bottom w:val="nil"/>
              <w:right w:val="nil"/>
            </w:tcBorders>
            <w:shd w:val="clear" w:color="auto" w:fill="auto"/>
            <w:noWrap/>
            <w:vAlign w:val="center"/>
          </w:tcPr>
          <w:p w14:paraId="4B1BE69E"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1134" w:type="dxa"/>
            <w:tcBorders>
              <w:top w:val="nil"/>
              <w:left w:val="nil"/>
              <w:bottom w:val="nil"/>
              <w:right w:val="nil"/>
            </w:tcBorders>
            <w:shd w:val="clear" w:color="auto" w:fill="auto"/>
            <w:noWrap/>
            <w:vAlign w:val="center"/>
          </w:tcPr>
          <w:p w14:paraId="086B1EFB"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992" w:type="dxa"/>
            <w:tcBorders>
              <w:top w:val="nil"/>
              <w:left w:val="nil"/>
              <w:bottom w:val="nil"/>
              <w:right w:val="nil"/>
            </w:tcBorders>
            <w:shd w:val="clear" w:color="auto" w:fill="auto"/>
            <w:noWrap/>
            <w:vAlign w:val="center"/>
          </w:tcPr>
          <w:p w14:paraId="10904606"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851" w:type="dxa"/>
            <w:tcBorders>
              <w:top w:val="nil"/>
              <w:left w:val="nil"/>
              <w:bottom w:val="nil"/>
              <w:right w:val="nil"/>
            </w:tcBorders>
            <w:shd w:val="clear" w:color="auto" w:fill="auto"/>
            <w:noWrap/>
            <w:vAlign w:val="center"/>
          </w:tcPr>
          <w:p w14:paraId="09DB088F"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425" w:type="dxa"/>
            <w:tcBorders>
              <w:top w:val="nil"/>
              <w:left w:val="nil"/>
              <w:bottom w:val="nil"/>
              <w:right w:val="nil"/>
            </w:tcBorders>
            <w:shd w:val="clear" w:color="auto" w:fill="auto"/>
            <w:noWrap/>
            <w:vAlign w:val="center"/>
          </w:tcPr>
          <w:p w14:paraId="32E40827"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992" w:type="dxa"/>
            <w:tcBorders>
              <w:top w:val="nil"/>
              <w:left w:val="nil"/>
              <w:bottom w:val="nil"/>
              <w:right w:val="nil"/>
            </w:tcBorders>
            <w:shd w:val="clear" w:color="auto" w:fill="auto"/>
            <w:noWrap/>
            <w:vAlign w:val="center"/>
          </w:tcPr>
          <w:p w14:paraId="71198E77"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567" w:type="dxa"/>
            <w:tcBorders>
              <w:top w:val="nil"/>
              <w:left w:val="nil"/>
              <w:bottom w:val="nil"/>
              <w:right w:val="nil"/>
            </w:tcBorders>
            <w:shd w:val="clear" w:color="auto" w:fill="auto"/>
            <w:noWrap/>
            <w:vAlign w:val="center"/>
          </w:tcPr>
          <w:p w14:paraId="7C7B6450"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809" w:type="dxa"/>
            <w:tcBorders>
              <w:top w:val="nil"/>
              <w:left w:val="nil"/>
              <w:bottom w:val="nil"/>
              <w:right w:val="nil"/>
            </w:tcBorders>
            <w:shd w:val="clear" w:color="auto" w:fill="auto"/>
            <w:noWrap/>
            <w:vAlign w:val="center"/>
          </w:tcPr>
          <w:p w14:paraId="24C43F49"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r>
      <w:tr w:rsidR="002B1ABD" w:rsidRPr="006C023E" w14:paraId="184F6ADC" w14:textId="77777777" w:rsidTr="009B66A5">
        <w:trPr>
          <w:trHeight w:val="310"/>
        </w:trPr>
        <w:tc>
          <w:tcPr>
            <w:tcW w:w="960" w:type="dxa"/>
            <w:tcBorders>
              <w:top w:val="nil"/>
              <w:left w:val="nil"/>
              <w:bottom w:val="nil"/>
              <w:right w:val="nil"/>
            </w:tcBorders>
            <w:shd w:val="clear" w:color="auto" w:fill="auto"/>
            <w:noWrap/>
            <w:vAlign w:val="center"/>
            <w:hideMark/>
          </w:tcPr>
          <w:p w14:paraId="37B32960"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8921" w:type="dxa"/>
            <w:gridSpan w:val="8"/>
            <w:tcBorders>
              <w:top w:val="nil"/>
              <w:left w:val="nil"/>
              <w:bottom w:val="nil"/>
            </w:tcBorders>
            <w:shd w:val="clear" w:color="auto" w:fill="auto"/>
            <w:noWrap/>
            <w:vAlign w:val="center"/>
          </w:tcPr>
          <w:p w14:paraId="6F472B27" w14:textId="77777777" w:rsidR="009D1103" w:rsidRPr="006C023E" w:rsidRDefault="009D1103" w:rsidP="008D10BD">
            <w:pPr>
              <w:spacing w:after="0" w:line="240" w:lineRule="auto"/>
              <w:rPr>
                <w:rFonts w:ascii="Times New Roman" w:eastAsia="Times New Roman" w:hAnsi="Times New Roman" w:cs="Times New Roman"/>
                <w:i/>
                <w:sz w:val="24"/>
                <w:szCs w:val="24"/>
                <w:lang w:val="fi-FI" w:eastAsia="fi-FI"/>
              </w:rPr>
            </w:pPr>
            <w:r w:rsidRPr="006C023E">
              <w:rPr>
                <w:rFonts w:ascii="Times New Roman" w:eastAsia="Times New Roman" w:hAnsi="Times New Roman" w:cs="Times New Roman"/>
                <w:i/>
                <w:sz w:val="24"/>
                <w:szCs w:val="24"/>
                <w:lang w:val="fi-FI" w:eastAsia="fi-FI"/>
              </w:rPr>
              <w:t>Men</w:t>
            </w:r>
          </w:p>
        </w:tc>
      </w:tr>
      <w:tr w:rsidR="002B1ABD" w:rsidRPr="006C023E" w14:paraId="7A735DC6" w14:textId="77777777" w:rsidTr="009B66A5">
        <w:trPr>
          <w:trHeight w:val="310"/>
        </w:trPr>
        <w:tc>
          <w:tcPr>
            <w:tcW w:w="960" w:type="dxa"/>
            <w:tcBorders>
              <w:top w:val="nil"/>
              <w:left w:val="nil"/>
              <w:bottom w:val="nil"/>
              <w:right w:val="nil"/>
            </w:tcBorders>
            <w:shd w:val="clear" w:color="auto" w:fill="auto"/>
            <w:noWrap/>
            <w:vAlign w:val="center"/>
            <w:hideMark/>
          </w:tcPr>
          <w:p w14:paraId="39C33EC8"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3151" w:type="dxa"/>
            <w:tcBorders>
              <w:top w:val="nil"/>
              <w:left w:val="nil"/>
              <w:bottom w:val="nil"/>
              <w:right w:val="nil"/>
            </w:tcBorders>
            <w:shd w:val="clear" w:color="auto" w:fill="auto"/>
            <w:noWrap/>
            <w:vAlign w:val="center"/>
            <w:hideMark/>
          </w:tcPr>
          <w:p w14:paraId="124C55BA"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rs2268498 C</w:t>
            </w:r>
            <w:r w:rsidRPr="006C023E">
              <w:rPr>
                <w:rFonts w:ascii="Times New Roman" w:eastAsia="Times New Roman" w:hAnsi="Times New Roman" w:cs="Times New Roman"/>
                <w:sz w:val="24"/>
                <w:szCs w:val="24"/>
                <w:lang w:val="fi-FI" w:eastAsia="fi-FI"/>
              </w:rPr>
              <w:sym w:font="Wingdings" w:char="F0E0"/>
            </w:r>
            <w:r w:rsidRPr="006C023E">
              <w:rPr>
                <w:rFonts w:ascii="Times New Roman" w:eastAsia="Times New Roman" w:hAnsi="Times New Roman" w:cs="Times New Roman"/>
                <w:sz w:val="24"/>
                <w:szCs w:val="24"/>
                <w:lang w:val="fi-FI" w:eastAsia="fi-FI"/>
              </w:rPr>
              <w:t>T (OXTR)</w:t>
            </w:r>
          </w:p>
        </w:tc>
        <w:tc>
          <w:tcPr>
            <w:tcW w:w="1134" w:type="dxa"/>
            <w:tcBorders>
              <w:top w:val="nil"/>
              <w:left w:val="nil"/>
              <w:bottom w:val="nil"/>
              <w:right w:val="nil"/>
            </w:tcBorders>
            <w:shd w:val="clear" w:color="auto" w:fill="auto"/>
            <w:noWrap/>
            <w:vAlign w:val="center"/>
          </w:tcPr>
          <w:p w14:paraId="15817699"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0.064    </w:t>
            </w:r>
          </w:p>
        </w:tc>
        <w:tc>
          <w:tcPr>
            <w:tcW w:w="992" w:type="dxa"/>
            <w:tcBorders>
              <w:top w:val="nil"/>
              <w:left w:val="nil"/>
              <w:bottom w:val="nil"/>
              <w:right w:val="nil"/>
            </w:tcBorders>
            <w:shd w:val="clear" w:color="auto" w:fill="auto"/>
            <w:noWrap/>
            <w:vAlign w:val="center"/>
          </w:tcPr>
          <w:p w14:paraId="22AF7DA3"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0.050      </w:t>
            </w:r>
          </w:p>
        </w:tc>
        <w:tc>
          <w:tcPr>
            <w:tcW w:w="851" w:type="dxa"/>
            <w:tcBorders>
              <w:top w:val="nil"/>
              <w:left w:val="nil"/>
              <w:bottom w:val="nil"/>
              <w:right w:val="nil"/>
            </w:tcBorders>
            <w:shd w:val="clear" w:color="auto" w:fill="auto"/>
            <w:noWrap/>
            <w:vAlign w:val="center"/>
          </w:tcPr>
          <w:p w14:paraId="41739694"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.201</w:t>
            </w:r>
          </w:p>
        </w:tc>
        <w:tc>
          <w:tcPr>
            <w:tcW w:w="425" w:type="dxa"/>
            <w:tcBorders>
              <w:top w:val="nil"/>
              <w:left w:val="nil"/>
              <w:bottom w:val="nil"/>
              <w:right w:val="nil"/>
            </w:tcBorders>
            <w:shd w:val="clear" w:color="auto" w:fill="auto"/>
            <w:noWrap/>
            <w:vAlign w:val="center"/>
          </w:tcPr>
          <w:p w14:paraId="0A6486BB"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992" w:type="dxa"/>
            <w:tcBorders>
              <w:top w:val="nil"/>
              <w:left w:val="nil"/>
              <w:bottom w:val="nil"/>
              <w:right w:val="nil"/>
            </w:tcBorders>
            <w:shd w:val="clear" w:color="auto" w:fill="auto"/>
            <w:noWrap/>
            <w:vAlign w:val="center"/>
          </w:tcPr>
          <w:p w14:paraId="4D917B0A"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-0.009    </w:t>
            </w:r>
          </w:p>
        </w:tc>
        <w:tc>
          <w:tcPr>
            <w:tcW w:w="567" w:type="dxa"/>
            <w:tcBorders>
              <w:top w:val="nil"/>
              <w:left w:val="nil"/>
              <w:bottom w:val="nil"/>
              <w:right w:val="nil"/>
            </w:tcBorders>
            <w:shd w:val="clear" w:color="auto" w:fill="auto"/>
            <w:noWrap/>
            <w:vAlign w:val="center"/>
          </w:tcPr>
          <w:p w14:paraId="612A16EE"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0.035   </w:t>
            </w:r>
          </w:p>
        </w:tc>
        <w:tc>
          <w:tcPr>
            <w:tcW w:w="809" w:type="dxa"/>
            <w:tcBorders>
              <w:top w:val="nil"/>
              <w:left w:val="nil"/>
              <w:bottom w:val="nil"/>
              <w:right w:val="nil"/>
            </w:tcBorders>
            <w:shd w:val="clear" w:color="auto" w:fill="auto"/>
            <w:noWrap/>
            <w:vAlign w:val="center"/>
          </w:tcPr>
          <w:p w14:paraId="26BEA2AC"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.792</w:t>
            </w:r>
          </w:p>
        </w:tc>
      </w:tr>
      <w:tr w:rsidR="002B1ABD" w:rsidRPr="006C023E" w14:paraId="170E14AA" w14:textId="77777777" w:rsidTr="009B66A5">
        <w:trPr>
          <w:trHeight w:val="310"/>
        </w:trPr>
        <w:tc>
          <w:tcPr>
            <w:tcW w:w="960" w:type="dxa"/>
            <w:tcBorders>
              <w:top w:val="nil"/>
              <w:left w:val="nil"/>
              <w:bottom w:val="nil"/>
              <w:right w:val="nil"/>
            </w:tcBorders>
            <w:shd w:val="clear" w:color="auto" w:fill="auto"/>
            <w:noWrap/>
            <w:vAlign w:val="center"/>
            <w:hideMark/>
          </w:tcPr>
          <w:p w14:paraId="36E16519"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3151" w:type="dxa"/>
            <w:tcBorders>
              <w:top w:val="nil"/>
              <w:left w:val="nil"/>
              <w:bottom w:val="nil"/>
              <w:right w:val="nil"/>
            </w:tcBorders>
            <w:shd w:val="clear" w:color="auto" w:fill="auto"/>
            <w:noWrap/>
            <w:vAlign w:val="center"/>
            <w:hideMark/>
          </w:tcPr>
          <w:p w14:paraId="7FF046C5"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rs3796863 C</w:t>
            </w:r>
            <w:r w:rsidRPr="006C023E">
              <w:rPr>
                <w:rFonts w:ascii="Times New Roman" w:eastAsia="Times New Roman" w:hAnsi="Times New Roman" w:cs="Times New Roman"/>
                <w:sz w:val="24"/>
                <w:szCs w:val="24"/>
                <w:lang w:val="fi-FI" w:eastAsia="fi-FI"/>
              </w:rPr>
              <w:sym w:font="Wingdings" w:char="F0E0"/>
            </w:r>
            <w:r w:rsidRPr="006C023E">
              <w:rPr>
                <w:rFonts w:ascii="Times New Roman" w:eastAsia="Times New Roman" w:hAnsi="Times New Roman" w:cs="Times New Roman"/>
                <w:sz w:val="24"/>
                <w:szCs w:val="24"/>
                <w:lang w:val="fi-FI" w:eastAsia="fi-FI"/>
              </w:rPr>
              <w:t>A (CD38)</w:t>
            </w:r>
          </w:p>
        </w:tc>
        <w:tc>
          <w:tcPr>
            <w:tcW w:w="1134" w:type="dxa"/>
            <w:tcBorders>
              <w:top w:val="nil"/>
              <w:left w:val="nil"/>
              <w:bottom w:val="nil"/>
              <w:right w:val="nil"/>
            </w:tcBorders>
            <w:shd w:val="clear" w:color="auto" w:fill="auto"/>
            <w:noWrap/>
            <w:vAlign w:val="center"/>
          </w:tcPr>
          <w:p w14:paraId="3FD7F9D7"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-0.024    </w:t>
            </w:r>
          </w:p>
        </w:tc>
        <w:tc>
          <w:tcPr>
            <w:tcW w:w="992" w:type="dxa"/>
            <w:tcBorders>
              <w:top w:val="nil"/>
              <w:left w:val="nil"/>
              <w:bottom w:val="nil"/>
              <w:right w:val="nil"/>
            </w:tcBorders>
            <w:shd w:val="clear" w:color="auto" w:fill="auto"/>
            <w:noWrap/>
            <w:vAlign w:val="center"/>
          </w:tcPr>
          <w:p w14:paraId="5B9873C3"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0.052   </w:t>
            </w:r>
          </w:p>
        </w:tc>
        <w:tc>
          <w:tcPr>
            <w:tcW w:w="851" w:type="dxa"/>
            <w:tcBorders>
              <w:top w:val="nil"/>
              <w:left w:val="nil"/>
              <w:bottom w:val="nil"/>
              <w:right w:val="nil"/>
            </w:tcBorders>
            <w:shd w:val="clear" w:color="auto" w:fill="auto"/>
            <w:noWrap/>
            <w:vAlign w:val="center"/>
          </w:tcPr>
          <w:p w14:paraId="029DE4B3"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.650</w:t>
            </w:r>
          </w:p>
        </w:tc>
        <w:tc>
          <w:tcPr>
            <w:tcW w:w="425" w:type="dxa"/>
            <w:tcBorders>
              <w:top w:val="nil"/>
              <w:left w:val="nil"/>
              <w:bottom w:val="nil"/>
              <w:right w:val="nil"/>
            </w:tcBorders>
            <w:shd w:val="clear" w:color="auto" w:fill="auto"/>
            <w:noWrap/>
            <w:vAlign w:val="center"/>
          </w:tcPr>
          <w:p w14:paraId="7E5B46DE"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992" w:type="dxa"/>
            <w:tcBorders>
              <w:top w:val="nil"/>
              <w:left w:val="nil"/>
              <w:bottom w:val="nil"/>
              <w:right w:val="nil"/>
            </w:tcBorders>
            <w:shd w:val="clear" w:color="auto" w:fill="auto"/>
            <w:noWrap/>
            <w:vAlign w:val="center"/>
          </w:tcPr>
          <w:p w14:paraId="0EBABA6D"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0.058    </w:t>
            </w:r>
          </w:p>
        </w:tc>
        <w:tc>
          <w:tcPr>
            <w:tcW w:w="567" w:type="dxa"/>
            <w:tcBorders>
              <w:top w:val="nil"/>
              <w:left w:val="nil"/>
              <w:bottom w:val="nil"/>
              <w:right w:val="nil"/>
            </w:tcBorders>
            <w:shd w:val="clear" w:color="auto" w:fill="auto"/>
            <w:noWrap/>
            <w:vAlign w:val="center"/>
          </w:tcPr>
          <w:p w14:paraId="2C8E90E2"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0.037    </w:t>
            </w:r>
          </w:p>
        </w:tc>
        <w:tc>
          <w:tcPr>
            <w:tcW w:w="809" w:type="dxa"/>
            <w:tcBorders>
              <w:top w:val="nil"/>
              <w:left w:val="nil"/>
              <w:bottom w:val="nil"/>
              <w:right w:val="nil"/>
            </w:tcBorders>
            <w:shd w:val="clear" w:color="auto" w:fill="auto"/>
            <w:noWrap/>
            <w:vAlign w:val="center"/>
          </w:tcPr>
          <w:p w14:paraId="74590B29"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.122</w:t>
            </w:r>
          </w:p>
        </w:tc>
      </w:tr>
      <w:tr w:rsidR="002B1ABD" w:rsidRPr="006C023E" w14:paraId="2416014D" w14:textId="77777777" w:rsidTr="009B66A5">
        <w:trPr>
          <w:trHeight w:val="310"/>
        </w:trPr>
        <w:tc>
          <w:tcPr>
            <w:tcW w:w="960" w:type="dxa"/>
            <w:tcBorders>
              <w:top w:val="nil"/>
              <w:left w:val="nil"/>
              <w:bottom w:val="nil"/>
              <w:right w:val="nil"/>
            </w:tcBorders>
            <w:shd w:val="clear" w:color="auto" w:fill="auto"/>
            <w:noWrap/>
            <w:vAlign w:val="center"/>
            <w:hideMark/>
          </w:tcPr>
          <w:p w14:paraId="123B7F79"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3151" w:type="dxa"/>
            <w:tcBorders>
              <w:top w:val="nil"/>
              <w:left w:val="nil"/>
              <w:bottom w:val="nil"/>
              <w:right w:val="nil"/>
            </w:tcBorders>
            <w:shd w:val="clear" w:color="auto" w:fill="auto"/>
            <w:noWrap/>
            <w:vAlign w:val="center"/>
            <w:hideMark/>
          </w:tcPr>
          <w:p w14:paraId="0F9603E6"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rs1800497 C </w:t>
            </w:r>
            <w:r w:rsidRPr="006C023E">
              <w:rPr>
                <w:rFonts w:ascii="Times New Roman" w:eastAsia="Times New Roman" w:hAnsi="Times New Roman" w:cs="Times New Roman"/>
                <w:sz w:val="24"/>
                <w:szCs w:val="24"/>
                <w:lang w:val="fi-FI" w:eastAsia="fi-FI"/>
              </w:rPr>
              <w:sym w:font="Wingdings" w:char="F0E0"/>
            </w:r>
            <w:r w:rsidRPr="006C023E">
              <w:rPr>
                <w:rFonts w:ascii="Times New Roman" w:eastAsia="Times New Roman" w:hAnsi="Times New Roman" w:cs="Times New Roman"/>
                <w:sz w:val="24"/>
                <w:szCs w:val="24"/>
                <w:lang w:val="fi-FI" w:eastAsia="fi-FI"/>
              </w:rPr>
              <w:t xml:space="preserve"> T (ANKK1)</w:t>
            </w:r>
          </w:p>
        </w:tc>
        <w:tc>
          <w:tcPr>
            <w:tcW w:w="1134" w:type="dxa"/>
            <w:tcBorders>
              <w:top w:val="nil"/>
              <w:left w:val="nil"/>
              <w:bottom w:val="nil"/>
              <w:right w:val="nil"/>
            </w:tcBorders>
            <w:shd w:val="clear" w:color="auto" w:fill="auto"/>
            <w:noWrap/>
            <w:vAlign w:val="center"/>
          </w:tcPr>
          <w:p w14:paraId="09205836"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0.070    </w:t>
            </w:r>
          </w:p>
        </w:tc>
        <w:tc>
          <w:tcPr>
            <w:tcW w:w="992" w:type="dxa"/>
            <w:tcBorders>
              <w:top w:val="nil"/>
              <w:left w:val="nil"/>
              <w:bottom w:val="nil"/>
              <w:right w:val="nil"/>
            </w:tcBorders>
            <w:shd w:val="clear" w:color="auto" w:fill="auto"/>
            <w:noWrap/>
            <w:vAlign w:val="center"/>
          </w:tcPr>
          <w:p w14:paraId="38E4D84C"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0.062       </w:t>
            </w:r>
          </w:p>
        </w:tc>
        <w:tc>
          <w:tcPr>
            <w:tcW w:w="851" w:type="dxa"/>
            <w:tcBorders>
              <w:top w:val="nil"/>
              <w:left w:val="nil"/>
              <w:bottom w:val="nil"/>
              <w:right w:val="nil"/>
            </w:tcBorders>
            <w:shd w:val="clear" w:color="auto" w:fill="auto"/>
            <w:noWrap/>
            <w:vAlign w:val="center"/>
          </w:tcPr>
          <w:p w14:paraId="3E4ABCCB"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.254</w:t>
            </w:r>
          </w:p>
        </w:tc>
        <w:tc>
          <w:tcPr>
            <w:tcW w:w="425" w:type="dxa"/>
            <w:tcBorders>
              <w:top w:val="nil"/>
              <w:left w:val="nil"/>
              <w:bottom w:val="nil"/>
              <w:right w:val="nil"/>
            </w:tcBorders>
            <w:shd w:val="clear" w:color="auto" w:fill="auto"/>
            <w:noWrap/>
            <w:vAlign w:val="center"/>
          </w:tcPr>
          <w:p w14:paraId="543981C6"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992" w:type="dxa"/>
            <w:tcBorders>
              <w:top w:val="nil"/>
              <w:left w:val="nil"/>
              <w:bottom w:val="nil"/>
              <w:right w:val="nil"/>
            </w:tcBorders>
            <w:shd w:val="clear" w:color="auto" w:fill="auto"/>
            <w:noWrap/>
            <w:vAlign w:val="center"/>
          </w:tcPr>
          <w:p w14:paraId="3D347474"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-0.033    </w:t>
            </w:r>
          </w:p>
        </w:tc>
        <w:tc>
          <w:tcPr>
            <w:tcW w:w="567" w:type="dxa"/>
            <w:tcBorders>
              <w:top w:val="nil"/>
              <w:left w:val="nil"/>
              <w:bottom w:val="nil"/>
              <w:right w:val="nil"/>
            </w:tcBorders>
            <w:shd w:val="clear" w:color="auto" w:fill="auto"/>
            <w:noWrap/>
            <w:vAlign w:val="center"/>
          </w:tcPr>
          <w:p w14:paraId="206452B8"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0.044   </w:t>
            </w:r>
          </w:p>
        </w:tc>
        <w:tc>
          <w:tcPr>
            <w:tcW w:w="809" w:type="dxa"/>
            <w:tcBorders>
              <w:top w:val="nil"/>
              <w:left w:val="nil"/>
              <w:bottom w:val="nil"/>
              <w:right w:val="nil"/>
            </w:tcBorders>
            <w:shd w:val="clear" w:color="auto" w:fill="auto"/>
            <w:noWrap/>
            <w:vAlign w:val="center"/>
          </w:tcPr>
          <w:p w14:paraId="43C628BF"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.453</w:t>
            </w:r>
          </w:p>
        </w:tc>
      </w:tr>
      <w:tr w:rsidR="002B1ABD" w:rsidRPr="006C023E" w14:paraId="79A97C2E" w14:textId="77777777" w:rsidTr="009B66A5">
        <w:trPr>
          <w:trHeight w:val="310"/>
        </w:trPr>
        <w:tc>
          <w:tcPr>
            <w:tcW w:w="960" w:type="dxa"/>
            <w:tcBorders>
              <w:top w:val="nil"/>
              <w:left w:val="nil"/>
              <w:right w:val="nil"/>
            </w:tcBorders>
            <w:shd w:val="clear" w:color="auto" w:fill="auto"/>
            <w:noWrap/>
            <w:vAlign w:val="center"/>
            <w:hideMark/>
          </w:tcPr>
          <w:p w14:paraId="7B3CBF9C"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3151" w:type="dxa"/>
            <w:tcBorders>
              <w:top w:val="nil"/>
              <w:left w:val="nil"/>
              <w:right w:val="nil"/>
            </w:tcBorders>
            <w:shd w:val="clear" w:color="auto" w:fill="auto"/>
            <w:noWrap/>
            <w:vAlign w:val="center"/>
            <w:hideMark/>
          </w:tcPr>
          <w:p w14:paraId="648FBF4D"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rs4680 A </w:t>
            </w:r>
            <w:r w:rsidRPr="006C023E">
              <w:rPr>
                <w:rFonts w:ascii="Times New Roman" w:eastAsia="Times New Roman" w:hAnsi="Times New Roman" w:cs="Times New Roman"/>
                <w:sz w:val="24"/>
                <w:szCs w:val="24"/>
                <w:lang w:val="fi-FI" w:eastAsia="fi-FI"/>
              </w:rPr>
              <w:sym w:font="Wingdings" w:char="F0E0"/>
            </w:r>
            <w:r w:rsidRPr="006C023E">
              <w:rPr>
                <w:rFonts w:ascii="Times New Roman" w:eastAsia="Times New Roman" w:hAnsi="Times New Roman" w:cs="Times New Roman"/>
                <w:sz w:val="24"/>
                <w:szCs w:val="24"/>
                <w:lang w:val="fi-FI" w:eastAsia="fi-FI"/>
              </w:rPr>
              <w:t xml:space="preserve"> G (COMT)</w:t>
            </w:r>
          </w:p>
        </w:tc>
        <w:tc>
          <w:tcPr>
            <w:tcW w:w="1134" w:type="dxa"/>
            <w:tcBorders>
              <w:top w:val="nil"/>
              <w:left w:val="nil"/>
              <w:right w:val="nil"/>
            </w:tcBorders>
            <w:shd w:val="clear" w:color="auto" w:fill="auto"/>
            <w:noWrap/>
            <w:vAlign w:val="center"/>
          </w:tcPr>
          <w:p w14:paraId="79AAE215"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-0.019    </w:t>
            </w:r>
          </w:p>
        </w:tc>
        <w:tc>
          <w:tcPr>
            <w:tcW w:w="992" w:type="dxa"/>
            <w:tcBorders>
              <w:top w:val="nil"/>
              <w:left w:val="nil"/>
              <w:right w:val="nil"/>
            </w:tcBorders>
            <w:shd w:val="clear" w:color="auto" w:fill="auto"/>
            <w:noWrap/>
            <w:vAlign w:val="center"/>
          </w:tcPr>
          <w:p w14:paraId="2BB03C29"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0.051  </w:t>
            </w:r>
          </w:p>
        </w:tc>
        <w:tc>
          <w:tcPr>
            <w:tcW w:w="851" w:type="dxa"/>
            <w:tcBorders>
              <w:top w:val="nil"/>
              <w:left w:val="nil"/>
              <w:right w:val="nil"/>
            </w:tcBorders>
            <w:shd w:val="clear" w:color="auto" w:fill="auto"/>
            <w:noWrap/>
            <w:vAlign w:val="center"/>
          </w:tcPr>
          <w:p w14:paraId="2300C68A"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.714</w:t>
            </w:r>
          </w:p>
        </w:tc>
        <w:tc>
          <w:tcPr>
            <w:tcW w:w="425" w:type="dxa"/>
            <w:tcBorders>
              <w:top w:val="nil"/>
              <w:left w:val="nil"/>
              <w:right w:val="nil"/>
            </w:tcBorders>
            <w:shd w:val="clear" w:color="auto" w:fill="auto"/>
            <w:noWrap/>
            <w:vAlign w:val="center"/>
          </w:tcPr>
          <w:p w14:paraId="6FCD6735"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992" w:type="dxa"/>
            <w:tcBorders>
              <w:top w:val="nil"/>
              <w:left w:val="nil"/>
              <w:right w:val="nil"/>
            </w:tcBorders>
            <w:shd w:val="clear" w:color="auto" w:fill="auto"/>
            <w:noWrap/>
            <w:vAlign w:val="center"/>
          </w:tcPr>
          <w:p w14:paraId="35FD5C9B"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0.046    </w:t>
            </w:r>
          </w:p>
        </w:tc>
        <w:tc>
          <w:tcPr>
            <w:tcW w:w="567" w:type="dxa"/>
            <w:tcBorders>
              <w:top w:val="nil"/>
              <w:left w:val="nil"/>
              <w:right w:val="nil"/>
            </w:tcBorders>
            <w:shd w:val="clear" w:color="auto" w:fill="auto"/>
            <w:noWrap/>
            <w:vAlign w:val="center"/>
          </w:tcPr>
          <w:p w14:paraId="53D685FE"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0.036    </w:t>
            </w:r>
          </w:p>
        </w:tc>
        <w:tc>
          <w:tcPr>
            <w:tcW w:w="809" w:type="dxa"/>
            <w:tcBorders>
              <w:top w:val="nil"/>
              <w:left w:val="nil"/>
              <w:right w:val="nil"/>
            </w:tcBorders>
            <w:shd w:val="clear" w:color="auto" w:fill="auto"/>
            <w:noWrap/>
            <w:vAlign w:val="center"/>
          </w:tcPr>
          <w:p w14:paraId="67DF3963"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.195</w:t>
            </w:r>
          </w:p>
        </w:tc>
      </w:tr>
      <w:tr w:rsidR="002B1ABD" w:rsidRPr="006C023E" w14:paraId="6C7B1FC3" w14:textId="77777777" w:rsidTr="009B66A5">
        <w:trPr>
          <w:trHeight w:val="310"/>
        </w:trPr>
        <w:tc>
          <w:tcPr>
            <w:tcW w:w="960" w:type="dxa"/>
            <w:tcBorders>
              <w:top w:val="nil"/>
              <w:left w:val="nil"/>
              <w:bottom w:val="nil"/>
              <w:right w:val="nil"/>
            </w:tcBorders>
            <w:shd w:val="clear" w:color="auto" w:fill="auto"/>
            <w:noWrap/>
            <w:vAlign w:val="center"/>
            <w:hideMark/>
          </w:tcPr>
          <w:p w14:paraId="760DDC28"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3151" w:type="dxa"/>
            <w:tcBorders>
              <w:top w:val="nil"/>
              <w:left w:val="nil"/>
              <w:bottom w:val="nil"/>
              <w:right w:val="nil"/>
            </w:tcBorders>
            <w:shd w:val="clear" w:color="auto" w:fill="auto"/>
            <w:noWrap/>
            <w:vAlign w:val="center"/>
            <w:hideMark/>
          </w:tcPr>
          <w:p w14:paraId="0CC3D6A8"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rs1611115 T</w:t>
            </w:r>
            <w:r w:rsidRPr="006C023E">
              <w:rPr>
                <w:rFonts w:ascii="Times New Roman" w:eastAsia="Times New Roman" w:hAnsi="Times New Roman" w:cs="Times New Roman"/>
                <w:sz w:val="24"/>
                <w:szCs w:val="24"/>
                <w:lang w:val="fi-FI" w:eastAsia="fi-FI"/>
              </w:rPr>
              <w:sym w:font="Wingdings" w:char="F0E0"/>
            </w:r>
            <w:r w:rsidRPr="006C023E">
              <w:rPr>
                <w:rFonts w:ascii="Times New Roman" w:eastAsia="Times New Roman" w:hAnsi="Times New Roman" w:cs="Times New Roman"/>
                <w:sz w:val="24"/>
                <w:szCs w:val="24"/>
                <w:lang w:val="fi-FI" w:eastAsia="fi-FI"/>
              </w:rPr>
              <w:t>C (DBH)</w:t>
            </w:r>
          </w:p>
        </w:tc>
        <w:tc>
          <w:tcPr>
            <w:tcW w:w="1134" w:type="dxa"/>
            <w:tcBorders>
              <w:top w:val="nil"/>
              <w:left w:val="nil"/>
              <w:bottom w:val="nil"/>
              <w:right w:val="nil"/>
            </w:tcBorders>
            <w:shd w:val="clear" w:color="auto" w:fill="auto"/>
            <w:noWrap/>
            <w:vAlign w:val="center"/>
          </w:tcPr>
          <w:p w14:paraId="500EA2B4"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-0.076    </w:t>
            </w:r>
          </w:p>
        </w:tc>
        <w:tc>
          <w:tcPr>
            <w:tcW w:w="992" w:type="dxa"/>
            <w:tcBorders>
              <w:top w:val="nil"/>
              <w:left w:val="nil"/>
              <w:bottom w:val="nil"/>
              <w:right w:val="nil"/>
            </w:tcBorders>
            <w:shd w:val="clear" w:color="auto" w:fill="auto"/>
            <w:noWrap/>
            <w:vAlign w:val="center"/>
          </w:tcPr>
          <w:p w14:paraId="5C84ABA8"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0.066  </w:t>
            </w:r>
          </w:p>
        </w:tc>
        <w:tc>
          <w:tcPr>
            <w:tcW w:w="851" w:type="dxa"/>
            <w:tcBorders>
              <w:top w:val="nil"/>
              <w:left w:val="nil"/>
              <w:bottom w:val="nil"/>
              <w:right w:val="nil"/>
            </w:tcBorders>
            <w:shd w:val="clear" w:color="auto" w:fill="auto"/>
            <w:noWrap/>
            <w:vAlign w:val="center"/>
          </w:tcPr>
          <w:p w14:paraId="68BA24D2"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.249</w:t>
            </w:r>
          </w:p>
        </w:tc>
        <w:tc>
          <w:tcPr>
            <w:tcW w:w="425" w:type="dxa"/>
            <w:tcBorders>
              <w:top w:val="nil"/>
              <w:left w:val="nil"/>
              <w:bottom w:val="nil"/>
              <w:right w:val="nil"/>
            </w:tcBorders>
            <w:shd w:val="clear" w:color="auto" w:fill="auto"/>
            <w:noWrap/>
            <w:vAlign w:val="center"/>
          </w:tcPr>
          <w:p w14:paraId="48236F7E"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992" w:type="dxa"/>
            <w:tcBorders>
              <w:top w:val="nil"/>
              <w:left w:val="nil"/>
              <w:bottom w:val="nil"/>
              <w:right w:val="nil"/>
            </w:tcBorders>
            <w:shd w:val="clear" w:color="auto" w:fill="auto"/>
            <w:noWrap/>
            <w:vAlign w:val="center"/>
          </w:tcPr>
          <w:p w14:paraId="1279217F"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0.140    </w:t>
            </w:r>
          </w:p>
        </w:tc>
        <w:tc>
          <w:tcPr>
            <w:tcW w:w="567" w:type="dxa"/>
            <w:tcBorders>
              <w:top w:val="nil"/>
              <w:left w:val="nil"/>
              <w:bottom w:val="nil"/>
              <w:right w:val="nil"/>
            </w:tcBorders>
            <w:shd w:val="clear" w:color="auto" w:fill="auto"/>
            <w:noWrap/>
            <w:vAlign w:val="center"/>
          </w:tcPr>
          <w:p w14:paraId="4C06CE1E"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0.049    </w:t>
            </w:r>
          </w:p>
        </w:tc>
        <w:tc>
          <w:tcPr>
            <w:tcW w:w="809" w:type="dxa"/>
            <w:tcBorders>
              <w:top w:val="nil"/>
              <w:left w:val="nil"/>
              <w:bottom w:val="nil"/>
              <w:right w:val="nil"/>
            </w:tcBorders>
            <w:shd w:val="clear" w:color="auto" w:fill="auto"/>
            <w:noWrap/>
            <w:vAlign w:val="center"/>
          </w:tcPr>
          <w:p w14:paraId="3C1E2B97" w14:textId="77777777" w:rsidR="009D1103" w:rsidRPr="006C023E" w:rsidRDefault="009D1103" w:rsidP="008D10BD">
            <w:pPr>
              <w:spacing w:after="0" w:line="240" w:lineRule="auto"/>
              <w:rPr>
                <w:rFonts w:ascii="Times New Roman" w:eastAsia="Times New Roman" w:hAnsi="Times New Roman" w:cs="Times New Roman"/>
                <w:b/>
                <w:bCs/>
                <w:sz w:val="24"/>
                <w:szCs w:val="24"/>
                <w:lang w:val="fi-FI" w:eastAsia="fi-FI"/>
              </w:rPr>
            </w:pPr>
            <w:r w:rsidRPr="006C023E">
              <w:rPr>
                <w:rFonts w:ascii="Times New Roman" w:eastAsia="Times New Roman" w:hAnsi="Times New Roman" w:cs="Times New Roman"/>
                <w:b/>
                <w:bCs/>
                <w:sz w:val="24"/>
                <w:szCs w:val="24"/>
                <w:lang w:val="fi-FI" w:eastAsia="fi-FI"/>
              </w:rPr>
              <w:t>.004</w:t>
            </w:r>
          </w:p>
        </w:tc>
      </w:tr>
      <w:tr w:rsidR="002B1ABD" w:rsidRPr="006C023E" w14:paraId="373C0930" w14:textId="77777777" w:rsidTr="009B66A5">
        <w:trPr>
          <w:trHeight w:val="310"/>
        </w:trPr>
        <w:tc>
          <w:tcPr>
            <w:tcW w:w="960" w:type="dxa"/>
            <w:tcBorders>
              <w:top w:val="nil"/>
              <w:left w:val="nil"/>
              <w:bottom w:val="nil"/>
              <w:right w:val="nil"/>
            </w:tcBorders>
            <w:shd w:val="clear" w:color="auto" w:fill="auto"/>
            <w:noWrap/>
            <w:vAlign w:val="center"/>
          </w:tcPr>
          <w:p w14:paraId="4A7E68DC"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f)</w:t>
            </w:r>
          </w:p>
        </w:tc>
        <w:tc>
          <w:tcPr>
            <w:tcW w:w="3151" w:type="dxa"/>
            <w:tcBorders>
              <w:top w:val="nil"/>
              <w:left w:val="nil"/>
              <w:bottom w:val="nil"/>
              <w:right w:val="nil"/>
            </w:tcBorders>
            <w:shd w:val="clear" w:color="auto" w:fill="auto"/>
            <w:noWrap/>
            <w:vAlign w:val="center"/>
          </w:tcPr>
          <w:p w14:paraId="6E89A4D9"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eastAsia="ar-SA"/>
              </w:rPr>
              <w:t>low oxytocin genetic profile</w:t>
            </w:r>
          </w:p>
        </w:tc>
        <w:tc>
          <w:tcPr>
            <w:tcW w:w="1134" w:type="dxa"/>
            <w:tcBorders>
              <w:top w:val="nil"/>
              <w:left w:val="nil"/>
              <w:bottom w:val="nil"/>
              <w:right w:val="nil"/>
            </w:tcBorders>
            <w:shd w:val="clear" w:color="auto" w:fill="auto"/>
            <w:noWrap/>
            <w:vAlign w:val="center"/>
          </w:tcPr>
          <w:p w14:paraId="31860C5F"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0.023    </w:t>
            </w:r>
          </w:p>
        </w:tc>
        <w:tc>
          <w:tcPr>
            <w:tcW w:w="992" w:type="dxa"/>
            <w:tcBorders>
              <w:top w:val="nil"/>
              <w:left w:val="nil"/>
              <w:bottom w:val="nil"/>
              <w:right w:val="nil"/>
            </w:tcBorders>
            <w:shd w:val="clear" w:color="auto" w:fill="auto"/>
            <w:noWrap/>
            <w:vAlign w:val="center"/>
          </w:tcPr>
          <w:p w14:paraId="7E9575F2"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0.036    </w:t>
            </w:r>
          </w:p>
        </w:tc>
        <w:tc>
          <w:tcPr>
            <w:tcW w:w="851" w:type="dxa"/>
            <w:tcBorders>
              <w:top w:val="nil"/>
              <w:left w:val="nil"/>
              <w:bottom w:val="nil"/>
              <w:right w:val="nil"/>
            </w:tcBorders>
            <w:shd w:val="clear" w:color="auto" w:fill="auto"/>
            <w:noWrap/>
            <w:vAlign w:val="center"/>
          </w:tcPr>
          <w:p w14:paraId="46DAB229"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.533</w:t>
            </w:r>
          </w:p>
        </w:tc>
        <w:tc>
          <w:tcPr>
            <w:tcW w:w="425" w:type="dxa"/>
            <w:tcBorders>
              <w:top w:val="nil"/>
              <w:left w:val="nil"/>
              <w:bottom w:val="nil"/>
              <w:right w:val="nil"/>
            </w:tcBorders>
            <w:shd w:val="clear" w:color="auto" w:fill="auto"/>
            <w:noWrap/>
            <w:vAlign w:val="center"/>
          </w:tcPr>
          <w:p w14:paraId="4EF1A270"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992" w:type="dxa"/>
            <w:tcBorders>
              <w:top w:val="nil"/>
              <w:left w:val="nil"/>
              <w:bottom w:val="nil"/>
              <w:right w:val="nil"/>
            </w:tcBorders>
            <w:shd w:val="clear" w:color="auto" w:fill="auto"/>
            <w:noWrap/>
            <w:vAlign w:val="center"/>
          </w:tcPr>
          <w:p w14:paraId="26F190D5"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0.022    </w:t>
            </w:r>
          </w:p>
        </w:tc>
        <w:tc>
          <w:tcPr>
            <w:tcW w:w="567" w:type="dxa"/>
            <w:tcBorders>
              <w:top w:val="nil"/>
              <w:left w:val="nil"/>
              <w:bottom w:val="nil"/>
              <w:right w:val="nil"/>
            </w:tcBorders>
            <w:shd w:val="clear" w:color="auto" w:fill="auto"/>
            <w:noWrap/>
            <w:vAlign w:val="center"/>
          </w:tcPr>
          <w:p w14:paraId="1C4E15AC"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0.025    </w:t>
            </w:r>
          </w:p>
        </w:tc>
        <w:tc>
          <w:tcPr>
            <w:tcW w:w="809" w:type="dxa"/>
            <w:tcBorders>
              <w:top w:val="nil"/>
              <w:left w:val="nil"/>
              <w:bottom w:val="nil"/>
              <w:right w:val="nil"/>
            </w:tcBorders>
            <w:shd w:val="clear" w:color="auto" w:fill="auto"/>
            <w:noWrap/>
            <w:vAlign w:val="center"/>
          </w:tcPr>
          <w:p w14:paraId="7AA2163D"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.392</w:t>
            </w:r>
          </w:p>
        </w:tc>
      </w:tr>
      <w:tr w:rsidR="002B1ABD" w:rsidRPr="006C023E" w14:paraId="323E5BA2" w14:textId="77777777" w:rsidTr="009B66A5">
        <w:trPr>
          <w:trHeight w:val="310"/>
        </w:trPr>
        <w:tc>
          <w:tcPr>
            <w:tcW w:w="960" w:type="dxa"/>
            <w:tcBorders>
              <w:top w:val="nil"/>
              <w:left w:val="nil"/>
              <w:bottom w:val="single" w:sz="4" w:space="0" w:color="auto"/>
              <w:right w:val="nil"/>
            </w:tcBorders>
            <w:shd w:val="clear" w:color="auto" w:fill="auto"/>
            <w:noWrap/>
            <w:vAlign w:val="center"/>
          </w:tcPr>
          <w:p w14:paraId="153946FD"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g)</w:t>
            </w:r>
          </w:p>
        </w:tc>
        <w:tc>
          <w:tcPr>
            <w:tcW w:w="3151" w:type="dxa"/>
            <w:tcBorders>
              <w:top w:val="nil"/>
              <w:left w:val="nil"/>
              <w:bottom w:val="single" w:sz="4" w:space="0" w:color="auto"/>
              <w:right w:val="nil"/>
            </w:tcBorders>
            <w:shd w:val="clear" w:color="auto" w:fill="auto"/>
            <w:noWrap/>
            <w:vAlign w:val="center"/>
          </w:tcPr>
          <w:p w14:paraId="51651580"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eastAsia="ar-SA"/>
              </w:rPr>
              <w:t>high dopamine genetic profile</w:t>
            </w:r>
          </w:p>
        </w:tc>
        <w:tc>
          <w:tcPr>
            <w:tcW w:w="1134" w:type="dxa"/>
            <w:tcBorders>
              <w:top w:val="nil"/>
              <w:left w:val="nil"/>
              <w:bottom w:val="single" w:sz="4" w:space="0" w:color="auto"/>
              <w:right w:val="nil"/>
            </w:tcBorders>
            <w:shd w:val="clear" w:color="auto" w:fill="auto"/>
            <w:noWrap/>
            <w:vAlign w:val="center"/>
          </w:tcPr>
          <w:p w14:paraId="2DF6B52E"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-0.006    </w:t>
            </w:r>
          </w:p>
        </w:tc>
        <w:tc>
          <w:tcPr>
            <w:tcW w:w="992" w:type="dxa"/>
            <w:tcBorders>
              <w:top w:val="nil"/>
              <w:left w:val="nil"/>
              <w:bottom w:val="single" w:sz="4" w:space="0" w:color="auto"/>
              <w:right w:val="nil"/>
            </w:tcBorders>
            <w:shd w:val="clear" w:color="auto" w:fill="auto"/>
            <w:noWrap/>
            <w:vAlign w:val="center"/>
          </w:tcPr>
          <w:p w14:paraId="6C916BD7"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0.035  </w:t>
            </w:r>
          </w:p>
        </w:tc>
        <w:tc>
          <w:tcPr>
            <w:tcW w:w="851" w:type="dxa"/>
            <w:tcBorders>
              <w:top w:val="nil"/>
              <w:left w:val="nil"/>
              <w:bottom w:val="single" w:sz="4" w:space="0" w:color="auto"/>
              <w:right w:val="nil"/>
            </w:tcBorders>
            <w:shd w:val="clear" w:color="auto" w:fill="auto"/>
            <w:noWrap/>
            <w:vAlign w:val="center"/>
          </w:tcPr>
          <w:p w14:paraId="21E317E9"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.858</w:t>
            </w:r>
          </w:p>
        </w:tc>
        <w:tc>
          <w:tcPr>
            <w:tcW w:w="425" w:type="dxa"/>
            <w:tcBorders>
              <w:top w:val="nil"/>
              <w:left w:val="nil"/>
              <w:bottom w:val="single" w:sz="4" w:space="0" w:color="auto"/>
              <w:right w:val="nil"/>
            </w:tcBorders>
            <w:shd w:val="clear" w:color="auto" w:fill="auto"/>
            <w:noWrap/>
            <w:vAlign w:val="center"/>
          </w:tcPr>
          <w:p w14:paraId="2019026A"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p>
        </w:tc>
        <w:tc>
          <w:tcPr>
            <w:tcW w:w="992" w:type="dxa"/>
            <w:tcBorders>
              <w:top w:val="nil"/>
              <w:left w:val="nil"/>
              <w:bottom w:val="single" w:sz="4" w:space="0" w:color="auto"/>
              <w:right w:val="nil"/>
            </w:tcBorders>
            <w:shd w:val="clear" w:color="auto" w:fill="auto"/>
            <w:noWrap/>
            <w:vAlign w:val="center"/>
          </w:tcPr>
          <w:p w14:paraId="7A7E5BE5"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0.048    </w:t>
            </w:r>
          </w:p>
        </w:tc>
        <w:tc>
          <w:tcPr>
            <w:tcW w:w="567" w:type="dxa"/>
            <w:tcBorders>
              <w:top w:val="nil"/>
              <w:left w:val="nil"/>
              <w:bottom w:val="single" w:sz="4" w:space="0" w:color="auto"/>
              <w:right w:val="nil"/>
            </w:tcBorders>
            <w:shd w:val="clear" w:color="auto" w:fill="auto"/>
            <w:noWrap/>
            <w:vAlign w:val="center"/>
          </w:tcPr>
          <w:p w14:paraId="5C9853A8"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 xml:space="preserve">0.025    </w:t>
            </w:r>
          </w:p>
        </w:tc>
        <w:tc>
          <w:tcPr>
            <w:tcW w:w="809" w:type="dxa"/>
            <w:tcBorders>
              <w:top w:val="nil"/>
              <w:left w:val="nil"/>
              <w:bottom w:val="single" w:sz="4" w:space="0" w:color="auto"/>
              <w:right w:val="nil"/>
            </w:tcBorders>
            <w:shd w:val="clear" w:color="auto" w:fill="auto"/>
            <w:noWrap/>
            <w:vAlign w:val="center"/>
          </w:tcPr>
          <w:p w14:paraId="5ACE2A6C" w14:textId="77777777" w:rsidR="009D1103" w:rsidRPr="006C023E" w:rsidRDefault="009D1103" w:rsidP="008D10BD">
            <w:pPr>
              <w:spacing w:after="0" w:line="240" w:lineRule="auto"/>
              <w:rPr>
                <w:rFonts w:ascii="Times New Roman" w:eastAsia="Times New Roman" w:hAnsi="Times New Roman" w:cs="Times New Roman"/>
                <w:sz w:val="24"/>
                <w:szCs w:val="24"/>
                <w:lang w:val="fi-FI" w:eastAsia="fi-FI"/>
              </w:rPr>
            </w:pPr>
            <w:r w:rsidRPr="006C023E">
              <w:rPr>
                <w:rFonts w:ascii="Times New Roman" w:eastAsia="Times New Roman" w:hAnsi="Times New Roman" w:cs="Times New Roman"/>
                <w:sz w:val="24"/>
                <w:szCs w:val="24"/>
                <w:lang w:val="fi-FI" w:eastAsia="fi-FI"/>
              </w:rPr>
              <w:t>.053</w:t>
            </w:r>
          </w:p>
        </w:tc>
      </w:tr>
    </w:tbl>
    <w:p w14:paraId="1D4E2CFF" w14:textId="77777777" w:rsidR="009D1103" w:rsidRPr="006C023E" w:rsidRDefault="009D1103" w:rsidP="008D10BD">
      <w:pPr>
        <w:spacing w:line="480" w:lineRule="auto"/>
        <w:rPr>
          <w:rFonts w:ascii="Times New Roman" w:hAnsi="Times New Roman" w:cs="Times New Roman"/>
          <w:sz w:val="24"/>
          <w:szCs w:val="24"/>
        </w:rPr>
      </w:pPr>
      <w:r w:rsidRPr="006C023E">
        <w:rPr>
          <w:rFonts w:ascii="Times New Roman" w:hAnsi="Times New Roman" w:cs="Times New Roman"/>
          <w:i/>
          <w:sz w:val="24"/>
          <w:szCs w:val="24"/>
        </w:rPr>
        <w:t>Notes</w:t>
      </w:r>
      <w:r w:rsidRPr="006C023E">
        <w:rPr>
          <w:rFonts w:ascii="Times New Roman" w:hAnsi="Times New Roman" w:cs="Times New Roman"/>
          <w:sz w:val="24"/>
          <w:szCs w:val="24"/>
        </w:rPr>
        <w:t xml:space="preserve">. In all models (n= 2130), included covariates were year of birth, gender, childhood and adulthood socioeconomic status, and the top 10 genetic principal components. Across models, RMSEAs = 0.028-0.029 and CFIs = 0.960-0.962. </w:t>
      </w:r>
    </w:p>
    <w:p w14:paraId="5B4E0B62" w14:textId="77777777" w:rsidR="009D1103" w:rsidRPr="006C023E" w:rsidRDefault="009D1103">
      <w:pPr>
        <w:rPr>
          <w:rFonts w:ascii="Times New Roman" w:hAnsi="Times New Roman" w:cs="Times New Roman"/>
          <w:sz w:val="24"/>
          <w:szCs w:val="24"/>
        </w:rPr>
      </w:pPr>
    </w:p>
    <w:p w14:paraId="5840846D" w14:textId="4A185CEB" w:rsidR="009D1103" w:rsidRPr="006C023E" w:rsidRDefault="009D1103">
      <w:pPr>
        <w:rPr>
          <w:rFonts w:ascii="Times New Roman" w:hAnsi="Times New Roman" w:cs="Times New Roman"/>
          <w:sz w:val="24"/>
          <w:szCs w:val="24"/>
        </w:rPr>
      </w:pPr>
    </w:p>
    <w:p w14:paraId="5DC7E852" w14:textId="592884CE" w:rsidR="009D1103" w:rsidRPr="006C023E" w:rsidRDefault="009D1103">
      <w:pPr>
        <w:rPr>
          <w:rFonts w:ascii="Times New Roman" w:hAnsi="Times New Roman" w:cs="Times New Roman"/>
          <w:sz w:val="24"/>
          <w:szCs w:val="24"/>
        </w:rPr>
      </w:pPr>
      <w:r w:rsidRPr="006C023E">
        <w:rPr>
          <w:rFonts w:ascii="Times New Roman" w:hAnsi="Times New Roman" w:cs="Times New Roman"/>
          <w:sz w:val="24"/>
          <w:szCs w:val="24"/>
        </w:rPr>
        <w:br w:type="page"/>
      </w:r>
    </w:p>
    <w:p w14:paraId="1A4209EA" w14:textId="4A2FBCEC" w:rsidR="00DF7D4D" w:rsidRPr="006C023E" w:rsidRDefault="00E63DF9" w:rsidP="007E3679">
      <w:pPr>
        <w:spacing w:line="480" w:lineRule="auto"/>
        <w:rPr>
          <w:rFonts w:ascii="Times New Roman" w:hAnsi="Times New Roman" w:cs="Times New Roman"/>
          <w:sz w:val="24"/>
          <w:szCs w:val="24"/>
        </w:rPr>
      </w:pPr>
      <w:r w:rsidRPr="006C023E">
        <w:rPr>
          <w:rFonts w:ascii="Times New Roman" w:hAnsi="Times New Roman" w:cs="Times New Roman"/>
          <w:b/>
          <w:bCs/>
          <w:sz w:val="24"/>
          <w:szCs w:val="24"/>
        </w:rPr>
        <w:lastRenderedPageBreak/>
        <w:t>References</w:t>
      </w:r>
    </w:p>
    <w:p w14:paraId="62F3D39D" w14:textId="22E7787D" w:rsidR="007E3679" w:rsidRPr="006C023E" w:rsidRDefault="007E3679" w:rsidP="007E3679">
      <w:pPr>
        <w:widowControl w:val="0"/>
        <w:autoSpaceDE w:val="0"/>
        <w:autoSpaceDN w:val="0"/>
        <w:adjustRightInd w:val="0"/>
        <w:spacing w:line="480" w:lineRule="auto"/>
        <w:ind w:left="480" w:hanging="480"/>
        <w:rPr>
          <w:rFonts w:ascii="Times New Roman" w:hAnsi="Times New Roman" w:cs="Times New Roman"/>
          <w:noProof/>
          <w:sz w:val="24"/>
          <w:szCs w:val="24"/>
        </w:rPr>
      </w:pPr>
      <w:r w:rsidRPr="006C023E">
        <w:rPr>
          <w:rFonts w:ascii="Times New Roman" w:hAnsi="Times New Roman" w:cs="Times New Roman"/>
          <w:sz w:val="24"/>
          <w:szCs w:val="24"/>
        </w:rPr>
        <w:fldChar w:fldCharType="begin" w:fldLock="1"/>
      </w:r>
      <w:r w:rsidRPr="006C023E">
        <w:rPr>
          <w:rFonts w:ascii="Times New Roman" w:hAnsi="Times New Roman" w:cs="Times New Roman"/>
          <w:sz w:val="24"/>
          <w:szCs w:val="24"/>
        </w:rPr>
        <w:instrText xml:space="preserve">ADDIN Mendeley Bibliography CSL_BIBLIOGRAPHY </w:instrText>
      </w:r>
      <w:r w:rsidRPr="006C023E">
        <w:rPr>
          <w:rFonts w:ascii="Times New Roman" w:hAnsi="Times New Roman" w:cs="Times New Roman"/>
          <w:sz w:val="24"/>
          <w:szCs w:val="24"/>
        </w:rPr>
        <w:fldChar w:fldCharType="separate"/>
      </w:r>
      <w:r w:rsidRPr="006C023E">
        <w:rPr>
          <w:rFonts w:ascii="Times New Roman" w:hAnsi="Times New Roman" w:cs="Times New Roman"/>
          <w:noProof/>
          <w:sz w:val="24"/>
          <w:szCs w:val="24"/>
        </w:rPr>
        <w:t xml:space="preserve">Biderman, M. D., McAbee, S. T., Job Chen, Z., &amp; Hendy, N. T. (2018). Assessing the evaluative content of personality questionnaires using bifactor models. </w:t>
      </w:r>
      <w:r w:rsidRPr="006C023E">
        <w:rPr>
          <w:rFonts w:ascii="Times New Roman" w:hAnsi="Times New Roman" w:cs="Times New Roman"/>
          <w:i/>
          <w:iCs/>
          <w:noProof/>
          <w:sz w:val="24"/>
          <w:szCs w:val="24"/>
        </w:rPr>
        <w:t>Journal of Personality Assessment</w:t>
      </w:r>
      <w:r w:rsidRPr="006C023E">
        <w:rPr>
          <w:rFonts w:ascii="Times New Roman" w:hAnsi="Times New Roman" w:cs="Times New Roman"/>
          <w:noProof/>
          <w:sz w:val="24"/>
          <w:szCs w:val="24"/>
        </w:rPr>
        <w:t xml:space="preserve">, </w:t>
      </w:r>
      <w:r w:rsidRPr="006C023E">
        <w:rPr>
          <w:rFonts w:ascii="Times New Roman" w:hAnsi="Times New Roman" w:cs="Times New Roman"/>
          <w:i/>
          <w:iCs/>
          <w:noProof/>
          <w:sz w:val="24"/>
          <w:szCs w:val="24"/>
        </w:rPr>
        <w:t>100</w:t>
      </w:r>
      <w:r w:rsidRPr="006C023E">
        <w:rPr>
          <w:rFonts w:ascii="Times New Roman" w:hAnsi="Times New Roman" w:cs="Times New Roman"/>
          <w:noProof/>
          <w:sz w:val="24"/>
          <w:szCs w:val="24"/>
        </w:rPr>
        <w:t>(4), 375–388. https://doi.org/10.1080/00223891.2017.1406362</w:t>
      </w:r>
    </w:p>
    <w:p w14:paraId="3F0A08B3" w14:textId="77777777" w:rsidR="007E3679" w:rsidRPr="006C023E" w:rsidRDefault="007E3679" w:rsidP="007E3679">
      <w:pPr>
        <w:widowControl w:val="0"/>
        <w:autoSpaceDE w:val="0"/>
        <w:autoSpaceDN w:val="0"/>
        <w:adjustRightInd w:val="0"/>
        <w:spacing w:line="480" w:lineRule="auto"/>
        <w:ind w:left="480" w:hanging="480"/>
        <w:rPr>
          <w:rFonts w:ascii="Times New Roman" w:hAnsi="Times New Roman" w:cs="Times New Roman"/>
          <w:noProof/>
          <w:sz w:val="24"/>
          <w:szCs w:val="24"/>
        </w:rPr>
      </w:pPr>
      <w:r w:rsidRPr="006C023E">
        <w:rPr>
          <w:rFonts w:ascii="Times New Roman" w:hAnsi="Times New Roman" w:cs="Times New Roman"/>
          <w:noProof/>
          <w:sz w:val="24"/>
          <w:szCs w:val="24"/>
        </w:rPr>
        <w:t xml:space="preserve">Chang, S.-C., Glymour, M. M., Rewak, M., Cornelis, M. C., Walter, S., Koenen, K. C., … Kubzansky, L. D. (2014). Are genetic variations in OXTR, AVPR1A, and CD38 genes important to social integration? Results from two large U.S. cohorts. </w:t>
      </w:r>
      <w:r w:rsidRPr="006C023E">
        <w:rPr>
          <w:rFonts w:ascii="Times New Roman" w:hAnsi="Times New Roman" w:cs="Times New Roman"/>
          <w:i/>
          <w:iCs/>
          <w:noProof/>
          <w:sz w:val="24"/>
          <w:szCs w:val="24"/>
        </w:rPr>
        <w:t>Psychoneuroendocrinology</w:t>
      </w:r>
      <w:r w:rsidRPr="006C023E">
        <w:rPr>
          <w:rFonts w:ascii="Times New Roman" w:hAnsi="Times New Roman" w:cs="Times New Roman"/>
          <w:noProof/>
          <w:sz w:val="24"/>
          <w:szCs w:val="24"/>
        </w:rPr>
        <w:t xml:space="preserve">, </w:t>
      </w:r>
      <w:r w:rsidRPr="006C023E">
        <w:rPr>
          <w:rFonts w:ascii="Times New Roman" w:hAnsi="Times New Roman" w:cs="Times New Roman"/>
          <w:i/>
          <w:iCs/>
          <w:noProof/>
          <w:sz w:val="24"/>
          <w:szCs w:val="24"/>
        </w:rPr>
        <w:t>39</w:t>
      </w:r>
      <w:r w:rsidRPr="006C023E">
        <w:rPr>
          <w:rFonts w:ascii="Times New Roman" w:hAnsi="Times New Roman" w:cs="Times New Roman"/>
          <w:noProof/>
          <w:sz w:val="24"/>
          <w:szCs w:val="24"/>
        </w:rPr>
        <w:t>, 257–268. https://doi.org/10.1016/J.PSYNEUEN.2013.09.024</w:t>
      </w:r>
    </w:p>
    <w:p w14:paraId="7EFC8C9F" w14:textId="77777777" w:rsidR="007E3679" w:rsidRPr="006C023E" w:rsidRDefault="007E3679" w:rsidP="007E3679">
      <w:pPr>
        <w:widowControl w:val="0"/>
        <w:autoSpaceDE w:val="0"/>
        <w:autoSpaceDN w:val="0"/>
        <w:adjustRightInd w:val="0"/>
        <w:spacing w:line="480" w:lineRule="auto"/>
        <w:ind w:left="480" w:hanging="480"/>
        <w:rPr>
          <w:rFonts w:ascii="Times New Roman" w:hAnsi="Times New Roman" w:cs="Times New Roman"/>
          <w:noProof/>
          <w:sz w:val="24"/>
          <w:szCs w:val="24"/>
        </w:rPr>
      </w:pPr>
      <w:r w:rsidRPr="006C023E">
        <w:rPr>
          <w:rFonts w:ascii="Times New Roman" w:hAnsi="Times New Roman" w:cs="Times New Roman"/>
          <w:noProof/>
          <w:sz w:val="24"/>
          <w:szCs w:val="24"/>
        </w:rPr>
        <w:t xml:space="preserve">Christ, C. C., Carlo, G., &amp; Stoltenberg, S. F. (2016). Oxytocin receptor ( OXTR ) single nucleotide polymorphisms indirectly predict prosocial behavior through perspective taking and empathic concern. </w:t>
      </w:r>
      <w:r w:rsidRPr="006C023E">
        <w:rPr>
          <w:rFonts w:ascii="Times New Roman" w:hAnsi="Times New Roman" w:cs="Times New Roman"/>
          <w:i/>
          <w:iCs/>
          <w:noProof/>
          <w:sz w:val="24"/>
          <w:szCs w:val="24"/>
        </w:rPr>
        <w:t>Journal of Personality</w:t>
      </w:r>
      <w:r w:rsidRPr="006C023E">
        <w:rPr>
          <w:rFonts w:ascii="Times New Roman" w:hAnsi="Times New Roman" w:cs="Times New Roman"/>
          <w:noProof/>
          <w:sz w:val="24"/>
          <w:szCs w:val="24"/>
        </w:rPr>
        <w:t xml:space="preserve">, </w:t>
      </w:r>
      <w:r w:rsidRPr="006C023E">
        <w:rPr>
          <w:rFonts w:ascii="Times New Roman" w:hAnsi="Times New Roman" w:cs="Times New Roman"/>
          <w:i/>
          <w:iCs/>
          <w:noProof/>
          <w:sz w:val="24"/>
          <w:szCs w:val="24"/>
        </w:rPr>
        <w:t>84</w:t>
      </w:r>
      <w:r w:rsidRPr="006C023E">
        <w:rPr>
          <w:rFonts w:ascii="Times New Roman" w:hAnsi="Times New Roman" w:cs="Times New Roman"/>
          <w:noProof/>
          <w:sz w:val="24"/>
          <w:szCs w:val="24"/>
        </w:rPr>
        <w:t>(2), 204–213. https://doi.org/10.1111/jopy.12152</w:t>
      </w:r>
    </w:p>
    <w:p w14:paraId="39ABA88C" w14:textId="77777777" w:rsidR="007E3679" w:rsidRPr="006C023E" w:rsidRDefault="007E3679" w:rsidP="007E3679">
      <w:pPr>
        <w:widowControl w:val="0"/>
        <w:autoSpaceDE w:val="0"/>
        <w:autoSpaceDN w:val="0"/>
        <w:adjustRightInd w:val="0"/>
        <w:spacing w:line="480" w:lineRule="auto"/>
        <w:ind w:left="480" w:hanging="480"/>
        <w:rPr>
          <w:rFonts w:ascii="Times New Roman" w:hAnsi="Times New Roman" w:cs="Times New Roman"/>
          <w:noProof/>
          <w:sz w:val="24"/>
          <w:szCs w:val="24"/>
        </w:rPr>
      </w:pPr>
      <w:r w:rsidRPr="006C023E">
        <w:rPr>
          <w:rFonts w:ascii="Times New Roman" w:hAnsi="Times New Roman" w:cs="Times New Roman"/>
          <w:noProof/>
          <w:sz w:val="24"/>
          <w:szCs w:val="24"/>
        </w:rPr>
        <w:t xml:space="preserve">Cloninger, C. R., Svrakic, D. M., &amp; Przybeck, T. R. (1993). A psychobiological model of temperament and character. </w:t>
      </w:r>
      <w:r w:rsidRPr="006C023E">
        <w:rPr>
          <w:rFonts w:ascii="Times New Roman" w:hAnsi="Times New Roman" w:cs="Times New Roman"/>
          <w:i/>
          <w:iCs/>
          <w:noProof/>
          <w:sz w:val="24"/>
          <w:szCs w:val="24"/>
        </w:rPr>
        <w:t>Archives of General Psychiatry</w:t>
      </w:r>
      <w:r w:rsidRPr="006C023E">
        <w:rPr>
          <w:rFonts w:ascii="Times New Roman" w:hAnsi="Times New Roman" w:cs="Times New Roman"/>
          <w:noProof/>
          <w:sz w:val="24"/>
          <w:szCs w:val="24"/>
        </w:rPr>
        <w:t xml:space="preserve">, </w:t>
      </w:r>
      <w:r w:rsidRPr="006C023E">
        <w:rPr>
          <w:rFonts w:ascii="Times New Roman" w:hAnsi="Times New Roman" w:cs="Times New Roman"/>
          <w:i/>
          <w:iCs/>
          <w:noProof/>
          <w:sz w:val="24"/>
          <w:szCs w:val="24"/>
        </w:rPr>
        <w:t>50</w:t>
      </w:r>
      <w:r w:rsidRPr="006C023E">
        <w:rPr>
          <w:rFonts w:ascii="Times New Roman" w:hAnsi="Times New Roman" w:cs="Times New Roman"/>
          <w:noProof/>
          <w:sz w:val="24"/>
          <w:szCs w:val="24"/>
        </w:rPr>
        <w:t>(12), 975–990. https://doi.org/10.1001/archpsyc.1993.01820240059008</w:t>
      </w:r>
    </w:p>
    <w:p w14:paraId="096DD536" w14:textId="77777777" w:rsidR="007E3679" w:rsidRPr="006C023E" w:rsidRDefault="007E3679" w:rsidP="007E3679">
      <w:pPr>
        <w:widowControl w:val="0"/>
        <w:autoSpaceDE w:val="0"/>
        <w:autoSpaceDN w:val="0"/>
        <w:adjustRightInd w:val="0"/>
        <w:spacing w:line="480" w:lineRule="auto"/>
        <w:ind w:left="480" w:hanging="480"/>
        <w:rPr>
          <w:rFonts w:ascii="Times New Roman" w:hAnsi="Times New Roman" w:cs="Times New Roman"/>
          <w:noProof/>
          <w:sz w:val="24"/>
          <w:szCs w:val="24"/>
        </w:rPr>
      </w:pPr>
      <w:r w:rsidRPr="006C023E">
        <w:rPr>
          <w:rFonts w:ascii="Times New Roman" w:hAnsi="Times New Roman" w:cs="Times New Roman"/>
          <w:noProof/>
          <w:sz w:val="24"/>
          <w:szCs w:val="24"/>
        </w:rPr>
        <w:t xml:space="preserve">Feldman, R., Zagoory-Sharon, O., Weisman, O., Schneiderman, I., Gordon, I., Maoz, R., … Ebstein, R. P. (2012). Sensitive parenting is associated with plasma oxytocin and polymorphisms in the OXTR and CD38 genes. </w:t>
      </w:r>
      <w:r w:rsidRPr="006C023E">
        <w:rPr>
          <w:rFonts w:ascii="Times New Roman" w:hAnsi="Times New Roman" w:cs="Times New Roman"/>
          <w:i/>
          <w:iCs/>
          <w:noProof/>
          <w:sz w:val="24"/>
          <w:szCs w:val="24"/>
        </w:rPr>
        <w:t>Biological Psychiatry</w:t>
      </w:r>
      <w:r w:rsidRPr="006C023E">
        <w:rPr>
          <w:rFonts w:ascii="Times New Roman" w:hAnsi="Times New Roman" w:cs="Times New Roman"/>
          <w:noProof/>
          <w:sz w:val="24"/>
          <w:szCs w:val="24"/>
        </w:rPr>
        <w:t xml:space="preserve">, </w:t>
      </w:r>
      <w:r w:rsidRPr="006C023E">
        <w:rPr>
          <w:rFonts w:ascii="Times New Roman" w:hAnsi="Times New Roman" w:cs="Times New Roman"/>
          <w:i/>
          <w:iCs/>
          <w:noProof/>
          <w:sz w:val="24"/>
          <w:szCs w:val="24"/>
        </w:rPr>
        <w:t>72</w:t>
      </w:r>
      <w:r w:rsidRPr="006C023E">
        <w:rPr>
          <w:rFonts w:ascii="Times New Roman" w:hAnsi="Times New Roman" w:cs="Times New Roman"/>
          <w:noProof/>
          <w:sz w:val="24"/>
          <w:szCs w:val="24"/>
        </w:rPr>
        <w:t>(3), 175–181. https://doi.org/10.1016/J.BIOPSYCH.2011.12.025</w:t>
      </w:r>
    </w:p>
    <w:p w14:paraId="55991DA1" w14:textId="77777777" w:rsidR="007E3679" w:rsidRPr="006C023E" w:rsidRDefault="007E3679" w:rsidP="007E3679">
      <w:pPr>
        <w:widowControl w:val="0"/>
        <w:autoSpaceDE w:val="0"/>
        <w:autoSpaceDN w:val="0"/>
        <w:adjustRightInd w:val="0"/>
        <w:spacing w:line="480" w:lineRule="auto"/>
        <w:ind w:left="480" w:hanging="480"/>
        <w:rPr>
          <w:rFonts w:ascii="Times New Roman" w:hAnsi="Times New Roman" w:cs="Times New Roman"/>
          <w:noProof/>
          <w:sz w:val="24"/>
          <w:szCs w:val="24"/>
        </w:rPr>
      </w:pPr>
      <w:r w:rsidRPr="006C023E">
        <w:rPr>
          <w:rFonts w:ascii="Times New Roman" w:hAnsi="Times New Roman" w:cs="Times New Roman"/>
          <w:noProof/>
          <w:sz w:val="24"/>
          <w:szCs w:val="24"/>
        </w:rPr>
        <w:t xml:space="preserve">Furman, D. J., Chen, M. C., &amp; Gotlib, I. H. (2011). Variant in oxytocin receptor gene is associated with amygdala volume. </w:t>
      </w:r>
      <w:r w:rsidRPr="006C023E">
        <w:rPr>
          <w:rFonts w:ascii="Times New Roman" w:hAnsi="Times New Roman" w:cs="Times New Roman"/>
          <w:i/>
          <w:iCs/>
          <w:noProof/>
          <w:sz w:val="24"/>
          <w:szCs w:val="24"/>
        </w:rPr>
        <w:t>Psychoneuroendocrinology</w:t>
      </w:r>
      <w:r w:rsidRPr="006C023E">
        <w:rPr>
          <w:rFonts w:ascii="Times New Roman" w:hAnsi="Times New Roman" w:cs="Times New Roman"/>
          <w:noProof/>
          <w:sz w:val="24"/>
          <w:szCs w:val="24"/>
        </w:rPr>
        <w:t xml:space="preserve">, </w:t>
      </w:r>
      <w:r w:rsidRPr="006C023E">
        <w:rPr>
          <w:rFonts w:ascii="Times New Roman" w:hAnsi="Times New Roman" w:cs="Times New Roman"/>
          <w:i/>
          <w:iCs/>
          <w:noProof/>
          <w:sz w:val="24"/>
          <w:szCs w:val="24"/>
        </w:rPr>
        <w:t>36</w:t>
      </w:r>
      <w:r w:rsidRPr="006C023E">
        <w:rPr>
          <w:rFonts w:ascii="Times New Roman" w:hAnsi="Times New Roman" w:cs="Times New Roman"/>
          <w:noProof/>
          <w:sz w:val="24"/>
          <w:szCs w:val="24"/>
        </w:rPr>
        <w:t>(6), 891–897. https://doi.org/10.1016/j.psyneuen.2010.12.004</w:t>
      </w:r>
    </w:p>
    <w:p w14:paraId="6E129F59" w14:textId="77777777" w:rsidR="007E3679" w:rsidRPr="006C023E" w:rsidRDefault="007E3679" w:rsidP="007E3679">
      <w:pPr>
        <w:widowControl w:val="0"/>
        <w:autoSpaceDE w:val="0"/>
        <w:autoSpaceDN w:val="0"/>
        <w:adjustRightInd w:val="0"/>
        <w:spacing w:line="480" w:lineRule="auto"/>
        <w:ind w:left="480" w:hanging="480"/>
        <w:rPr>
          <w:rFonts w:ascii="Times New Roman" w:hAnsi="Times New Roman" w:cs="Times New Roman"/>
          <w:noProof/>
          <w:sz w:val="24"/>
          <w:szCs w:val="24"/>
        </w:rPr>
      </w:pPr>
      <w:r w:rsidRPr="006C023E">
        <w:rPr>
          <w:rFonts w:ascii="Times New Roman" w:hAnsi="Times New Roman" w:cs="Times New Roman"/>
          <w:noProof/>
          <w:sz w:val="24"/>
          <w:szCs w:val="24"/>
        </w:rPr>
        <w:t>Glatt, S. J., &amp; Jönsson, E. G. (2006). The Cys allele of theDRD2 Ser311Cys polymorphism has a dominant effect on risk for schizophrenia: Evidence from fixed- and random-effects meta-</w:t>
      </w:r>
      <w:r w:rsidRPr="006C023E">
        <w:rPr>
          <w:rFonts w:ascii="Times New Roman" w:hAnsi="Times New Roman" w:cs="Times New Roman"/>
          <w:noProof/>
          <w:sz w:val="24"/>
          <w:szCs w:val="24"/>
        </w:rPr>
        <w:lastRenderedPageBreak/>
        <w:t xml:space="preserve">analyses. </w:t>
      </w:r>
      <w:r w:rsidRPr="006C023E">
        <w:rPr>
          <w:rFonts w:ascii="Times New Roman" w:hAnsi="Times New Roman" w:cs="Times New Roman"/>
          <w:i/>
          <w:iCs/>
          <w:noProof/>
          <w:sz w:val="24"/>
          <w:szCs w:val="24"/>
        </w:rPr>
        <w:t>American Journal of Medical Genetics Part B: Neuropsychiatric Genetics</w:t>
      </w:r>
      <w:r w:rsidRPr="006C023E">
        <w:rPr>
          <w:rFonts w:ascii="Times New Roman" w:hAnsi="Times New Roman" w:cs="Times New Roman"/>
          <w:noProof/>
          <w:sz w:val="24"/>
          <w:szCs w:val="24"/>
        </w:rPr>
        <w:t xml:space="preserve">, </w:t>
      </w:r>
      <w:r w:rsidRPr="006C023E">
        <w:rPr>
          <w:rFonts w:ascii="Times New Roman" w:hAnsi="Times New Roman" w:cs="Times New Roman"/>
          <w:i/>
          <w:iCs/>
          <w:noProof/>
          <w:sz w:val="24"/>
          <w:szCs w:val="24"/>
        </w:rPr>
        <w:t>141B</w:t>
      </w:r>
      <w:r w:rsidRPr="006C023E">
        <w:rPr>
          <w:rFonts w:ascii="Times New Roman" w:hAnsi="Times New Roman" w:cs="Times New Roman"/>
          <w:noProof/>
          <w:sz w:val="24"/>
          <w:szCs w:val="24"/>
        </w:rPr>
        <w:t>(2), 149–154. https://doi.org/10.1002/ajmg.b.30273</w:t>
      </w:r>
    </w:p>
    <w:p w14:paraId="5B780ED1" w14:textId="77777777" w:rsidR="007E3679" w:rsidRPr="006C023E" w:rsidRDefault="007E3679" w:rsidP="007E3679">
      <w:pPr>
        <w:widowControl w:val="0"/>
        <w:autoSpaceDE w:val="0"/>
        <w:autoSpaceDN w:val="0"/>
        <w:adjustRightInd w:val="0"/>
        <w:spacing w:line="480" w:lineRule="auto"/>
        <w:ind w:left="480" w:hanging="480"/>
        <w:rPr>
          <w:rFonts w:ascii="Times New Roman" w:hAnsi="Times New Roman" w:cs="Times New Roman"/>
          <w:noProof/>
          <w:sz w:val="24"/>
          <w:szCs w:val="24"/>
        </w:rPr>
      </w:pPr>
      <w:r w:rsidRPr="006C023E">
        <w:rPr>
          <w:rFonts w:ascii="Times New Roman" w:hAnsi="Times New Roman" w:cs="Times New Roman"/>
          <w:noProof/>
          <w:sz w:val="24"/>
          <w:szCs w:val="24"/>
        </w:rPr>
        <w:t xml:space="preserve">Goncalves, D. M., &amp; Cloninger, C. R. (2010). Validation and normative studies of the Brazilian Portuguese and American versions of the Temperament and Character Inventory - Revised (TCI-R). </w:t>
      </w:r>
      <w:r w:rsidRPr="006C023E">
        <w:rPr>
          <w:rFonts w:ascii="Times New Roman" w:hAnsi="Times New Roman" w:cs="Times New Roman"/>
          <w:i/>
          <w:iCs/>
          <w:noProof/>
          <w:sz w:val="24"/>
          <w:szCs w:val="24"/>
        </w:rPr>
        <w:t>Journal of Affective Disorders</w:t>
      </w:r>
      <w:r w:rsidRPr="006C023E">
        <w:rPr>
          <w:rFonts w:ascii="Times New Roman" w:hAnsi="Times New Roman" w:cs="Times New Roman"/>
          <w:noProof/>
          <w:sz w:val="24"/>
          <w:szCs w:val="24"/>
        </w:rPr>
        <w:t xml:space="preserve">, </w:t>
      </w:r>
      <w:r w:rsidRPr="006C023E">
        <w:rPr>
          <w:rFonts w:ascii="Times New Roman" w:hAnsi="Times New Roman" w:cs="Times New Roman"/>
          <w:i/>
          <w:iCs/>
          <w:noProof/>
          <w:sz w:val="24"/>
          <w:szCs w:val="24"/>
        </w:rPr>
        <w:t>124</w:t>
      </w:r>
      <w:r w:rsidRPr="006C023E">
        <w:rPr>
          <w:rFonts w:ascii="Times New Roman" w:hAnsi="Times New Roman" w:cs="Times New Roman"/>
          <w:noProof/>
          <w:sz w:val="24"/>
          <w:szCs w:val="24"/>
        </w:rPr>
        <w:t>(1–2), 126–133. https://doi.org/10.1016/j.jad.2009.11.007</w:t>
      </w:r>
    </w:p>
    <w:p w14:paraId="27DD60F0" w14:textId="77777777" w:rsidR="007E3679" w:rsidRPr="006C023E" w:rsidRDefault="007E3679" w:rsidP="007E3679">
      <w:pPr>
        <w:widowControl w:val="0"/>
        <w:autoSpaceDE w:val="0"/>
        <w:autoSpaceDN w:val="0"/>
        <w:adjustRightInd w:val="0"/>
        <w:spacing w:line="480" w:lineRule="auto"/>
        <w:ind w:left="480" w:hanging="480"/>
        <w:rPr>
          <w:rFonts w:ascii="Times New Roman" w:hAnsi="Times New Roman" w:cs="Times New Roman"/>
          <w:noProof/>
          <w:sz w:val="24"/>
          <w:szCs w:val="24"/>
        </w:rPr>
      </w:pPr>
      <w:r w:rsidRPr="006C023E">
        <w:rPr>
          <w:rFonts w:ascii="Times New Roman" w:hAnsi="Times New Roman" w:cs="Times New Roman"/>
          <w:noProof/>
          <w:sz w:val="24"/>
          <w:szCs w:val="24"/>
        </w:rPr>
        <w:t xml:space="preserve">Gong, P., Fan, H., Liu, J., Yang, X., Zhang, K., &amp; Zhou, X. (2017). Revisiting the impact of OXTR rs53576 on empathy: A population-based study and a meta-analysis. </w:t>
      </w:r>
      <w:r w:rsidRPr="006C023E">
        <w:rPr>
          <w:rFonts w:ascii="Times New Roman" w:hAnsi="Times New Roman" w:cs="Times New Roman"/>
          <w:i/>
          <w:iCs/>
          <w:noProof/>
          <w:sz w:val="24"/>
          <w:szCs w:val="24"/>
        </w:rPr>
        <w:t>Psychoneuroendocrinology</w:t>
      </w:r>
      <w:r w:rsidRPr="006C023E">
        <w:rPr>
          <w:rFonts w:ascii="Times New Roman" w:hAnsi="Times New Roman" w:cs="Times New Roman"/>
          <w:noProof/>
          <w:sz w:val="24"/>
          <w:szCs w:val="24"/>
        </w:rPr>
        <w:t xml:space="preserve">, </w:t>
      </w:r>
      <w:r w:rsidRPr="006C023E">
        <w:rPr>
          <w:rFonts w:ascii="Times New Roman" w:hAnsi="Times New Roman" w:cs="Times New Roman"/>
          <w:i/>
          <w:iCs/>
          <w:noProof/>
          <w:sz w:val="24"/>
          <w:szCs w:val="24"/>
        </w:rPr>
        <w:t>80</w:t>
      </w:r>
      <w:r w:rsidRPr="006C023E">
        <w:rPr>
          <w:rFonts w:ascii="Times New Roman" w:hAnsi="Times New Roman" w:cs="Times New Roman"/>
          <w:noProof/>
          <w:sz w:val="24"/>
          <w:szCs w:val="24"/>
        </w:rPr>
        <w:t>, 131–136. https://doi.org/10.1016/J.PSYNEUEN.2017.03.005</w:t>
      </w:r>
    </w:p>
    <w:p w14:paraId="72DC9813" w14:textId="4496BE7C" w:rsidR="007E3679" w:rsidRPr="006C023E" w:rsidRDefault="007E3679" w:rsidP="007E3679">
      <w:pPr>
        <w:widowControl w:val="0"/>
        <w:autoSpaceDE w:val="0"/>
        <w:autoSpaceDN w:val="0"/>
        <w:adjustRightInd w:val="0"/>
        <w:spacing w:line="480" w:lineRule="auto"/>
        <w:ind w:left="480" w:hanging="480"/>
        <w:rPr>
          <w:rFonts w:ascii="Times New Roman" w:hAnsi="Times New Roman" w:cs="Times New Roman"/>
          <w:noProof/>
          <w:sz w:val="24"/>
          <w:szCs w:val="24"/>
        </w:rPr>
      </w:pPr>
      <w:r w:rsidRPr="006C023E">
        <w:rPr>
          <w:rFonts w:ascii="Times New Roman" w:hAnsi="Times New Roman" w:cs="Times New Roman"/>
          <w:noProof/>
          <w:sz w:val="24"/>
          <w:szCs w:val="24"/>
        </w:rPr>
        <w:t xml:space="preserve">Higgins, E. T. (1998). Promotion and prevention: Regulatory focus as a motivational principle. </w:t>
      </w:r>
      <w:r w:rsidRPr="006C023E">
        <w:rPr>
          <w:rFonts w:ascii="Times New Roman" w:hAnsi="Times New Roman" w:cs="Times New Roman"/>
          <w:i/>
          <w:iCs/>
          <w:noProof/>
          <w:sz w:val="24"/>
          <w:szCs w:val="24"/>
        </w:rPr>
        <w:t>Advances in Experimental Social Psychology</w:t>
      </w:r>
      <w:r w:rsidRPr="006C023E">
        <w:rPr>
          <w:rFonts w:ascii="Times New Roman" w:hAnsi="Times New Roman" w:cs="Times New Roman"/>
          <w:noProof/>
          <w:sz w:val="24"/>
          <w:szCs w:val="24"/>
        </w:rPr>
        <w:t xml:space="preserve">, </w:t>
      </w:r>
      <w:r w:rsidRPr="006C023E">
        <w:rPr>
          <w:rFonts w:ascii="Times New Roman" w:hAnsi="Times New Roman" w:cs="Times New Roman"/>
          <w:i/>
          <w:iCs/>
          <w:noProof/>
          <w:sz w:val="24"/>
          <w:szCs w:val="24"/>
        </w:rPr>
        <w:t>30</w:t>
      </w:r>
      <w:r w:rsidRPr="006C023E">
        <w:rPr>
          <w:rFonts w:ascii="Times New Roman" w:hAnsi="Times New Roman" w:cs="Times New Roman"/>
          <w:noProof/>
          <w:sz w:val="24"/>
          <w:szCs w:val="24"/>
        </w:rPr>
        <w:t>(C), 1–46. https://doi.org/10.1016/S0065-2601(08)60381-0</w:t>
      </w:r>
    </w:p>
    <w:p w14:paraId="13C2F649" w14:textId="77777777" w:rsidR="007E3679" w:rsidRPr="006C023E" w:rsidRDefault="007E3679" w:rsidP="007E3679">
      <w:pPr>
        <w:widowControl w:val="0"/>
        <w:autoSpaceDE w:val="0"/>
        <w:autoSpaceDN w:val="0"/>
        <w:adjustRightInd w:val="0"/>
        <w:spacing w:line="480" w:lineRule="auto"/>
        <w:ind w:left="480" w:hanging="480"/>
        <w:rPr>
          <w:rFonts w:ascii="Times New Roman" w:hAnsi="Times New Roman" w:cs="Times New Roman"/>
          <w:noProof/>
          <w:sz w:val="24"/>
          <w:szCs w:val="24"/>
        </w:rPr>
      </w:pPr>
      <w:r w:rsidRPr="006C023E">
        <w:rPr>
          <w:rFonts w:ascii="Times New Roman" w:hAnsi="Times New Roman" w:cs="Times New Roman"/>
          <w:noProof/>
          <w:sz w:val="24"/>
          <w:szCs w:val="24"/>
        </w:rPr>
        <w:t xml:space="preserve">Inoue, H., Yamasue, H., Tochigi, M., Abe, O., Liu, X., Kawamura, Y., … Kasai, K. (2010). Association between the oxytocin receptor gene and amygdalar volume in healthy adults. </w:t>
      </w:r>
      <w:r w:rsidRPr="006C023E">
        <w:rPr>
          <w:rFonts w:ascii="Times New Roman" w:hAnsi="Times New Roman" w:cs="Times New Roman"/>
          <w:i/>
          <w:iCs/>
          <w:noProof/>
          <w:sz w:val="24"/>
          <w:szCs w:val="24"/>
        </w:rPr>
        <w:t>Biological Psychiatry</w:t>
      </w:r>
      <w:r w:rsidRPr="006C023E">
        <w:rPr>
          <w:rFonts w:ascii="Times New Roman" w:hAnsi="Times New Roman" w:cs="Times New Roman"/>
          <w:noProof/>
          <w:sz w:val="24"/>
          <w:szCs w:val="24"/>
        </w:rPr>
        <w:t xml:space="preserve">, </w:t>
      </w:r>
      <w:r w:rsidRPr="006C023E">
        <w:rPr>
          <w:rFonts w:ascii="Times New Roman" w:hAnsi="Times New Roman" w:cs="Times New Roman"/>
          <w:i/>
          <w:iCs/>
          <w:noProof/>
          <w:sz w:val="24"/>
          <w:szCs w:val="24"/>
        </w:rPr>
        <w:t>68</w:t>
      </w:r>
      <w:r w:rsidRPr="006C023E">
        <w:rPr>
          <w:rFonts w:ascii="Times New Roman" w:hAnsi="Times New Roman" w:cs="Times New Roman"/>
          <w:noProof/>
          <w:sz w:val="24"/>
          <w:szCs w:val="24"/>
        </w:rPr>
        <w:t>(11), 1066–1072. https://doi.org/10.1016/J.BIOPSYCH.2010.07.019</w:t>
      </w:r>
    </w:p>
    <w:p w14:paraId="396EF8DB" w14:textId="4BCF42FC" w:rsidR="007E3679" w:rsidRPr="006C023E" w:rsidRDefault="007E3679" w:rsidP="007E3679">
      <w:pPr>
        <w:widowControl w:val="0"/>
        <w:autoSpaceDE w:val="0"/>
        <w:autoSpaceDN w:val="0"/>
        <w:adjustRightInd w:val="0"/>
        <w:spacing w:line="480" w:lineRule="auto"/>
        <w:ind w:left="480" w:hanging="480"/>
        <w:rPr>
          <w:rFonts w:ascii="Times New Roman" w:hAnsi="Times New Roman" w:cs="Times New Roman"/>
          <w:noProof/>
          <w:sz w:val="24"/>
          <w:szCs w:val="24"/>
        </w:rPr>
      </w:pPr>
      <w:r w:rsidRPr="006C023E">
        <w:rPr>
          <w:rFonts w:ascii="Times New Roman" w:hAnsi="Times New Roman" w:cs="Times New Roman"/>
          <w:noProof/>
          <w:sz w:val="24"/>
          <w:szCs w:val="24"/>
        </w:rPr>
        <w:t xml:space="preserve">Keller, J., &amp; Pfattheicher, S. (2013). The compassion-hostility paradox: The interplay of vigilant, prevention-focused self-regulation, compassion, and hostility. </w:t>
      </w:r>
      <w:r w:rsidRPr="006C023E">
        <w:rPr>
          <w:rFonts w:ascii="Times New Roman" w:hAnsi="Times New Roman" w:cs="Times New Roman"/>
          <w:i/>
          <w:iCs/>
          <w:noProof/>
          <w:sz w:val="24"/>
          <w:szCs w:val="24"/>
        </w:rPr>
        <w:t>Personality and Social Psychology Bulletin</w:t>
      </w:r>
      <w:r w:rsidRPr="006C023E">
        <w:rPr>
          <w:rFonts w:ascii="Times New Roman" w:hAnsi="Times New Roman" w:cs="Times New Roman"/>
          <w:noProof/>
          <w:sz w:val="24"/>
          <w:szCs w:val="24"/>
        </w:rPr>
        <w:t xml:space="preserve">, </w:t>
      </w:r>
      <w:r w:rsidRPr="006C023E">
        <w:rPr>
          <w:rFonts w:ascii="Times New Roman" w:hAnsi="Times New Roman" w:cs="Times New Roman"/>
          <w:i/>
          <w:iCs/>
          <w:noProof/>
          <w:sz w:val="24"/>
          <w:szCs w:val="24"/>
        </w:rPr>
        <w:t>39</w:t>
      </w:r>
      <w:r w:rsidRPr="006C023E">
        <w:rPr>
          <w:rFonts w:ascii="Times New Roman" w:hAnsi="Times New Roman" w:cs="Times New Roman"/>
          <w:noProof/>
          <w:sz w:val="24"/>
          <w:szCs w:val="24"/>
        </w:rPr>
        <w:t>(11), 1518–1529. https://doi.org/10.1177/0146167213499024</w:t>
      </w:r>
    </w:p>
    <w:p w14:paraId="714DB515" w14:textId="46C8C811" w:rsidR="007E3679" w:rsidRPr="006C023E" w:rsidRDefault="007E3679" w:rsidP="007E3679">
      <w:pPr>
        <w:widowControl w:val="0"/>
        <w:autoSpaceDE w:val="0"/>
        <w:autoSpaceDN w:val="0"/>
        <w:adjustRightInd w:val="0"/>
        <w:spacing w:line="480" w:lineRule="auto"/>
        <w:ind w:left="480" w:hanging="480"/>
        <w:rPr>
          <w:rFonts w:ascii="Times New Roman" w:hAnsi="Times New Roman" w:cs="Times New Roman"/>
          <w:noProof/>
          <w:sz w:val="24"/>
          <w:szCs w:val="24"/>
        </w:rPr>
      </w:pPr>
      <w:r w:rsidRPr="006C023E">
        <w:rPr>
          <w:rFonts w:ascii="Times New Roman" w:hAnsi="Times New Roman" w:cs="Times New Roman"/>
          <w:noProof/>
          <w:sz w:val="24"/>
          <w:szCs w:val="24"/>
        </w:rPr>
        <w:t xml:space="preserve">Kocabas, N. A., Faghel, C., Barreto, M., Kasper, S., Linotte, S., Mendlewicz, J., … Massat, I. (2010). The impact of catechol-O-methyltransferase SNPs and haplotypes on treatment response phenotypes in major depressive disorder: A case–control association study. </w:t>
      </w:r>
      <w:r w:rsidRPr="006C023E">
        <w:rPr>
          <w:rFonts w:ascii="Times New Roman" w:hAnsi="Times New Roman" w:cs="Times New Roman"/>
          <w:i/>
          <w:iCs/>
          <w:noProof/>
          <w:sz w:val="24"/>
          <w:szCs w:val="24"/>
        </w:rPr>
        <w:t>International Clinical Psychopharmacology</w:t>
      </w:r>
      <w:r w:rsidRPr="006C023E">
        <w:rPr>
          <w:rFonts w:ascii="Times New Roman" w:hAnsi="Times New Roman" w:cs="Times New Roman"/>
          <w:noProof/>
          <w:sz w:val="24"/>
          <w:szCs w:val="24"/>
        </w:rPr>
        <w:t xml:space="preserve">, </w:t>
      </w:r>
      <w:r w:rsidRPr="006C023E">
        <w:rPr>
          <w:rFonts w:ascii="Times New Roman" w:hAnsi="Times New Roman" w:cs="Times New Roman"/>
          <w:i/>
          <w:iCs/>
          <w:noProof/>
          <w:sz w:val="24"/>
          <w:szCs w:val="24"/>
        </w:rPr>
        <w:t>25</w:t>
      </w:r>
      <w:r w:rsidRPr="006C023E">
        <w:rPr>
          <w:rFonts w:ascii="Times New Roman" w:hAnsi="Times New Roman" w:cs="Times New Roman"/>
          <w:noProof/>
          <w:sz w:val="24"/>
          <w:szCs w:val="24"/>
        </w:rPr>
        <w:t>(4), 218–227. https://doi.org/10.1097/YIC.0b013e328338b884</w:t>
      </w:r>
    </w:p>
    <w:p w14:paraId="4D28EA6D" w14:textId="77777777" w:rsidR="007E3679" w:rsidRPr="006C023E" w:rsidRDefault="007E3679" w:rsidP="007E3679">
      <w:pPr>
        <w:widowControl w:val="0"/>
        <w:autoSpaceDE w:val="0"/>
        <w:autoSpaceDN w:val="0"/>
        <w:adjustRightInd w:val="0"/>
        <w:spacing w:line="480" w:lineRule="auto"/>
        <w:ind w:left="480" w:hanging="480"/>
        <w:rPr>
          <w:rFonts w:ascii="Times New Roman" w:hAnsi="Times New Roman" w:cs="Times New Roman"/>
          <w:noProof/>
          <w:sz w:val="24"/>
          <w:szCs w:val="24"/>
        </w:rPr>
      </w:pPr>
      <w:r w:rsidRPr="006C023E">
        <w:rPr>
          <w:rFonts w:ascii="Times New Roman" w:hAnsi="Times New Roman" w:cs="Times New Roman"/>
          <w:noProof/>
          <w:sz w:val="24"/>
          <w:szCs w:val="24"/>
        </w:rPr>
        <w:lastRenderedPageBreak/>
        <w:t xml:space="preserve">Pearce, E., Wlodarski, R., Machin, A., &amp; Dunbar, R. I. M. (2017). Variation in the β-endorphin, oxytocin, and dopamine receptor genes is associated with different dimensions of human sociality. </w:t>
      </w:r>
      <w:r w:rsidRPr="006C023E">
        <w:rPr>
          <w:rFonts w:ascii="Times New Roman" w:hAnsi="Times New Roman" w:cs="Times New Roman"/>
          <w:i/>
          <w:iCs/>
          <w:noProof/>
          <w:sz w:val="24"/>
          <w:szCs w:val="24"/>
        </w:rPr>
        <w:t>Proceedings of the National Academy of Sciences of the United States of America</w:t>
      </w:r>
      <w:r w:rsidRPr="006C023E">
        <w:rPr>
          <w:rFonts w:ascii="Times New Roman" w:hAnsi="Times New Roman" w:cs="Times New Roman"/>
          <w:noProof/>
          <w:sz w:val="24"/>
          <w:szCs w:val="24"/>
        </w:rPr>
        <w:t xml:space="preserve">, </w:t>
      </w:r>
      <w:r w:rsidRPr="006C023E">
        <w:rPr>
          <w:rFonts w:ascii="Times New Roman" w:hAnsi="Times New Roman" w:cs="Times New Roman"/>
          <w:i/>
          <w:iCs/>
          <w:noProof/>
          <w:sz w:val="24"/>
          <w:szCs w:val="24"/>
        </w:rPr>
        <w:t>114</w:t>
      </w:r>
      <w:r w:rsidRPr="006C023E">
        <w:rPr>
          <w:rFonts w:ascii="Times New Roman" w:hAnsi="Times New Roman" w:cs="Times New Roman"/>
          <w:noProof/>
          <w:sz w:val="24"/>
          <w:szCs w:val="24"/>
        </w:rPr>
        <w:t>(20), 5300–5305. https://doi.org/10.1073/pnas.1700712114</w:t>
      </w:r>
    </w:p>
    <w:p w14:paraId="35B644EB" w14:textId="77777777" w:rsidR="007E3679" w:rsidRPr="006C023E" w:rsidRDefault="007E3679" w:rsidP="007E3679">
      <w:pPr>
        <w:widowControl w:val="0"/>
        <w:autoSpaceDE w:val="0"/>
        <w:autoSpaceDN w:val="0"/>
        <w:adjustRightInd w:val="0"/>
        <w:spacing w:line="480" w:lineRule="auto"/>
        <w:ind w:left="480" w:hanging="480"/>
        <w:rPr>
          <w:rFonts w:ascii="Times New Roman" w:hAnsi="Times New Roman" w:cs="Times New Roman"/>
          <w:noProof/>
          <w:sz w:val="24"/>
          <w:szCs w:val="24"/>
        </w:rPr>
      </w:pPr>
      <w:r w:rsidRPr="006C023E">
        <w:rPr>
          <w:rFonts w:ascii="Times New Roman" w:hAnsi="Times New Roman" w:cs="Times New Roman"/>
          <w:noProof/>
          <w:sz w:val="24"/>
          <w:szCs w:val="24"/>
        </w:rPr>
        <w:t xml:space="preserve">Riebold, M., Mankuta, D., Lerer, E., Israel, S., Zhong, S., Nemanov, L., … Ebstein, R. P. (2011). All-trans retinoic acid upregulates reduced CD38 transcription in lymphoblastoid cell lines from autism spectrum disorder. </w:t>
      </w:r>
      <w:r w:rsidRPr="006C023E">
        <w:rPr>
          <w:rFonts w:ascii="Times New Roman" w:hAnsi="Times New Roman" w:cs="Times New Roman"/>
          <w:i/>
          <w:iCs/>
          <w:noProof/>
          <w:sz w:val="24"/>
          <w:szCs w:val="24"/>
        </w:rPr>
        <w:t>Molecular Medicine</w:t>
      </w:r>
      <w:r w:rsidRPr="006C023E">
        <w:rPr>
          <w:rFonts w:ascii="Times New Roman" w:hAnsi="Times New Roman" w:cs="Times New Roman"/>
          <w:noProof/>
          <w:sz w:val="24"/>
          <w:szCs w:val="24"/>
        </w:rPr>
        <w:t xml:space="preserve">, </w:t>
      </w:r>
      <w:r w:rsidRPr="006C023E">
        <w:rPr>
          <w:rFonts w:ascii="Times New Roman" w:hAnsi="Times New Roman" w:cs="Times New Roman"/>
          <w:i/>
          <w:iCs/>
          <w:noProof/>
          <w:sz w:val="24"/>
          <w:szCs w:val="24"/>
        </w:rPr>
        <w:t>17</w:t>
      </w:r>
      <w:r w:rsidRPr="006C023E">
        <w:rPr>
          <w:rFonts w:ascii="Times New Roman" w:hAnsi="Times New Roman" w:cs="Times New Roman"/>
          <w:noProof/>
          <w:sz w:val="24"/>
          <w:szCs w:val="24"/>
        </w:rPr>
        <w:t>(7–8), 799–806. https://doi.org/10.2119/molmed.2011.00080</w:t>
      </w:r>
    </w:p>
    <w:p w14:paraId="2C7EC5BC" w14:textId="77777777" w:rsidR="007E3679" w:rsidRPr="006C023E" w:rsidRDefault="007E3679" w:rsidP="007E3679">
      <w:pPr>
        <w:widowControl w:val="0"/>
        <w:autoSpaceDE w:val="0"/>
        <w:autoSpaceDN w:val="0"/>
        <w:adjustRightInd w:val="0"/>
        <w:spacing w:line="480" w:lineRule="auto"/>
        <w:ind w:left="480" w:hanging="480"/>
        <w:rPr>
          <w:rFonts w:ascii="Times New Roman" w:hAnsi="Times New Roman" w:cs="Times New Roman"/>
          <w:noProof/>
          <w:sz w:val="24"/>
          <w:szCs w:val="24"/>
        </w:rPr>
      </w:pPr>
      <w:r w:rsidRPr="006C023E">
        <w:rPr>
          <w:rFonts w:ascii="Times New Roman" w:hAnsi="Times New Roman" w:cs="Times New Roman"/>
          <w:noProof/>
          <w:sz w:val="24"/>
          <w:szCs w:val="24"/>
        </w:rPr>
        <w:t xml:space="preserve">Schneiderman, I., Kanat-Maymon, Y., Ebstein, R. P., &amp; Feldman, R. (2014). Cumulative risk on the oxytocin receptor gene ( </w:t>
      </w:r>
      <w:r w:rsidRPr="006C023E">
        <w:rPr>
          <w:rFonts w:ascii="Times New Roman" w:hAnsi="Times New Roman" w:cs="Times New Roman"/>
          <w:i/>
          <w:iCs/>
          <w:noProof/>
          <w:sz w:val="24"/>
          <w:szCs w:val="24"/>
        </w:rPr>
        <w:t>OXTR</w:t>
      </w:r>
      <w:r w:rsidRPr="006C023E">
        <w:rPr>
          <w:rFonts w:ascii="Times New Roman" w:hAnsi="Times New Roman" w:cs="Times New Roman"/>
          <w:noProof/>
          <w:sz w:val="24"/>
          <w:szCs w:val="24"/>
        </w:rPr>
        <w:t xml:space="preserve"> ) underpins empathic communication difficulties at the first stages of romantic love. </w:t>
      </w:r>
      <w:r w:rsidRPr="006C023E">
        <w:rPr>
          <w:rFonts w:ascii="Times New Roman" w:hAnsi="Times New Roman" w:cs="Times New Roman"/>
          <w:i/>
          <w:iCs/>
          <w:noProof/>
          <w:sz w:val="24"/>
          <w:szCs w:val="24"/>
        </w:rPr>
        <w:t>Social Cognitive and Affective Neuroscience</w:t>
      </w:r>
      <w:r w:rsidRPr="006C023E">
        <w:rPr>
          <w:rFonts w:ascii="Times New Roman" w:hAnsi="Times New Roman" w:cs="Times New Roman"/>
          <w:noProof/>
          <w:sz w:val="24"/>
          <w:szCs w:val="24"/>
        </w:rPr>
        <w:t xml:space="preserve">, </w:t>
      </w:r>
      <w:r w:rsidRPr="006C023E">
        <w:rPr>
          <w:rFonts w:ascii="Times New Roman" w:hAnsi="Times New Roman" w:cs="Times New Roman"/>
          <w:i/>
          <w:iCs/>
          <w:noProof/>
          <w:sz w:val="24"/>
          <w:szCs w:val="24"/>
        </w:rPr>
        <w:t>9</w:t>
      </w:r>
      <w:r w:rsidRPr="006C023E">
        <w:rPr>
          <w:rFonts w:ascii="Times New Roman" w:hAnsi="Times New Roman" w:cs="Times New Roman"/>
          <w:noProof/>
          <w:sz w:val="24"/>
          <w:szCs w:val="24"/>
        </w:rPr>
        <w:t>(10), 1524–1529. https://doi.org/10.1093/scan/nst142</w:t>
      </w:r>
    </w:p>
    <w:p w14:paraId="16749963" w14:textId="77777777" w:rsidR="007E3679" w:rsidRPr="006C023E" w:rsidRDefault="007E3679" w:rsidP="007E3679">
      <w:pPr>
        <w:widowControl w:val="0"/>
        <w:autoSpaceDE w:val="0"/>
        <w:autoSpaceDN w:val="0"/>
        <w:adjustRightInd w:val="0"/>
        <w:spacing w:line="480" w:lineRule="auto"/>
        <w:ind w:left="480" w:hanging="480"/>
        <w:rPr>
          <w:rFonts w:ascii="Times New Roman" w:hAnsi="Times New Roman" w:cs="Times New Roman"/>
          <w:noProof/>
          <w:sz w:val="24"/>
          <w:szCs w:val="24"/>
        </w:rPr>
      </w:pPr>
      <w:r w:rsidRPr="006C023E">
        <w:rPr>
          <w:rFonts w:ascii="Times New Roman" w:hAnsi="Times New Roman" w:cs="Times New Roman"/>
          <w:noProof/>
          <w:sz w:val="24"/>
          <w:szCs w:val="24"/>
        </w:rPr>
        <w:t xml:space="preserve">Tang, Y., Epstein, M. P., Anderson, G. M., Zabetian, C. P., &amp; Cubells, J. F. (2007). Genotypic and haplotypic associations of the DBH gene with plasma dopamine β-hydroxylase activity in African Americans. </w:t>
      </w:r>
      <w:r w:rsidRPr="006C023E">
        <w:rPr>
          <w:rFonts w:ascii="Times New Roman" w:hAnsi="Times New Roman" w:cs="Times New Roman"/>
          <w:i/>
          <w:iCs/>
          <w:noProof/>
          <w:sz w:val="24"/>
          <w:szCs w:val="24"/>
        </w:rPr>
        <w:t>European Journal of Human Genetics</w:t>
      </w:r>
      <w:r w:rsidRPr="006C023E">
        <w:rPr>
          <w:rFonts w:ascii="Times New Roman" w:hAnsi="Times New Roman" w:cs="Times New Roman"/>
          <w:noProof/>
          <w:sz w:val="24"/>
          <w:szCs w:val="24"/>
        </w:rPr>
        <w:t xml:space="preserve">, </w:t>
      </w:r>
      <w:r w:rsidRPr="006C023E">
        <w:rPr>
          <w:rFonts w:ascii="Times New Roman" w:hAnsi="Times New Roman" w:cs="Times New Roman"/>
          <w:i/>
          <w:iCs/>
          <w:noProof/>
          <w:sz w:val="24"/>
          <w:szCs w:val="24"/>
        </w:rPr>
        <w:t>15</w:t>
      </w:r>
      <w:r w:rsidRPr="006C023E">
        <w:rPr>
          <w:rFonts w:ascii="Times New Roman" w:hAnsi="Times New Roman" w:cs="Times New Roman"/>
          <w:noProof/>
          <w:sz w:val="24"/>
          <w:szCs w:val="24"/>
        </w:rPr>
        <w:t>(8), 878–883. https://doi.org/10.1038/sj.ejhg.5201838</w:t>
      </w:r>
    </w:p>
    <w:p w14:paraId="122D2783" w14:textId="77777777" w:rsidR="007E3679" w:rsidRPr="006C023E" w:rsidRDefault="007E3679" w:rsidP="007E3679">
      <w:pPr>
        <w:widowControl w:val="0"/>
        <w:autoSpaceDE w:val="0"/>
        <w:autoSpaceDN w:val="0"/>
        <w:adjustRightInd w:val="0"/>
        <w:spacing w:line="480" w:lineRule="auto"/>
        <w:ind w:left="480" w:hanging="480"/>
        <w:rPr>
          <w:rFonts w:ascii="Times New Roman" w:hAnsi="Times New Roman" w:cs="Times New Roman"/>
          <w:noProof/>
          <w:sz w:val="24"/>
          <w:szCs w:val="24"/>
        </w:rPr>
      </w:pPr>
      <w:r w:rsidRPr="006C023E">
        <w:rPr>
          <w:rFonts w:ascii="Times New Roman" w:hAnsi="Times New Roman" w:cs="Times New Roman"/>
          <w:noProof/>
          <w:sz w:val="24"/>
          <w:szCs w:val="24"/>
        </w:rPr>
        <w:t xml:space="preserve">Tost, H., Kolachana, B., Hakimi, S., Lemaitre, H., Verchinski, B. A., Mattay, V. S., … Meyer-Lindenberg, A. (2010). A common allele in the oxytocin receptor gene (OXTR) impacts prosocial temperament and human hypothalamic-limbic structure and function. </w:t>
      </w:r>
      <w:r w:rsidRPr="006C023E">
        <w:rPr>
          <w:rFonts w:ascii="Times New Roman" w:hAnsi="Times New Roman" w:cs="Times New Roman"/>
          <w:i/>
          <w:iCs/>
          <w:noProof/>
          <w:sz w:val="24"/>
          <w:szCs w:val="24"/>
        </w:rPr>
        <w:t>Proceedings of the National Academy of Sciences of the United States of America</w:t>
      </w:r>
      <w:r w:rsidRPr="006C023E">
        <w:rPr>
          <w:rFonts w:ascii="Times New Roman" w:hAnsi="Times New Roman" w:cs="Times New Roman"/>
          <w:noProof/>
          <w:sz w:val="24"/>
          <w:szCs w:val="24"/>
        </w:rPr>
        <w:t xml:space="preserve">, </w:t>
      </w:r>
      <w:r w:rsidRPr="006C023E">
        <w:rPr>
          <w:rFonts w:ascii="Times New Roman" w:hAnsi="Times New Roman" w:cs="Times New Roman"/>
          <w:i/>
          <w:iCs/>
          <w:noProof/>
          <w:sz w:val="24"/>
          <w:szCs w:val="24"/>
        </w:rPr>
        <w:t>107</w:t>
      </w:r>
      <w:r w:rsidRPr="006C023E">
        <w:rPr>
          <w:rFonts w:ascii="Times New Roman" w:hAnsi="Times New Roman" w:cs="Times New Roman"/>
          <w:noProof/>
          <w:sz w:val="24"/>
          <w:szCs w:val="24"/>
        </w:rPr>
        <w:t>(31), 13936–13941. https://doi.org/10.1073/pnas.1003296107</w:t>
      </w:r>
    </w:p>
    <w:p w14:paraId="69517712" w14:textId="77777777" w:rsidR="007E3679" w:rsidRPr="006C023E" w:rsidRDefault="007E3679" w:rsidP="007E3679">
      <w:pPr>
        <w:widowControl w:val="0"/>
        <w:autoSpaceDE w:val="0"/>
        <w:autoSpaceDN w:val="0"/>
        <w:adjustRightInd w:val="0"/>
        <w:spacing w:line="480" w:lineRule="auto"/>
        <w:ind w:left="480" w:hanging="480"/>
        <w:rPr>
          <w:rFonts w:ascii="Times New Roman" w:hAnsi="Times New Roman" w:cs="Times New Roman"/>
          <w:noProof/>
          <w:sz w:val="24"/>
          <w:szCs w:val="24"/>
        </w:rPr>
      </w:pPr>
      <w:r w:rsidRPr="006C023E">
        <w:rPr>
          <w:rFonts w:ascii="Times New Roman" w:hAnsi="Times New Roman" w:cs="Times New Roman"/>
          <w:noProof/>
          <w:sz w:val="24"/>
          <w:szCs w:val="24"/>
        </w:rPr>
        <w:t xml:space="preserve">Tost, H., Kolachana, B., Verchinski, B. A., Bilek, E., Goldman, A. L., Mattay, V. S., … Meyer-Lindenberg, A. (2011). Neurogenetic effects of OXTR rs2254298 in the extended limbic system of healthy Caucasian adults. </w:t>
      </w:r>
      <w:r w:rsidRPr="006C023E">
        <w:rPr>
          <w:rFonts w:ascii="Times New Roman" w:hAnsi="Times New Roman" w:cs="Times New Roman"/>
          <w:i/>
          <w:iCs/>
          <w:noProof/>
          <w:sz w:val="24"/>
          <w:szCs w:val="24"/>
        </w:rPr>
        <w:t>Biological Psychiatry</w:t>
      </w:r>
      <w:r w:rsidRPr="006C023E">
        <w:rPr>
          <w:rFonts w:ascii="Times New Roman" w:hAnsi="Times New Roman" w:cs="Times New Roman"/>
          <w:noProof/>
          <w:sz w:val="24"/>
          <w:szCs w:val="24"/>
        </w:rPr>
        <w:t xml:space="preserve">, </w:t>
      </w:r>
      <w:r w:rsidRPr="006C023E">
        <w:rPr>
          <w:rFonts w:ascii="Times New Roman" w:hAnsi="Times New Roman" w:cs="Times New Roman"/>
          <w:i/>
          <w:iCs/>
          <w:noProof/>
          <w:sz w:val="24"/>
          <w:szCs w:val="24"/>
        </w:rPr>
        <w:t>70</w:t>
      </w:r>
      <w:r w:rsidRPr="006C023E">
        <w:rPr>
          <w:rFonts w:ascii="Times New Roman" w:hAnsi="Times New Roman" w:cs="Times New Roman"/>
          <w:noProof/>
          <w:sz w:val="24"/>
          <w:szCs w:val="24"/>
        </w:rPr>
        <w:t xml:space="preserve">(9), e37–e39. </w:t>
      </w:r>
      <w:r w:rsidRPr="006C023E">
        <w:rPr>
          <w:rFonts w:ascii="Times New Roman" w:hAnsi="Times New Roman" w:cs="Times New Roman"/>
          <w:noProof/>
          <w:sz w:val="24"/>
          <w:szCs w:val="24"/>
        </w:rPr>
        <w:lastRenderedPageBreak/>
        <w:t>https://doi.org/10.1016/J.BIOPSYCH.2011.06.034</w:t>
      </w:r>
    </w:p>
    <w:p w14:paraId="7551ED5D" w14:textId="77777777" w:rsidR="007E3679" w:rsidRPr="006C023E" w:rsidRDefault="007E3679" w:rsidP="007E3679">
      <w:pPr>
        <w:widowControl w:val="0"/>
        <w:autoSpaceDE w:val="0"/>
        <w:autoSpaceDN w:val="0"/>
        <w:adjustRightInd w:val="0"/>
        <w:spacing w:line="480" w:lineRule="auto"/>
        <w:ind w:left="480" w:hanging="480"/>
        <w:rPr>
          <w:rFonts w:ascii="Times New Roman" w:hAnsi="Times New Roman" w:cs="Times New Roman"/>
          <w:noProof/>
          <w:sz w:val="24"/>
          <w:szCs w:val="24"/>
        </w:rPr>
      </w:pPr>
      <w:r w:rsidRPr="006C023E">
        <w:rPr>
          <w:rFonts w:ascii="Times New Roman" w:hAnsi="Times New Roman" w:cs="Times New Roman"/>
          <w:noProof/>
          <w:sz w:val="24"/>
          <w:szCs w:val="24"/>
        </w:rPr>
        <w:t xml:space="preserve">Vitoratou, S., Ntzoufras, I., Theleritis, C., Smyrnis, N., &amp; Stefanis, N. C. (2015). Temperament and character dimensions assessed in general population, in individuals with psychoactive substance dependence and in young male conscripts. </w:t>
      </w:r>
      <w:r w:rsidRPr="006C023E">
        <w:rPr>
          <w:rFonts w:ascii="Times New Roman" w:hAnsi="Times New Roman" w:cs="Times New Roman"/>
          <w:i/>
          <w:iCs/>
          <w:noProof/>
          <w:sz w:val="24"/>
          <w:szCs w:val="24"/>
        </w:rPr>
        <w:t>European Psychiatry</w:t>
      </w:r>
      <w:r w:rsidRPr="006C023E">
        <w:rPr>
          <w:rFonts w:ascii="Times New Roman" w:hAnsi="Times New Roman" w:cs="Times New Roman"/>
          <w:noProof/>
          <w:sz w:val="24"/>
          <w:szCs w:val="24"/>
        </w:rPr>
        <w:t xml:space="preserve">, </w:t>
      </w:r>
      <w:r w:rsidRPr="006C023E">
        <w:rPr>
          <w:rFonts w:ascii="Times New Roman" w:hAnsi="Times New Roman" w:cs="Times New Roman"/>
          <w:i/>
          <w:iCs/>
          <w:noProof/>
          <w:sz w:val="24"/>
          <w:szCs w:val="24"/>
        </w:rPr>
        <w:t>30</w:t>
      </w:r>
      <w:r w:rsidRPr="006C023E">
        <w:rPr>
          <w:rFonts w:ascii="Times New Roman" w:hAnsi="Times New Roman" w:cs="Times New Roman"/>
          <w:noProof/>
          <w:sz w:val="24"/>
          <w:szCs w:val="24"/>
        </w:rPr>
        <w:t>(4), 474–479. https://doi.org/10.1016/j.eurpsy.2015.01.007</w:t>
      </w:r>
    </w:p>
    <w:p w14:paraId="630C0457" w14:textId="77777777" w:rsidR="007E3679" w:rsidRPr="006C023E" w:rsidRDefault="007E3679" w:rsidP="007E3679">
      <w:pPr>
        <w:widowControl w:val="0"/>
        <w:autoSpaceDE w:val="0"/>
        <w:autoSpaceDN w:val="0"/>
        <w:adjustRightInd w:val="0"/>
        <w:spacing w:line="480" w:lineRule="auto"/>
        <w:ind w:left="480" w:hanging="480"/>
        <w:rPr>
          <w:rFonts w:ascii="Times New Roman" w:hAnsi="Times New Roman" w:cs="Times New Roman"/>
          <w:noProof/>
          <w:sz w:val="24"/>
          <w:szCs w:val="24"/>
        </w:rPr>
      </w:pPr>
      <w:r w:rsidRPr="006C023E">
        <w:rPr>
          <w:rFonts w:ascii="Times New Roman" w:hAnsi="Times New Roman" w:cs="Times New Roman"/>
          <w:noProof/>
          <w:sz w:val="24"/>
          <w:szCs w:val="24"/>
        </w:rPr>
        <w:t xml:space="preserve">Wu, N., Li, Z., &amp; Su, Y. (2012). The association between oxytocin receptor gene polymorphism (OXTR) and trait empathy. </w:t>
      </w:r>
      <w:r w:rsidRPr="006C023E">
        <w:rPr>
          <w:rFonts w:ascii="Times New Roman" w:hAnsi="Times New Roman" w:cs="Times New Roman"/>
          <w:i/>
          <w:iCs/>
          <w:noProof/>
          <w:sz w:val="24"/>
          <w:szCs w:val="24"/>
        </w:rPr>
        <w:t>Journal of Affective Disorders</w:t>
      </w:r>
      <w:r w:rsidRPr="006C023E">
        <w:rPr>
          <w:rFonts w:ascii="Times New Roman" w:hAnsi="Times New Roman" w:cs="Times New Roman"/>
          <w:noProof/>
          <w:sz w:val="24"/>
          <w:szCs w:val="24"/>
        </w:rPr>
        <w:t xml:space="preserve">, </w:t>
      </w:r>
      <w:r w:rsidRPr="006C023E">
        <w:rPr>
          <w:rFonts w:ascii="Times New Roman" w:hAnsi="Times New Roman" w:cs="Times New Roman"/>
          <w:i/>
          <w:iCs/>
          <w:noProof/>
          <w:sz w:val="24"/>
          <w:szCs w:val="24"/>
        </w:rPr>
        <w:t>138</w:t>
      </w:r>
      <w:r w:rsidRPr="006C023E">
        <w:rPr>
          <w:rFonts w:ascii="Times New Roman" w:hAnsi="Times New Roman" w:cs="Times New Roman"/>
          <w:noProof/>
          <w:sz w:val="24"/>
          <w:szCs w:val="24"/>
        </w:rPr>
        <w:t>(3), 468–472. https://doi.org/10.1016/j.jad.2012.01.009</w:t>
      </w:r>
    </w:p>
    <w:p w14:paraId="246F7424" w14:textId="12C10DDD" w:rsidR="007E3679" w:rsidRPr="006C023E" w:rsidRDefault="007E3679" w:rsidP="007E3679">
      <w:pPr>
        <w:spacing w:line="480" w:lineRule="auto"/>
        <w:rPr>
          <w:rFonts w:ascii="Times New Roman" w:hAnsi="Times New Roman" w:cs="Times New Roman"/>
          <w:sz w:val="24"/>
          <w:szCs w:val="24"/>
        </w:rPr>
      </w:pPr>
      <w:r w:rsidRPr="006C023E">
        <w:rPr>
          <w:rFonts w:ascii="Times New Roman" w:hAnsi="Times New Roman" w:cs="Times New Roman"/>
          <w:sz w:val="24"/>
          <w:szCs w:val="24"/>
        </w:rPr>
        <w:fldChar w:fldCharType="end"/>
      </w:r>
    </w:p>
    <w:p w14:paraId="2B9F3703" w14:textId="6193A459" w:rsidR="00E63DF9" w:rsidRPr="006C023E" w:rsidRDefault="00E63DF9" w:rsidP="00DF0347">
      <w:pPr>
        <w:spacing w:line="480" w:lineRule="auto"/>
      </w:pPr>
    </w:p>
    <w:sectPr w:rsidR="00E63DF9" w:rsidRPr="006C023E" w:rsidSect="009D1103">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01154" w14:textId="77777777" w:rsidR="00A54A04" w:rsidRDefault="00A54A04">
      <w:pPr>
        <w:spacing w:after="0" w:line="240" w:lineRule="auto"/>
      </w:pPr>
      <w:r>
        <w:separator/>
      </w:r>
    </w:p>
  </w:endnote>
  <w:endnote w:type="continuationSeparator" w:id="0">
    <w:p w14:paraId="6120564D" w14:textId="77777777" w:rsidR="00A54A04" w:rsidRDefault="00A54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05A986" w14:textId="77777777" w:rsidR="00A54A04" w:rsidRDefault="00A54A04">
      <w:pPr>
        <w:spacing w:after="0" w:line="240" w:lineRule="auto"/>
      </w:pPr>
      <w:r>
        <w:separator/>
      </w:r>
    </w:p>
  </w:footnote>
  <w:footnote w:type="continuationSeparator" w:id="0">
    <w:p w14:paraId="058833AB" w14:textId="77777777" w:rsidR="00A54A04" w:rsidRDefault="00A54A0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hideSpellingErrors/>
  <w:hideGrammatical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czsDSztDA3MbU0MrNU0lEKTi0uzszPAykwqwUAJu2dGSwAAAA="/>
  </w:docVars>
  <w:rsids>
    <w:rsidRoot w:val="00E63DF9"/>
    <w:rsid w:val="00121410"/>
    <w:rsid w:val="00121FB3"/>
    <w:rsid w:val="001930DA"/>
    <w:rsid w:val="00196046"/>
    <w:rsid w:val="001E7D70"/>
    <w:rsid w:val="002B1ABD"/>
    <w:rsid w:val="00395CCD"/>
    <w:rsid w:val="00450FC4"/>
    <w:rsid w:val="00497364"/>
    <w:rsid w:val="004B72E5"/>
    <w:rsid w:val="005705AD"/>
    <w:rsid w:val="0057411C"/>
    <w:rsid w:val="0058603F"/>
    <w:rsid w:val="005E752F"/>
    <w:rsid w:val="006C023E"/>
    <w:rsid w:val="007E3679"/>
    <w:rsid w:val="007E76FA"/>
    <w:rsid w:val="00832A4A"/>
    <w:rsid w:val="008D10BD"/>
    <w:rsid w:val="00987CDA"/>
    <w:rsid w:val="009A4D4B"/>
    <w:rsid w:val="009B1D8B"/>
    <w:rsid w:val="009B66A5"/>
    <w:rsid w:val="009C0659"/>
    <w:rsid w:val="009D03F1"/>
    <w:rsid w:val="009D1103"/>
    <w:rsid w:val="00A04D7B"/>
    <w:rsid w:val="00A54A04"/>
    <w:rsid w:val="00A95110"/>
    <w:rsid w:val="00AC13C0"/>
    <w:rsid w:val="00B07A98"/>
    <w:rsid w:val="00B42821"/>
    <w:rsid w:val="00C3787B"/>
    <w:rsid w:val="00CE092C"/>
    <w:rsid w:val="00D54326"/>
    <w:rsid w:val="00DE6B37"/>
    <w:rsid w:val="00DF0347"/>
    <w:rsid w:val="00DF7D4D"/>
    <w:rsid w:val="00E63DF9"/>
    <w:rsid w:val="00EB75A4"/>
    <w:rsid w:val="00EF2B17"/>
    <w:rsid w:val="00F34125"/>
    <w:rsid w:val="00F5187B"/>
    <w:rsid w:val="00FE3833"/>
  </w:rsids>
  <m:mathPr>
    <m:mathFont m:val="Cambria Math"/>
    <m:brkBin m:val="before"/>
    <m:brkBinSub m:val="--"/>
    <m:smallFrac m:val="0"/>
    <m:dispDef/>
    <m:lMargin m:val="0"/>
    <m:rMargin m:val="0"/>
    <m:defJc m:val="centerGroup"/>
    <m:wrapIndent m:val="1440"/>
    <m:intLim m:val="subSup"/>
    <m:naryLim m:val="undOvr"/>
  </m:mathPr>
  <w:themeFontLang w:val="fi-FI"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771F8F"/>
  <w15:chartTrackingRefBased/>
  <w15:docId w15:val="{F1AFA67D-8FBB-4C01-B79D-90A31DBE8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3DF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3D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s">
    <w:name w:val="captions"/>
    <w:basedOn w:val="DefaultParagraphFont"/>
    <w:rsid w:val="00E63DF9"/>
  </w:style>
  <w:style w:type="paragraph" w:styleId="HTMLPreformatted">
    <w:name w:val="HTML Preformatted"/>
    <w:basedOn w:val="Normal"/>
    <w:link w:val="HTMLPreformattedChar"/>
    <w:uiPriority w:val="99"/>
    <w:unhideWhenUsed/>
    <w:rsid w:val="00E63D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fi-FI" w:eastAsia="fi-FI"/>
    </w:rPr>
  </w:style>
  <w:style w:type="character" w:customStyle="1" w:styleId="HTMLPreformattedChar">
    <w:name w:val="HTML Preformatted Char"/>
    <w:basedOn w:val="DefaultParagraphFont"/>
    <w:link w:val="HTMLPreformatted"/>
    <w:uiPriority w:val="99"/>
    <w:rsid w:val="00E63DF9"/>
    <w:rPr>
      <w:rFonts w:ascii="Courier New" w:eastAsia="Times New Roman" w:hAnsi="Courier New" w:cs="Courier New"/>
      <w:sz w:val="20"/>
      <w:szCs w:val="20"/>
      <w:lang w:val="fi-FI" w:eastAsia="fi-FI"/>
    </w:rPr>
  </w:style>
  <w:style w:type="character" w:customStyle="1" w:styleId="gd15mcfceub">
    <w:name w:val="gd15mcfceub"/>
    <w:basedOn w:val="DefaultParagraphFont"/>
    <w:rsid w:val="00E63DF9"/>
  </w:style>
  <w:style w:type="paragraph" w:styleId="BalloonText">
    <w:name w:val="Balloon Text"/>
    <w:basedOn w:val="Normal"/>
    <w:link w:val="BalloonTextChar"/>
    <w:uiPriority w:val="99"/>
    <w:semiHidden/>
    <w:unhideWhenUsed/>
    <w:rsid w:val="009B66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66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4CCFD0-6CE9-49B5-B61A-72FDC8461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11519</Words>
  <Characters>65661</Characters>
  <Application>Microsoft Office Word</Application>
  <DocSecurity>0</DocSecurity>
  <Lines>547</Lines>
  <Paragraphs>154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Henrik Dobewall</dc:creator>
  <cp:keywords/>
  <dc:description/>
  <cp:lastModifiedBy>Maarten Vandijck</cp:lastModifiedBy>
  <cp:revision>4</cp:revision>
  <dcterms:created xsi:type="dcterms:W3CDTF">2021-02-26T22:11:00Z</dcterms:created>
  <dcterms:modified xsi:type="dcterms:W3CDTF">2021-03-15T07:58:00Z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30965789-5d58-39cd-b332-03f7a1b86a0e</vt:lpwstr>
  </property>
  <property fmtid="{D5CDD505-2E9C-101B-9397-08002B2CF9AE}" pid="24" name="Mendeley Citation Style_1">
    <vt:lpwstr>http://www.zotero.org/styles/apa</vt:lpwstr>
  </property>
</Properties>
</file>