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:rsidR="00AD55B0" w:rsidRPr="001374D2" w:rsidRDefault="00AD55B0" w:rsidP="00AD55B0">
      <w:pPr>
        <w:pStyle w:val="Title"/>
        <w:jc w:val="both"/>
      </w:pPr>
      <w:r w:rsidRPr="001374D2">
        <w:t xml:space="preserve">Acidic pH Decreases the Endonuclease Activity of Initiator RepB and Increases the Stability of the Covalent RepB-DNA Intermediate while Has Only a Limited Effect on the Replication </w:t>
      </w:r>
      <w:r>
        <w:t xml:space="preserve">of </w:t>
      </w:r>
      <w:r w:rsidRPr="001374D2">
        <w:t xml:space="preserve">Plasmid pMV158 </w:t>
      </w:r>
      <w:r>
        <w:t xml:space="preserve">in </w:t>
      </w:r>
      <w:r>
        <w:rPr>
          <w:i/>
        </w:rPr>
        <w:t>Lactococcus lactis</w:t>
      </w:r>
    </w:p>
    <w:p w:rsidR="00AD55B0" w:rsidRPr="0062605A" w:rsidRDefault="00AD55B0" w:rsidP="00AD55B0">
      <w:pPr>
        <w:spacing w:before="240" w:after="0"/>
        <w:rPr>
          <w:b/>
          <w:i/>
          <w:szCs w:val="24"/>
          <w:lang w:val="es-ES"/>
        </w:rPr>
      </w:pPr>
      <w:r w:rsidRPr="0062605A">
        <w:rPr>
          <w:b/>
          <w:i/>
          <w:szCs w:val="24"/>
          <w:lang w:val="es-ES"/>
        </w:rPr>
        <w:t>Rafael Valdelvira, Lorena Bordanaba-Ruiseco, Cristina Martín-Huestamendía, José Ángel Ruiz-Masó* and Gloria del Solar*</w:t>
      </w:r>
    </w:p>
    <w:p w:rsidR="00AD55B0" w:rsidRPr="0062605A" w:rsidRDefault="00AD55B0" w:rsidP="00AD55B0">
      <w:pPr>
        <w:spacing w:before="240" w:after="0"/>
        <w:rPr>
          <w:szCs w:val="24"/>
          <w:lang w:val="es-ES"/>
        </w:rPr>
      </w:pPr>
      <w:r w:rsidRPr="0062605A">
        <w:rPr>
          <w:szCs w:val="24"/>
          <w:lang w:val="es-ES"/>
        </w:rPr>
        <w:t>Department of Microbial and Plant Biotechnology, Centro de Investigaciones Biológicas, Consejo Superior de Investigaciones Científicas, Madrid, Spain</w:t>
      </w:r>
    </w:p>
    <w:p w:rsidR="00AD55B0" w:rsidRPr="0062605A" w:rsidRDefault="00AD55B0" w:rsidP="00AD55B0">
      <w:pPr>
        <w:spacing w:after="0"/>
        <w:rPr>
          <w:lang w:val="es-ES"/>
        </w:rPr>
      </w:pPr>
      <w:r w:rsidRPr="0062605A">
        <w:rPr>
          <w:b/>
          <w:szCs w:val="24"/>
          <w:lang w:val="es-ES"/>
        </w:rPr>
        <w:t xml:space="preserve">* Correspondence: </w:t>
      </w:r>
      <w:r w:rsidRPr="0062605A">
        <w:rPr>
          <w:b/>
          <w:szCs w:val="24"/>
          <w:lang w:val="es-ES"/>
        </w:rPr>
        <w:br/>
      </w:r>
      <w:r w:rsidRPr="0062605A">
        <w:rPr>
          <w:szCs w:val="24"/>
          <w:lang w:val="es-ES"/>
        </w:rPr>
        <w:t xml:space="preserve">José Ángel Ruiz-Masó           </w:t>
      </w:r>
      <w:r w:rsidRPr="0062605A">
        <w:rPr>
          <w:szCs w:val="24"/>
          <w:lang w:val="es-ES"/>
        </w:rPr>
        <w:br/>
      </w:r>
      <w:hyperlink r:id="rId8" w:history="1">
        <w:r w:rsidRPr="0062605A">
          <w:rPr>
            <w:rStyle w:val="Hyperlink"/>
            <w:lang w:val="es-ES"/>
          </w:rPr>
          <w:t>jaruizmaso@cib.csic.es</w:t>
        </w:r>
      </w:hyperlink>
    </w:p>
    <w:p w:rsidR="00AD55B0" w:rsidRPr="0062605A" w:rsidRDefault="00AD55B0" w:rsidP="00AD55B0">
      <w:pPr>
        <w:spacing w:before="0" w:after="0"/>
        <w:rPr>
          <w:lang w:val="es-ES"/>
        </w:rPr>
      </w:pPr>
      <w:r w:rsidRPr="0062605A">
        <w:rPr>
          <w:lang w:val="es-ES"/>
        </w:rPr>
        <w:t>Gloria del Solar</w:t>
      </w:r>
    </w:p>
    <w:p w:rsidR="00AD55B0" w:rsidRPr="0062605A" w:rsidRDefault="004303A7" w:rsidP="00AD55B0">
      <w:pPr>
        <w:spacing w:before="0" w:after="120"/>
        <w:rPr>
          <w:lang w:val="es-ES"/>
        </w:rPr>
      </w:pPr>
      <w:hyperlink r:id="rId9" w:history="1">
        <w:r w:rsidR="00AD55B0" w:rsidRPr="0062605A">
          <w:rPr>
            <w:rStyle w:val="Hyperlink"/>
            <w:lang w:val="es-ES"/>
          </w:rPr>
          <w:t>gdelsolar@cib.csic.es</w:t>
        </w:r>
      </w:hyperlink>
    </w:p>
    <w:p w:rsidR="0084508A" w:rsidRDefault="0084508A" w:rsidP="00E41336">
      <w:pPr>
        <w:spacing w:before="240" w:after="0"/>
        <w:rPr>
          <w:rStyle w:val="Hyperlink"/>
          <w:rFonts w:cs="Times New Roman"/>
          <w:szCs w:val="24"/>
          <w:lang w:val="es-ES"/>
        </w:rPr>
      </w:pPr>
    </w:p>
    <w:p w:rsidR="0084508A" w:rsidRDefault="0084508A" w:rsidP="00E41336">
      <w:pPr>
        <w:spacing w:before="240" w:after="0"/>
        <w:rPr>
          <w:rStyle w:val="Hyperlink"/>
          <w:rFonts w:cs="Times New Roman"/>
          <w:szCs w:val="24"/>
          <w:lang w:val="es-ES"/>
        </w:rPr>
      </w:pPr>
    </w:p>
    <w:p w:rsidR="0084508A" w:rsidRDefault="0084508A" w:rsidP="00E41336">
      <w:pPr>
        <w:spacing w:before="240" w:after="0"/>
        <w:rPr>
          <w:rStyle w:val="Hyperlink"/>
          <w:rFonts w:cs="Times New Roman"/>
          <w:szCs w:val="24"/>
          <w:lang w:val="es-ES"/>
        </w:rPr>
      </w:pPr>
    </w:p>
    <w:p w:rsidR="0084508A" w:rsidRDefault="0084508A" w:rsidP="00E41336">
      <w:pPr>
        <w:spacing w:before="240" w:after="0"/>
        <w:rPr>
          <w:rStyle w:val="Hyperlink"/>
          <w:rFonts w:cs="Times New Roman"/>
          <w:szCs w:val="24"/>
          <w:lang w:val="es-ES"/>
        </w:rPr>
      </w:pPr>
    </w:p>
    <w:p w:rsidR="0084508A" w:rsidRDefault="0084508A" w:rsidP="00E41336">
      <w:pPr>
        <w:spacing w:before="240" w:after="0"/>
        <w:rPr>
          <w:rStyle w:val="Hyperlink"/>
          <w:rFonts w:cs="Times New Roman"/>
          <w:szCs w:val="24"/>
          <w:lang w:val="es-ES"/>
        </w:rPr>
      </w:pPr>
    </w:p>
    <w:p w:rsidR="0084508A" w:rsidRDefault="0084508A" w:rsidP="00E41336">
      <w:pPr>
        <w:spacing w:before="240" w:after="0"/>
        <w:rPr>
          <w:rStyle w:val="Hyperlink"/>
          <w:rFonts w:cs="Times New Roman"/>
          <w:szCs w:val="24"/>
          <w:lang w:val="es-ES"/>
        </w:rPr>
      </w:pPr>
    </w:p>
    <w:p w:rsidR="0084508A" w:rsidRDefault="0084508A" w:rsidP="00E41336">
      <w:pPr>
        <w:spacing w:before="240" w:after="0"/>
        <w:rPr>
          <w:rStyle w:val="Hyperlink"/>
          <w:rFonts w:cs="Times New Roman"/>
          <w:szCs w:val="24"/>
          <w:lang w:val="es-ES"/>
        </w:rPr>
      </w:pPr>
    </w:p>
    <w:p w:rsidR="0084508A" w:rsidRDefault="0084508A" w:rsidP="00E41336">
      <w:pPr>
        <w:spacing w:before="240" w:after="0"/>
        <w:rPr>
          <w:rStyle w:val="Hyperlink"/>
          <w:rFonts w:cs="Times New Roman"/>
          <w:szCs w:val="24"/>
          <w:lang w:val="es-ES"/>
        </w:rPr>
      </w:pPr>
    </w:p>
    <w:p w:rsidR="0084508A" w:rsidRDefault="0084508A" w:rsidP="00E41336">
      <w:pPr>
        <w:spacing w:before="240" w:after="0"/>
        <w:rPr>
          <w:rStyle w:val="Hyperlink"/>
          <w:rFonts w:cs="Times New Roman"/>
          <w:szCs w:val="24"/>
          <w:lang w:val="es-ES"/>
        </w:rPr>
      </w:pPr>
    </w:p>
    <w:p w:rsidR="0084508A" w:rsidRDefault="0084508A" w:rsidP="00E41336">
      <w:pPr>
        <w:spacing w:before="240" w:after="0"/>
        <w:rPr>
          <w:rStyle w:val="Hyperlink"/>
          <w:rFonts w:cs="Times New Roman"/>
          <w:szCs w:val="24"/>
          <w:lang w:val="es-ES"/>
        </w:rPr>
      </w:pPr>
    </w:p>
    <w:p w:rsidR="0084508A" w:rsidRDefault="0084508A" w:rsidP="00E41336">
      <w:pPr>
        <w:spacing w:before="240" w:after="0"/>
        <w:rPr>
          <w:rStyle w:val="Hyperlink"/>
          <w:rFonts w:cs="Times New Roman"/>
          <w:szCs w:val="24"/>
          <w:lang w:val="es-ES"/>
        </w:rPr>
      </w:pPr>
    </w:p>
    <w:p w:rsidR="0084508A" w:rsidRDefault="0084508A" w:rsidP="00E41336">
      <w:pPr>
        <w:spacing w:before="240" w:after="0"/>
        <w:rPr>
          <w:rStyle w:val="Hyperlink"/>
          <w:rFonts w:cs="Times New Roman"/>
          <w:szCs w:val="24"/>
          <w:lang w:val="es-ES"/>
        </w:rPr>
      </w:pPr>
    </w:p>
    <w:p w:rsidR="0084508A" w:rsidRDefault="0084508A" w:rsidP="00654E8F">
      <w:pPr>
        <w:spacing w:before="240"/>
      </w:pPr>
    </w:p>
    <w:p w:rsidR="0084508A" w:rsidRDefault="0084508A" w:rsidP="00654E8F">
      <w:pPr>
        <w:spacing w:before="240"/>
      </w:pPr>
    </w:p>
    <w:p w:rsidR="0084508A" w:rsidRDefault="0084508A" w:rsidP="00654E8F">
      <w:pPr>
        <w:spacing w:before="240"/>
      </w:pPr>
    </w:p>
    <w:p w:rsidR="0084508A" w:rsidRDefault="0084508A" w:rsidP="00654E8F">
      <w:pPr>
        <w:spacing w:before="240"/>
      </w:pPr>
    </w:p>
    <w:p w:rsidR="0084508A" w:rsidRDefault="005172C0" w:rsidP="00654E8F">
      <w:pPr>
        <w:spacing w:before="240"/>
      </w:pPr>
      <w:r>
        <w:rPr>
          <w:noProof/>
          <w:lang w:val="es-ES" w:eastAsia="es-ES"/>
        </w:rPr>
        <w:drawing>
          <wp:inline distT="0" distB="0" distL="0" distR="0">
            <wp:extent cx="6208395" cy="3723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372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9C1" w:rsidRPr="005F18BF" w:rsidRDefault="00AD55B0" w:rsidP="00ED5CE4">
      <w:pPr>
        <w:jc w:val="both"/>
        <w:rPr>
          <w:noProof/>
        </w:rPr>
      </w:pPr>
      <w:r w:rsidRPr="00AD55B0">
        <w:rPr>
          <w:b/>
        </w:rPr>
        <w:t>Figure S1.</w:t>
      </w:r>
      <w:r w:rsidR="00D756AF" w:rsidRPr="00D756AF">
        <w:rPr>
          <w:b/>
        </w:rPr>
        <w:t xml:space="preserve"> </w:t>
      </w:r>
      <w:r w:rsidR="00D756AF" w:rsidRPr="001151F0">
        <w:rPr>
          <w:b/>
        </w:rPr>
        <w:t>OBD-DNA adduct stability</w:t>
      </w:r>
      <w:r w:rsidR="00E24E12">
        <w:rPr>
          <w:b/>
        </w:rPr>
        <w:t xml:space="preserve"> at different temperatures and in the presence of EDTA</w:t>
      </w:r>
      <w:r w:rsidR="00D756AF" w:rsidRPr="001151F0">
        <w:rPr>
          <w:b/>
        </w:rPr>
        <w:t>.</w:t>
      </w:r>
      <w:r w:rsidR="00D756AF">
        <w:rPr>
          <w:b/>
        </w:rPr>
        <w:t xml:space="preserve"> A) </w:t>
      </w:r>
      <w:r w:rsidR="00D756AF" w:rsidRPr="00AD3DE4">
        <w:t>Gels showing the</w:t>
      </w:r>
      <w:r w:rsidR="00D756AF">
        <w:t xml:space="preserve"> effect of </w:t>
      </w:r>
      <w:r w:rsidR="00BA3521">
        <w:t>temperature and depletion of divalent cations</w:t>
      </w:r>
      <w:r w:rsidR="00D756AF">
        <w:t xml:space="preserve"> on the</w:t>
      </w:r>
      <w:r w:rsidR="00D756AF" w:rsidRPr="00AD3DE4">
        <w:t xml:space="preserve"> </w:t>
      </w:r>
      <w:r w:rsidR="00D756AF">
        <w:t>time course</w:t>
      </w:r>
      <w:r w:rsidR="00D756AF" w:rsidRPr="00AD3DE4">
        <w:t xml:space="preserve"> of the adduct-hydrolysis reaction. The reaction mixtures contained</w:t>
      </w:r>
      <w:r w:rsidR="00D756AF" w:rsidRPr="00AD3DE4">
        <w:rPr>
          <w:b/>
        </w:rPr>
        <w:t xml:space="preserve"> </w:t>
      </w:r>
      <w:r w:rsidR="00D756AF" w:rsidRPr="00AD3DE4">
        <w:t>a 1.5:1 molar ratio of OBD to the 3'-fluorescently labeled 27-mer oligo substrate and were prepared in buffer 7. After 2 min of incubation at 25°C</w:t>
      </w:r>
      <w:r w:rsidR="00D756AF">
        <w:t>,</w:t>
      </w:r>
      <w:r w:rsidR="00D756AF" w:rsidRPr="00AD3DE4">
        <w:t xml:space="preserve"> the </w:t>
      </w:r>
      <w:r w:rsidR="00D756AF">
        <w:t xml:space="preserve">endonuclease </w:t>
      </w:r>
      <w:r w:rsidR="00D756AF" w:rsidRPr="00AD3DE4">
        <w:t xml:space="preserve">reaction was </w:t>
      </w:r>
      <w:r w:rsidR="00BA3521">
        <w:t>diluted 30 times with the same buffer equilibrated to the reaction temperature analyzed</w:t>
      </w:r>
      <w:r w:rsidR="00E24E12">
        <w:t xml:space="preserve"> (</w:t>
      </w:r>
      <w:r w:rsidR="00BA3521">
        <w:t>i.e., 0</w:t>
      </w:r>
      <w:r w:rsidR="00BA3521">
        <w:rPr>
          <w:rFonts w:cs="Times New Roman"/>
        </w:rPr>
        <w:t>°</w:t>
      </w:r>
      <w:r w:rsidR="00BA3521">
        <w:t>C, 22</w:t>
      </w:r>
      <w:r w:rsidR="00BA3521">
        <w:rPr>
          <w:rFonts w:cs="Times New Roman"/>
        </w:rPr>
        <w:t>°</w:t>
      </w:r>
      <w:r w:rsidR="00BA3521">
        <w:t>C and 37</w:t>
      </w:r>
      <w:r w:rsidR="00BA3521">
        <w:rPr>
          <w:rFonts w:cs="Times New Roman"/>
        </w:rPr>
        <w:t>°</w:t>
      </w:r>
      <w:r w:rsidR="00BA3521">
        <w:t>C</w:t>
      </w:r>
      <w:r w:rsidR="00E24E12">
        <w:t>)</w:t>
      </w:r>
      <w:r w:rsidR="00D756AF" w:rsidRPr="00AD3DE4">
        <w:t xml:space="preserve">. </w:t>
      </w:r>
      <w:r w:rsidR="00E26EDF" w:rsidRPr="001374D2">
        <w:t>The effect of the depletion of Mn</w:t>
      </w:r>
      <w:r w:rsidR="00E26EDF" w:rsidRPr="001374D2">
        <w:rPr>
          <w:vertAlign w:val="superscript"/>
        </w:rPr>
        <w:t>2+</w:t>
      </w:r>
      <w:r w:rsidR="00E26EDF" w:rsidRPr="001374D2">
        <w:t xml:space="preserve"> ions was analyzed by treating </w:t>
      </w:r>
      <w:r w:rsidR="00E26EDF">
        <w:t>the</w:t>
      </w:r>
      <w:r w:rsidR="00E26EDF" w:rsidRPr="001374D2">
        <w:t xml:space="preserve"> diluted reaction with 20 mM EDTA and incubating the mixture at 2</w:t>
      </w:r>
      <w:r w:rsidR="00ED5CE4">
        <w:t>2</w:t>
      </w:r>
      <w:r w:rsidR="00E26EDF" w:rsidRPr="001374D2">
        <w:t>°C</w:t>
      </w:r>
      <w:r w:rsidR="00E26EDF">
        <w:t xml:space="preserve">. </w:t>
      </w:r>
      <w:r w:rsidR="00ED5CE4">
        <w:t>In all cases, s</w:t>
      </w:r>
      <w:r w:rsidR="00D756AF" w:rsidRPr="00AD3DE4">
        <w:t xml:space="preserve">everal aliquots were taken </w:t>
      </w:r>
      <w:r w:rsidR="00BA3521">
        <w:t>at intervals</w:t>
      </w:r>
      <w:r w:rsidR="00D756AF" w:rsidRPr="00AD3DE4">
        <w:t xml:space="preserve"> and analyzed in 20% PAA-urea gels. </w:t>
      </w:r>
      <w:r w:rsidR="00D756AF" w:rsidRPr="00734B7B">
        <w:t>A control lane (-OBD) showing the migration of the fluorescent 27-mer substrate is included. The dividing line indicates grouping of different parts of the same gel.</w:t>
      </w:r>
      <w:r w:rsidR="00D756AF">
        <w:t xml:space="preserve"> </w:t>
      </w:r>
      <w:r w:rsidR="00D756AF" w:rsidRPr="00AD3DE4">
        <w:rPr>
          <w:b/>
        </w:rPr>
        <w:t>B</w:t>
      </w:r>
      <w:r w:rsidR="00D756AF" w:rsidRPr="00AD3DE4">
        <w:t>) Kinetics of the hydrolysis of the OBD-DNA adduct at</w:t>
      </w:r>
      <w:r w:rsidR="00ED5CE4">
        <w:t xml:space="preserve"> the three temperatures analyzed and at 22</w:t>
      </w:r>
      <w:r w:rsidR="00ED5CE4">
        <w:rPr>
          <w:rFonts w:cs="Times New Roman"/>
        </w:rPr>
        <w:t>°</w:t>
      </w:r>
      <w:r w:rsidR="00ED5CE4">
        <w:t>C in the presence of EDTA</w:t>
      </w:r>
      <w:r w:rsidR="00D756AF" w:rsidRPr="00AD3DE4">
        <w:t>. The logarithm of the</w:t>
      </w:r>
      <w:r w:rsidR="00D756AF">
        <w:t xml:space="preserve"> ratio between the </w:t>
      </w:r>
      <w:r w:rsidR="00D756AF" w:rsidRPr="00AD3DE4">
        <w:t>fraction of</w:t>
      </w:r>
      <w:r w:rsidR="00D756AF">
        <w:t xml:space="preserve"> </w:t>
      </w:r>
      <w:r w:rsidR="00D756AF" w:rsidRPr="00AD3DE4">
        <w:t>adduct</w:t>
      </w:r>
      <w:r w:rsidR="00D756AF">
        <w:t xml:space="preserve"> at each of the time intervals analyzed (</w:t>
      </w:r>
      <w:r w:rsidR="00D756AF" w:rsidRPr="005D4662">
        <w:rPr>
          <w:i/>
        </w:rPr>
        <w:t>adduct</w:t>
      </w:r>
      <w:r w:rsidR="00D756AF" w:rsidRPr="005D4662">
        <w:rPr>
          <w:vertAlign w:val="subscript"/>
        </w:rPr>
        <w:t>t</w:t>
      </w:r>
      <w:r w:rsidR="00D756AF">
        <w:t xml:space="preserve">) and the initial </w:t>
      </w:r>
      <w:r w:rsidR="00D756AF" w:rsidRPr="00FB6783">
        <w:t>fraction (</w:t>
      </w:r>
      <w:r w:rsidR="00D756AF" w:rsidRPr="00FB6783">
        <w:rPr>
          <w:i/>
        </w:rPr>
        <w:t>adduct</w:t>
      </w:r>
      <w:r w:rsidR="00D756AF" w:rsidRPr="00FB6783">
        <w:rPr>
          <w:vertAlign w:val="subscript"/>
        </w:rPr>
        <w:t>t</w:t>
      </w:r>
      <w:r w:rsidR="00D756AF" w:rsidRPr="00FB6783">
        <w:rPr>
          <w:sz w:val="16"/>
          <w:szCs w:val="16"/>
          <w:vertAlign w:val="subscript"/>
        </w:rPr>
        <w:t>0</w:t>
      </w:r>
      <w:r w:rsidR="00D756AF" w:rsidRPr="00FB6783">
        <w:t>) was plotted against time, and the experimental data were fitted to Equation (2) by linear regression. The OBD-DNA adduct half-life time was calculated from the slope of the regression curve according to Equation (3). Plots display the adduct decay curves obtained from five indepen</w:t>
      </w:r>
      <w:bookmarkStart w:id="0" w:name="_GoBack"/>
      <w:bookmarkEnd w:id="0"/>
      <w:r w:rsidR="00D756AF" w:rsidRPr="00FB6783">
        <w:t xml:space="preserve">dent experiments for each condition, with the symbols and vertical bars representing the mean and standard deviation, respectively. </w:t>
      </w:r>
      <w:r w:rsidR="00D756AF" w:rsidRPr="00FB6783">
        <w:rPr>
          <w:b/>
        </w:rPr>
        <w:t>C)</w:t>
      </w:r>
      <w:r w:rsidR="00D756AF" w:rsidRPr="00FB6783">
        <w:t xml:space="preserve"> Table showing the adduct half-life time calculated from five independent experiments performed under the indicated reaction conditions. The values are expressed as mean ± SD. Values with different </w:t>
      </w:r>
      <w:r w:rsidR="00AA79DF" w:rsidRPr="00FB6783">
        <w:t xml:space="preserve">superscript </w:t>
      </w:r>
      <w:r w:rsidR="00D756AF" w:rsidRPr="00FB6783">
        <w:t>letters were significantly (P &lt; 0.05) different.</w:t>
      </w:r>
    </w:p>
    <w:sectPr w:rsidR="005C09C1" w:rsidRPr="005F18BF" w:rsidSect="0093429D">
      <w:headerReference w:type="even" r:id="rId11"/>
      <w:footerReference w:type="even" r:id="rId12"/>
      <w:footerReference w:type="default" r:id="rId13"/>
      <w:headerReference w:type="first" r:id="rId14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3A7" w:rsidRDefault="004303A7" w:rsidP="00117666">
      <w:pPr>
        <w:spacing w:after="0"/>
      </w:pPr>
      <w:r>
        <w:separator/>
      </w:r>
    </w:p>
  </w:endnote>
  <w:endnote w:type="continuationSeparator" w:id="0">
    <w:p w:rsidR="004303A7" w:rsidRDefault="004303A7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6A" w:rsidRPr="00577C4C" w:rsidRDefault="00FB6783">
    <w:pPr>
      <w:rPr>
        <w:color w:val="C00000"/>
        <w:szCs w:val="24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495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32E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="00C52A7B"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FB6783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" filled="f" stroked="f" strokeweight=".5pt">
              <v:path arrowok="t"/>
              <v:textbox style="mso-fit-shape-to-text:t">
                <w:txbxContent>
                  <w:p w:rsidR="00995F6A" w:rsidRPr="00577C4C" w:rsidRDefault="00C532E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="00C52A7B"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FB6783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6A" w:rsidRPr="00577C4C" w:rsidRDefault="00FB6783">
    <w:pPr>
      <w:rPr>
        <w:b/>
        <w:sz w:val="20"/>
        <w:szCs w:val="24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32E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="00C52A7B"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ED5CE4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" filled="f" stroked="f" strokeweight=".5pt">
              <v:path arrowok="t"/>
              <v:textbox style="mso-fit-shape-to-text:t">
                <w:txbxContent>
                  <w:p w:rsidR="00995F6A" w:rsidRPr="00577C4C" w:rsidRDefault="00C532E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="00C52A7B"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ED5CE4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3A7" w:rsidRDefault="004303A7" w:rsidP="00117666">
      <w:pPr>
        <w:spacing w:after="0"/>
      </w:pPr>
      <w:r>
        <w:separator/>
      </w:r>
    </w:p>
  </w:footnote>
  <w:footnote w:type="continuationSeparator" w:id="0">
    <w:p w:rsidR="004303A7" w:rsidRDefault="004303A7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6A" w:rsidRDefault="0093429D" w:rsidP="0093429D">
    <w:r w:rsidRPr="005A1D84">
      <w:rPr>
        <w:b/>
        <w:noProof/>
        <w:color w:val="A6A6A6" w:themeColor="background1" w:themeShade="A6"/>
        <w:lang w:val="es-ES" w:eastAsia="es-ES"/>
      </w:rPr>
      <w:drawing>
        <wp:inline distT="0" distB="0" distL="0" distR="0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49"/>
    <w:rsid w:val="00012C48"/>
    <w:rsid w:val="0001436A"/>
    <w:rsid w:val="00034304"/>
    <w:rsid w:val="00035434"/>
    <w:rsid w:val="0004615F"/>
    <w:rsid w:val="00050A1D"/>
    <w:rsid w:val="00052A14"/>
    <w:rsid w:val="00077D53"/>
    <w:rsid w:val="00105FD9"/>
    <w:rsid w:val="00117666"/>
    <w:rsid w:val="00130E77"/>
    <w:rsid w:val="001549D3"/>
    <w:rsid w:val="00160065"/>
    <w:rsid w:val="00177D84"/>
    <w:rsid w:val="001C2DE4"/>
    <w:rsid w:val="001F3C3A"/>
    <w:rsid w:val="0022718D"/>
    <w:rsid w:val="00267D18"/>
    <w:rsid w:val="00281E00"/>
    <w:rsid w:val="00285410"/>
    <w:rsid w:val="002868E2"/>
    <w:rsid w:val="002869C3"/>
    <w:rsid w:val="002936E4"/>
    <w:rsid w:val="002B4A57"/>
    <w:rsid w:val="002C74CA"/>
    <w:rsid w:val="00351916"/>
    <w:rsid w:val="003544FB"/>
    <w:rsid w:val="00372E5F"/>
    <w:rsid w:val="003A2519"/>
    <w:rsid w:val="003C3BA7"/>
    <w:rsid w:val="003D2F2D"/>
    <w:rsid w:val="00401590"/>
    <w:rsid w:val="00425C49"/>
    <w:rsid w:val="004303A7"/>
    <w:rsid w:val="00447801"/>
    <w:rsid w:val="00452E9C"/>
    <w:rsid w:val="004735C8"/>
    <w:rsid w:val="004961FF"/>
    <w:rsid w:val="004B587A"/>
    <w:rsid w:val="005172C0"/>
    <w:rsid w:val="00517A89"/>
    <w:rsid w:val="005250F2"/>
    <w:rsid w:val="00593EEA"/>
    <w:rsid w:val="00597A6F"/>
    <w:rsid w:val="005A5EEE"/>
    <w:rsid w:val="005C09C1"/>
    <w:rsid w:val="005D0FB3"/>
    <w:rsid w:val="005F18BF"/>
    <w:rsid w:val="006209A3"/>
    <w:rsid w:val="006375C7"/>
    <w:rsid w:val="0064212A"/>
    <w:rsid w:val="0064553A"/>
    <w:rsid w:val="00654E8F"/>
    <w:rsid w:val="00660D05"/>
    <w:rsid w:val="0066434F"/>
    <w:rsid w:val="00680105"/>
    <w:rsid w:val="006820B1"/>
    <w:rsid w:val="006B7D14"/>
    <w:rsid w:val="00701727"/>
    <w:rsid w:val="0070566C"/>
    <w:rsid w:val="00714C50"/>
    <w:rsid w:val="00725A7D"/>
    <w:rsid w:val="007501BE"/>
    <w:rsid w:val="0075409B"/>
    <w:rsid w:val="00790BB3"/>
    <w:rsid w:val="007A5D89"/>
    <w:rsid w:val="007C206C"/>
    <w:rsid w:val="00817DD6"/>
    <w:rsid w:val="0084508A"/>
    <w:rsid w:val="00885156"/>
    <w:rsid w:val="008A4ACB"/>
    <w:rsid w:val="009151AA"/>
    <w:rsid w:val="0093429D"/>
    <w:rsid w:val="00943573"/>
    <w:rsid w:val="00965978"/>
    <w:rsid w:val="00970F7D"/>
    <w:rsid w:val="00983ABB"/>
    <w:rsid w:val="00994A3D"/>
    <w:rsid w:val="009A5F5C"/>
    <w:rsid w:val="009C2B12"/>
    <w:rsid w:val="009D4E3C"/>
    <w:rsid w:val="009F1B9F"/>
    <w:rsid w:val="00A174D9"/>
    <w:rsid w:val="00A750DE"/>
    <w:rsid w:val="00A75670"/>
    <w:rsid w:val="00A80085"/>
    <w:rsid w:val="00A8065B"/>
    <w:rsid w:val="00AA79DF"/>
    <w:rsid w:val="00AB6715"/>
    <w:rsid w:val="00AD55B0"/>
    <w:rsid w:val="00B1671E"/>
    <w:rsid w:val="00B25EB8"/>
    <w:rsid w:val="00B37F4D"/>
    <w:rsid w:val="00B410E3"/>
    <w:rsid w:val="00B9278C"/>
    <w:rsid w:val="00BA3521"/>
    <w:rsid w:val="00BF41B0"/>
    <w:rsid w:val="00BF7F10"/>
    <w:rsid w:val="00C52A7B"/>
    <w:rsid w:val="00C532EB"/>
    <w:rsid w:val="00C56BAF"/>
    <w:rsid w:val="00C679AA"/>
    <w:rsid w:val="00C75972"/>
    <w:rsid w:val="00CC6B7E"/>
    <w:rsid w:val="00CD066B"/>
    <w:rsid w:val="00CE19BB"/>
    <w:rsid w:val="00CE4FEE"/>
    <w:rsid w:val="00D066D1"/>
    <w:rsid w:val="00D1723E"/>
    <w:rsid w:val="00D26D65"/>
    <w:rsid w:val="00D756AF"/>
    <w:rsid w:val="00D81323"/>
    <w:rsid w:val="00D90DD7"/>
    <w:rsid w:val="00D935BE"/>
    <w:rsid w:val="00DB59C3"/>
    <w:rsid w:val="00DC259A"/>
    <w:rsid w:val="00DE23E8"/>
    <w:rsid w:val="00E24E12"/>
    <w:rsid w:val="00E26EDF"/>
    <w:rsid w:val="00E30CD1"/>
    <w:rsid w:val="00E41336"/>
    <w:rsid w:val="00E52377"/>
    <w:rsid w:val="00E579A6"/>
    <w:rsid w:val="00E64E17"/>
    <w:rsid w:val="00E866C9"/>
    <w:rsid w:val="00EA3D3C"/>
    <w:rsid w:val="00ED5CE4"/>
    <w:rsid w:val="00F05A9E"/>
    <w:rsid w:val="00F46900"/>
    <w:rsid w:val="00F61D89"/>
    <w:rsid w:val="00FB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B186C88-794C-4155-B998-599BB7A0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table" w:customStyle="1" w:styleId="TableGridLight1">
    <w:name w:val="Table Grid Light1"/>
    <w:basedOn w:val="TableNormal"/>
    <w:uiPriority w:val="40"/>
    <w:rsid w:val="00372E5F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8A4A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uizmaso@cib.csic.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gdelsolar@cib.csic.e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iz%20L&#243;pez\Desktop\Jose\Paper%20RepB-CD-DSC-ITC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3FFACBA-2F58-4824-898F-3F5B78FB7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</TotalTime>
  <Pages>2</Pages>
  <Words>402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A. Ruiz Masó</dc:creator>
  <cp:lastModifiedBy>Jose</cp:lastModifiedBy>
  <cp:revision>2</cp:revision>
  <cp:lastPrinted>2013-10-03T12:51:00Z</cp:lastPrinted>
  <dcterms:created xsi:type="dcterms:W3CDTF">2021-01-23T19:10:00Z</dcterms:created>
  <dcterms:modified xsi:type="dcterms:W3CDTF">2021-01-23T19:10:00Z</dcterms:modified>
</cp:coreProperties>
</file>