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0493293B" w:rsidR="00994A3D" w:rsidRPr="001549D3" w:rsidRDefault="00976B68" w:rsidP="00994A3D">
      <w:pPr>
        <w:keepNext/>
        <w:jc w:val="center"/>
        <w:rPr>
          <w:rFonts w:cs="Times New Roman"/>
          <w:szCs w:val="24"/>
        </w:rPr>
      </w:pPr>
      <w:r>
        <w:rPr>
          <w:rFonts w:ascii="Arial" w:hAnsi="Arial" w:cs="Arial"/>
          <w:noProof/>
          <w:color w:val="000000"/>
          <w:szCs w:val="24"/>
          <w:shd w:val="clear" w:color="auto" w:fill="FFFFFF"/>
        </w:rPr>
        <w:drawing>
          <wp:inline distT="0" distB="0" distL="0" distR="0" wp14:anchorId="1CA17CA6" wp14:editId="31A53076">
            <wp:extent cx="5912523" cy="5889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23" cy="588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50538" w14:textId="6B24AB57" w:rsidR="00976B68" w:rsidRPr="00976B68" w:rsidRDefault="00976B68" w:rsidP="00976B68">
      <w:pPr>
        <w:spacing w:after="0"/>
        <w:jc w:val="both"/>
        <w:rPr>
          <w:rFonts w:cs="Times New Roman"/>
          <w:b/>
          <w:szCs w:val="24"/>
        </w:rPr>
      </w:pPr>
      <w:r w:rsidRPr="00976B68">
        <w:rPr>
          <w:rFonts w:cs="Times New Roman"/>
          <w:b/>
          <w:szCs w:val="24"/>
        </w:rPr>
        <w:t>Supplementary Figure 1</w:t>
      </w:r>
      <w:r>
        <w:rPr>
          <w:rFonts w:cs="Times New Roman"/>
          <w:b/>
          <w:szCs w:val="24"/>
        </w:rPr>
        <w:t>.</w:t>
      </w:r>
    </w:p>
    <w:p w14:paraId="60561CAB" w14:textId="77777777" w:rsidR="00976B68" w:rsidRPr="00976B68" w:rsidRDefault="00976B68" w:rsidP="00976B68">
      <w:pPr>
        <w:spacing w:after="0"/>
        <w:jc w:val="both"/>
        <w:rPr>
          <w:rFonts w:cs="Times New Roman"/>
          <w:b/>
          <w:szCs w:val="24"/>
        </w:rPr>
      </w:pPr>
      <w:r w:rsidRPr="00976B68">
        <w:rPr>
          <w:rFonts w:cs="Times New Roman"/>
          <w:b/>
          <w:szCs w:val="24"/>
        </w:rPr>
        <w:t xml:space="preserve"> (A) </w:t>
      </w:r>
      <w:r w:rsidRPr="00976B68">
        <w:rPr>
          <w:rFonts w:cs="Times New Roman"/>
          <w:bCs/>
          <w:szCs w:val="24"/>
        </w:rPr>
        <w:t xml:space="preserve">The representative image showed that </w:t>
      </w:r>
      <w:proofErr w:type="gramStart"/>
      <w:r w:rsidRPr="00976B68">
        <w:rPr>
          <w:rFonts w:cs="Times New Roman"/>
          <w:bCs/>
          <w:szCs w:val="24"/>
        </w:rPr>
        <w:t>phospholipid-rich</w:t>
      </w:r>
      <w:proofErr w:type="gramEnd"/>
      <w:r w:rsidRPr="00976B68">
        <w:rPr>
          <w:rFonts w:cs="Times New Roman"/>
          <w:bCs/>
          <w:szCs w:val="24"/>
        </w:rPr>
        <w:t xml:space="preserve"> BVL (arrow) was obtained using TLC method. The mobile phase was consisted of Heptane: Diethyl Ether: Acetic Acid (60:40:3, v/v/v). </w:t>
      </w:r>
      <w:r w:rsidRPr="00976B68">
        <w:rPr>
          <w:rFonts w:cs="Times New Roman"/>
          <w:b/>
          <w:szCs w:val="24"/>
        </w:rPr>
        <w:t>(B)</w:t>
      </w:r>
      <w:r w:rsidRPr="00976B68">
        <w:rPr>
          <w:rFonts w:cs="Times New Roman"/>
          <w:bCs/>
          <w:szCs w:val="24"/>
        </w:rPr>
        <w:t xml:space="preserve"> The representative image showed that BVL (arrowhead) was obtained using TLC method. The mobile phase was consisted of Chloroform: Methanol: Acetic acid (100:30:3, v/v/v). </w:t>
      </w:r>
      <w:r w:rsidRPr="00976B68">
        <w:rPr>
          <w:rFonts w:cs="Times New Roman"/>
          <w:b/>
          <w:szCs w:val="24"/>
        </w:rPr>
        <w:t>(C)</w:t>
      </w:r>
      <w:r w:rsidRPr="00976B68">
        <w:rPr>
          <w:rFonts w:cs="Times New Roman"/>
          <w:bCs/>
          <w:szCs w:val="24"/>
        </w:rPr>
        <w:t xml:space="preserve"> The representative GC chromatogram showed the detection of fatty acids in BV-7. The table on the top-right corner </w:t>
      </w:r>
      <w:r w:rsidRPr="00976B68">
        <w:rPr>
          <w:rFonts w:cs="Times New Roman"/>
          <w:bCs/>
          <w:szCs w:val="24"/>
        </w:rPr>
        <w:lastRenderedPageBreak/>
        <w:t>showed the percentage of fatty acids to the corresponding standard and the ratio of omega-6 to omega-3 fatty acids.</w:t>
      </w:r>
    </w:p>
    <w:p w14:paraId="70A120C2" w14:textId="77777777" w:rsidR="00976B68" w:rsidRPr="002B4A57" w:rsidRDefault="00976B68" w:rsidP="002B4A57">
      <w:pPr>
        <w:keepNext/>
        <w:rPr>
          <w:rFonts w:cs="Times New Roman"/>
          <w:b/>
          <w:szCs w:val="24"/>
        </w:rPr>
      </w:pPr>
    </w:p>
    <w:p w14:paraId="7B65BC41" w14:textId="2DCC035B" w:rsidR="00DE23E8" w:rsidRDefault="00DE23E8" w:rsidP="00654E8F">
      <w:pPr>
        <w:spacing w:before="240"/>
      </w:pPr>
    </w:p>
    <w:p w14:paraId="06A97A20" w14:textId="4C12A08E" w:rsidR="00E05748" w:rsidRDefault="00E05748" w:rsidP="00654E8F">
      <w:pPr>
        <w:spacing w:before="240"/>
      </w:pPr>
    </w:p>
    <w:p w14:paraId="01A64759" w14:textId="630BDA0D" w:rsidR="00B35391" w:rsidRDefault="00B35391" w:rsidP="00654E8F">
      <w:pPr>
        <w:spacing w:before="240"/>
      </w:pPr>
    </w:p>
    <w:p w14:paraId="58B911D1" w14:textId="4EED7636" w:rsidR="00B35391" w:rsidRDefault="00B35391" w:rsidP="00654E8F">
      <w:pPr>
        <w:spacing w:before="240"/>
      </w:pPr>
    </w:p>
    <w:p w14:paraId="06DCD60E" w14:textId="610C81CB" w:rsidR="00B35391" w:rsidRDefault="00B35391" w:rsidP="00654E8F">
      <w:pPr>
        <w:spacing w:before="240"/>
      </w:pPr>
    </w:p>
    <w:p w14:paraId="37DC371E" w14:textId="163B42BB" w:rsidR="00B35391" w:rsidRDefault="00B35391" w:rsidP="00654E8F">
      <w:pPr>
        <w:spacing w:before="240"/>
      </w:pPr>
    </w:p>
    <w:p w14:paraId="7A7BC8B0" w14:textId="79CEF016" w:rsidR="00B35391" w:rsidRDefault="00B35391" w:rsidP="00654E8F">
      <w:pPr>
        <w:spacing w:before="240"/>
      </w:pPr>
    </w:p>
    <w:p w14:paraId="12DD686B" w14:textId="52FB7E0D" w:rsidR="00B35391" w:rsidRDefault="00B35391" w:rsidP="00654E8F">
      <w:pPr>
        <w:spacing w:before="240"/>
      </w:pPr>
    </w:p>
    <w:p w14:paraId="151FA6DF" w14:textId="7A516CEF" w:rsidR="00B35391" w:rsidRDefault="00B35391" w:rsidP="00654E8F">
      <w:pPr>
        <w:spacing w:before="240"/>
      </w:pPr>
    </w:p>
    <w:p w14:paraId="20CD084F" w14:textId="74C47F5C" w:rsidR="00B35391" w:rsidRDefault="00B35391" w:rsidP="00654E8F">
      <w:pPr>
        <w:spacing w:before="240"/>
      </w:pPr>
    </w:p>
    <w:p w14:paraId="3156E342" w14:textId="6D59381C" w:rsidR="00B35391" w:rsidRDefault="00B35391" w:rsidP="00654E8F">
      <w:pPr>
        <w:spacing w:before="240"/>
      </w:pPr>
    </w:p>
    <w:p w14:paraId="12CA81E9" w14:textId="7DE6854F" w:rsidR="00B35391" w:rsidRDefault="00B35391" w:rsidP="00654E8F">
      <w:pPr>
        <w:spacing w:before="240"/>
      </w:pPr>
    </w:p>
    <w:p w14:paraId="0F951459" w14:textId="653A5C7E" w:rsidR="00B35391" w:rsidRDefault="00B35391" w:rsidP="00654E8F">
      <w:pPr>
        <w:spacing w:before="240"/>
      </w:pPr>
    </w:p>
    <w:p w14:paraId="0AFB3687" w14:textId="626789F8" w:rsidR="00B35391" w:rsidRDefault="00B35391" w:rsidP="00654E8F">
      <w:pPr>
        <w:spacing w:before="240"/>
      </w:pPr>
    </w:p>
    <w:p w14:paraId="3924E063" w14:textId="56C10204" w:rsidR="00B35391" w:rsidRDefault="00B35391" w:rsidP="00654E8F">
      <w:pPr>
        <w:spacing w:before="240"/>
      </w:pPr>
    </w:p>
    <w:p w14:paraId="45773B4E" w14:textId="0A2AEFBD" w:rsidR="00B35391" w:rsidRDefault="00B35391" w:rsidP="00654E8F">
      <w:pPr>
        <w:spacing w:before="240"/>
      </w:pPr>
    </w:p>
    <w:p w14:paraId="2C3BD551" w14:textId="0E734BFC" w:rsidR="00B35391" w:rsidRDefault="00B35391" w:rsidP="00654E8F">
      <w:pPr>
        <w:spacing w:before="240"/>
      </w:pPr>
    </w:p>
    <w:p w14:paraId="7836C7ED" w14:textId="68A0D6F1" w:rsidR="00B35391" w:rsidRDefault="00B35391" w:rsidP="00654E8F">
      <w:pPr>
        <w:spacing w:before="240"/>
      </w:pPr>
    </w:p>
    <w:p w14:paraId="7D62C186" w14:textId="50A73A0C" w:rsidR="00B35391" w:rsidRDefault="00B35391" w:rsidP="00654E8F">
      <w:pPr>
        <w:spacing w:before="240"/>
      </w:pPr>
    </w:p>
    <w:p w14:paraId="3A6ACEAD" w14:textId="2E87A767" w:rsidR="00B35391" w:rsidRDefault="00B35391" w:rsidP="00654E8F">
      <w:pPr>
        <w:spacing w:before="240"/>
      </w:pPr>
    </w:p>
    <w:p w14:paraId="252DEB1E" w14:textId="6DA1A96C" w:rsidR="00B35391" w:rsidRDefault="00B35391" w:rsidP="00654E8F">
      <w:pPr>
        <w:spacing w:before="240"/>
      </w:pPr>
    </w:p>
    <w:p w14:paraId="6DED9808" w14:textId="4EEE583A" w:rsidR="00B35391" w:rsidRDefault="00B35391" w:rsidP="00654E8F">
      <w:pPr>
        <w:spacing w:before="240"/>
      </w:pPr>
    </w:p>
    <w:p w14:paraId="31BCA8E0" w14:textId="77777777" w:rsidR="00B35391" w:rsidRDefault="00B35391" w:rsidP="00654E8F">
      <w:pPr>
        <w:spacing w:before="240"/>
      </w:pPr>
    </w:p>
    <w:p w14:paraId="18F5B32C" w14:textId="7C53D371" w:rsidR="00E05748" w:rsidRDefault="00E05748" w:rsidP="00E05748">
      <w:pPr>
        <w:spacing w:after="0"/>
        <w:rPr>
          <w:rFonts w:ascii="Arial" w:hAnsi="Arial" w:cs="Arial"/>
          <w:color w:val="000000"/>
          <w:shd w:val="clear" w:color="auto" w:fill="FFFFFF"/>
        </w:rPr>
      </w:pPr>
      <w:r w:rsidRPr="00E05748">
        <w:rPr>
          <w:rFonts w:cs="Times New Roman"/>
          <w:b/>
          <w:szCs w:val="24"/>
        </w:rPr>
        <w:lastRenderedPageBreak/>
        <w:t>Supplementary Table 1</w:t>
      </w:r>
      <w:r w:rsidRPr="00E05748">
        <w:rPr>
          <w:rFonts w:cs="Times New Roman"/>
          <w:b/>
          <w:szCs w:val="24"/>
        </w:rPr>
        <w:t>.</w:t>
      </w:r>
      <w:r w:rsidRPr="00E05748">
        <w:rPr>
          <w:rFonts w:cs="Times New Roman"/>
          <w:b/>
          <w:szCs w:val="24"/>
        </w:rPr>
        <w:t xml:space="preserve"> Parameters of body composition on mice after a 4-week intervention.</w:t>
      </w:r>
      <w:r>
        <w:rPr>
          <w:rFonts w:cs="Times New Roman"/>
          <w:b/>
          <w:szCs w:val="24"/>
        </w:rPr>
        <w:t xml:space="preserve"> </w:t>
      </w:r>
    </w:p>
    <w:p w14:paraId="36E3998D" w14:textId="77777777" w:rsidR="00E05748" w:rsidRPr="00E05748" w:rsidRDefault="00E05748" w:rsidP="00E05748">
      <w:pPr>
        <w:spacing w:after="0"/>
        <w:rPr>
          <w:rFonts w:ascii="Arial" w:hAnsi="Arial" w:cs="Arial"/>
          <w:color w:val="000000"/>
          <w:shd w:val="clear" w:color="auto" w:fill="FFFFFF"/>
        </w:rPr>
      </w:pPr>
    </w:p>
    <w:tbl>
      <w:tblPr>
        <w:tblW w:w="6011" w:type="dxa"/>
        <w:jc w:val="center"/>
        <w:tblLook w:val="04A0" w:firstRow="1" w:lastRow="0" w:firstColumn="1" w:lastColumn="0" w:noHBand="0" w:noVBand="1"/>
      </w:tblPr>
      <w:tblGrid>
        <w:gridCol w:w="1723"/>
        <w:gridCol w:w="1601"/>
        <w:gridCol w:w="1602"/>
        <w:gridCol w:w="1085"/>
      </w:tblGrid>
      <w:tr w:rsidR="00E05748" w:rsidRPr="00F7307E" w14:paraId="732416D1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000000"/>
            <w:noWrap/>
            <w:vAlign w:val="bottom"/>
            <w:hideMark/>
          </w:tcPr>
          <w:p w14:paraId="400BC744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</w:pPr>
            <w:r w:rsidRPr="00151C96"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  <w:t>Parameters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bottom"/>
            <w:hideMark/>
          </w:tcPr>
          <w:p w14:paraId="1EE85851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</w:pPr>
            <w:r w:rsidRPr="00F7307E"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  <w:t>Control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bottom"/>
            <w:hideMark/>
          </w:tcPr>
          <w:p w14:paraId="5290E262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</w:pPr>
            <w:r w:rsidRPr="00F7307E"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  <w:t>BVL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B49A3F8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</w:pPr>
            <w:r w:rsidRPr="00F7307E">
              <w:rPr>
                <w:rFonts w:ascii="Arial" w:eastAsia="Times New Roman" w:hAnsi="Arial" w:cs="Arial"/>
                <w:b/>
                <w:bCs/>
                <w:color w:val="FFFFFF"/>
                <w:szCs w:val="24"/>
              </w:rPr>
              <w:t>p value</w:t>
            </w:r>
          </w:p>
        </w:tc>
      </w:tr>
      <w:tr w:rsidR="00E05748" w:rsidRPr="00F7307E" w14:paraId="7E1BCF2D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A8C32D5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BW</w:t>
            </w:r>
            <w:r w:rsidRPr="00151C96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 xml:space="preserve"> (g)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F86E639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34.44±1.1</w:t>
            </w:r>
            <w:r w:rsidRPr="00F7307E">
              <w:rPr>
                <w:rFonts w:ascii="Arial" w:eastAsia="Times New Roman" w:hAnsi="Arial" w:cs="Arial"/>
                <w:color w:val="D9D9D9"/>
                <w:szCs w:val="24"/>
              </w:rPr>
              <w:t>0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53B1888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30.99±1.02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29151C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0.031</w:t>
            </w:r>
          </w:p>
        </w:tc>
      </w:tr>
      <w:tr w:rsidR="00E05748" w:rsidRPr="00151C96" w14:paraId="59F71951" w14:textId="77777777" w:rsidTr="00996B6C">
        <w:trPr>
          <w:trHeight w:val="325"/>
          <w:jc w:val="center"/>
        </w:trPr>
        <w:tc>
          <w:tcPr>
            <w:tcW w:w="6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7E2DE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szCs w:val="24"/>
              </w:rPr>
            </w:pPr>
            <w:r w:rsidRPr="00F730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4"/>
              </w:rPr>
              <w:t>Tissue</w:t>
            </w:r>
            <w:r w:rsidRPr="00151C9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4"/>
              </w:rPr>
              <w:t xml:space="preserve"> </w:t>
            </w:r>
            <w:r w:rsidRPr="00F730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4"/>
              </w:rPr>
              <w:t>Weight (g)</w:t>
            </w:r>
          </w:p>
        </w:tc>
      </w:tr>
      <w:tr w:rsidR="00E05748" w:rsidRPr="00F7307E" w14:paraId="1EC6BD8A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7931AE1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Ing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17B1D80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1.15±0.11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B27A9C4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0.85±0.12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A89E1E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0.003</w:t>
            </w:r>
          </w:p>
        </w:tc>
      </w:tr>
      <w:tr w:rsidR="00E05748" w:rsidRPr="00F7307E" w14:paraId="6A7F2779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2C67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Epi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4E3A04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2.38±0.1</w:t>
            </w:r>
            <w:r w:rsidRPr="00F7307E">
              <w:rPr>
                <w:rFonts w:ascii="Arial" w:eastAsia="Times New Roman" w:hAnsi="Arial" w:cs="Arial"/>
                <w:color w:val="FFFFFF"/>
                <w:szCs w:val="24"/>
              </w:rPr>
              <w:t>0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149A0D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1.75±0.23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69C18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0.031</w:t>
            </w:r>
          </w:p>
        </w:tc>
      </w:tr>
      <w:tr w:rsidR="00E05748" w:rsidRPr="00F7307E" w14:paraId="0B375D43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B1A363C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BAT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79F5724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0.09±0.01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6DED486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0.07±0.01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8BE75B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0.069</w:t>
            </w:r>
          </w:p>
        </w:tc>
      </w:tr>
      <w:tr w:rsidR="00E05748" w:rsidRPr="00F7307E" w14:paraId="4B8EF04B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8697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Liver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9531FC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0.94±0.13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AB764C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0.87±0.04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63512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0.325</w:t>
            </w:r>
          </w:p>
        </w:tc>
      </w:tr>
      <w:tr w:rsidR="00E05748" w:rsidRPr="00F7307E" w14:paraId="327CDDF3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5A557A5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Mus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3202C15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0.26±0.02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44804FC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0.33±0.03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F40BFE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0.049</w:t>
            </w:r>
          </w:p>
        </w:tc>
      </w:tr>
      <w:tr w:rsidR="00E05748" w:rsidRPr="00F7307E" w14:paraId="7C38C2F3" w14:textId="77777777" w:rsidTr="00996B6C">
        <w:trPr>
          <w:trHeight w:val="325"/>
          <w:jc w:val="center"/>
        </w:trPr>
        <w:tc>
          <w:tcPr>
            <w:tcW w:w="492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5B8279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4"/>
              </w:rPr>
              <w:t>Relative Percentage to BW (%)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5BF0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4"/>
              </w:rPr>
            </w:pPr>
          </w:p>
        </w:tc>
      </w:tr>
      <w:tr w:rsidR="00E05748" w:rsidRPr="00F7307E" w14:paraId="6F356283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89BF065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Ing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1622B56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3.31±0.23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E253126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2.73±0.32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DB4D67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0.001</w:t>
            </w:r>
          </w:p>
        </w:tc>
      </w:tr>
      <w:tr w:rsidR="00E05748" w:rsidRPr="00F7307E" w14:paraId="6AB4E5F0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27EF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Epi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35EED7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6.92±0.12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18810D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5.6±0.53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BAC7C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0.042</w:t>
            </w:r>
          </w:p>
        </w:tc>
      </w:tr>
      <w:tr w:rsidR="00E05748" w:rsidRPr="00F7307E" w14:paraId="224A9D13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8E620AC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BAT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F804351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0.27±0.02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6A37CA7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0.24±0.01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F1E0D1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0.115</w:t>
            </w:r>
          </w:p>
        </w:tc>
      </w:tr>
      <w:tr w:rsidR="00E05748" w:rsidRPr="00F7307E" w14:paraId="7281A8D8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B201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Liver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518A81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2.69±0.26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3B7545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2.81±0.13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9BF3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0.350</w:t>
            </w:r>
          </w:p>
        </w:tc>
      </w:tr>
      <w:tr w:rsidR="00E05748" w:rsidRPr="00F7307E" w14:paraId="15DD648A" w14:textId="77777777" w:rsidTr="00E05748">
        <w:trPr>
          <w:trHeight w:val="32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3375210" w14:textId="77777777" w:rsidR="00E05748" w:rsidRPr="00F7307E" w:rsidRDefault="00E05748" w:rsidP="00996B6C">
            <w:pPr>
              <w:spacing w:after="0"/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i/>
                <w:iCs/>
                <w:color w:val="000000"/>
                <w:szCs w:val="24"/>
              </w:rPr>
              <w:t>Mus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C5429B9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0.76±0.08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3D16610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1.06±0.11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455513" w14:textId="77777777" w:rsidR="00E05748" w:rsidRPr="00F7307E" w:rsidRDefault="00E05748" w:rsidP="00996B6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7307E">
              <w:rPr>
                <w:rFonts w:ascii="Arial" w:eastAsia="Times New Roman" w:hAnsi="Arial" w:cs="Arial"/>
                <w:color w:val="000000"/>
                <w:szCs w:val="24"/>
              </w:rPr>
              <w:t>0.024</w:t>
            </w:r>
          </w:p>
        </w:tc>
      </w:tr>
    </w:tbl>
    <w:p w14:paraId="39B2BC7C" w14:textId="23AAF8A6" w:rsidR="00E05748" w:rsidRDefault="00E05748" w:rsidP="00654E8F">
      <w:pPr>
        <w:spacing w:before="240"/>
        <w:rPr>
          <w:rFonts w:cs="Times New Roman"/>
          <w:bCs/>
          <w:szCs w:val="24"/>
        </w:rPr>
      </w:pPr>
      <w:r w:rsidRPr="00E05748">
        <w:rPr>
          <w:rFonts w:cs="Times New Roman"/>
          <w:bCs/>
          <w:szCs w:val="24"/>
        </w:rPr>
        <w:t>n=4 per group. The difference between two groups was considered significant when p &lt; 0.05.</w:t>
      </w:r>
    </w:p>
    <w:p w14:paraId="7111B718" w14:textId="4FA9F5CD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46478A78" w14:textId="419804FF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00047798" w14:textId="466CA43C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50E57D78" w14:textId="0F0B4CF9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3F94A0E8" w14:textId="43EDC3D1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137DF31C" w14:textId="61E425E7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088EF99F" w14:textId="700AEF0C" w:rsidR="00B35391" w:rsidRDefault="00B35391" w:rsidP="00654E8F">
      <w:pPr>
        <w:spacing w:before="240"/>
        <w:rPr>
          <w:rFonts w:cs="Times New Roman"/>
          <w:bCs/>
          <w:szCs w:val="24"/>
        </w:rPr>
      </w:pPr>
    </w:p>
    <w:p w14:paraId="19496CEC" w14:textId="3FAA2A6B" w:rsidR="00B35391" w:rsidRDefault="00B35391" w:rsidP="00654E8F">
      <w:pPr>
        <w:spacing w:before="240"/>
      </w:pPr>
      <w:r>
        <w:rPr>
          <w:rFonts w:ascii="Arial" w:hAnsi="Arial" w:cs="Arial"/>
          <w:b/>
          <w:bCs/>
          <w:noProof/>
          <w:color w:val="000000"/>
          <w:szCs w:val="24"/>
          <w:shd w:val="clear" w:color="auto" w:fill="FFFFFF"/>
        </w:rPr>
        <w:lastRenderedPageBreak/>
        <w:drawing>
          <wp:inline distT="0" distB="0" distL="0" distR="0" wp14:anchorId="5B3FDDF0" wp14:editId="3C3221AB">
            <wp:extent cx="5320348" cy="68866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22" cy="689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A2F0C" w14:textId="2DA759F7" w:rsidR="00B35391" w:rsidRDefault="00B35391" w:rsidP="00B35391">
      <w:pPr>
        <w:jc w:val="both"/>
        <w:rPr>
          <w:rFonts w:cs="Times New Roman"/>
          <w:bCs/>
          <w:szCs w:val="24"/>
        </w:rPr>
      </w:pPr>
      <w:r w:rsidRPr="00B35391">
        <w:rPr>
          <w:rFonts w:cs="Times New Roman"/>
          <w:b/>
          <w:szCs w:val="24"/>
        </w:rPr>
        <w:t>Supplementary Figure 2</w:t>
      </w:r>
      <w:r w:rsidRPr="00B35391">
        <w:rPr>
          <w:rFonts w:cs="Times New Roman"/>
          <w:b/>
          <w:szCs w:val="24"/>
        </w:rPr>
        <w:t xml:space="preserve">. </w:t>
      </w:r>
      <w:r w:rsidRPr="00B35391">
        <w:rPr>
          <w:rFonts w:cs="Times New Roman"/>
          <w:b/>
          <w:szCs w:val="24"/>
        </w:rPr>
        <w:t>(A)</w:t>
      </w:r>
      <w:r w:rsidRPr="00B35391">
        <w:rPr>
          <w:rFonts w:cs="Times New Roman"/>
          <w:bCs/>
          <w:szCs w:val="24"/>
        </w:rPr>
        <w:t xml:space="preserve"> 3T3-L1 cells were differentiated with or without various fractions of BVL (BVL-1-BVL-7) at 75 µg/ml. ORO staining from adipocytes (D8) and quantitative analysis were shown. </w:t>
      </w:r>
      <w:r w:rsidRPr="00B35391">
        <w:rPr>
          <w:rFonts w:cs="Times New Roman"/>
          <w:b/>
          <w:szCs w:val="24"/>
        </w:rPr>
        <w:t>(B)</w:t>
      </w:r>
      <w:r w:rsidRPr="00B35391">
        <w:rPr>
          <w:rFonts w:cs="Times New Roman"/>
          <w:bCs/>
          <w:szCs w:val="24"/>
        </w:rPr>
        <w:t xml:space="preserve"> 3T3-L1 cells were treated with indicated doses during the adipocyte differentiation. The representative ORO staining image and the quantitative analysis were shown. The cell viability in preadipocytes </w:t>
      </w:r>
      <w:r w:rsidRPr="00B35391">
        <w:rPr>
          <w:rFonts w:cs="Times New Roman"/>
          <w:b/>
          <w:szCs w:val="24"/>
        </w:rPr>
        <w:t>(C)</w:t>
      </w:r>
      <w:r w:rsidRPr="00B35391">
        <w:rPr>
          <w:rFonts w:cs="Times New Roman"/>
          <w:bCs/>
          <w:szCs w:val="24"/>
        </w:rPr>
        <w:t xml:space="preserve"> and adipocytes </w:t>
      </w:r>
      <w:r w:rsidRPr="00B35391">
        <w:rPr>
          <w:rFonts w:cs="Times New Roman"/>
          <w:b/>
          <w:szCs w:val="24"/>
        </w:rPr>
        <w:t>(D)</w:t>
      </w:r>
      <w:r w:rsidRPr="00B35391">
        <w:rPr>
          <w:rFonts w:cs="Times New Roman"/>
          <w:bCs/>
          <w:szCs w:val="24"/>
        </w:rPr>
        <w:t xml:space="preserve"> was detected using MTT assay. </w:t>
      </w:r>
      <w:r w:rsidRPr="00B35391">
        <w:rPr>
          <w:rFonts w:cs="Times New Roman"/>
          <w:b/>
          <w:szCs w:val="24"/>
        </w:rPr>
        <w:t>(E)</w:t>
      </w:r>
      <w:r w:rsidRPr="00B35391">
        <w:rPr>
          <w:rFonts w:cs="Times New Roman"/>
          <w:bCs/>
          <w:szCs w:val="24"/>
        </w:rPr>
        <w:t xml:space="preserve"> 3T3-L1 preadipocytes were differentiated with or without BVL (100 µg/ml) at the indicated time. After 8 days of differentiation, ORO staining was performed, and the corresponding quantification was shown to determine the </w:t>
      </w:r>
      <w:r w:rsidRPr="00B35391">
        <w:rPr>
          <w:rFonts w:cs="Times New Roman"/>
          <w:bCs/>
          <w:szCs w:val="24"/>
        </w:rPr>
        <w:lastRenderedPageBreak/>
        <w:t>intracellular lipid content. The values were presented using</w:t>
      </w:r>
      <w:r>
        <w:rPr>
          <w:rFonts w:cs="Times New Roman"/>
          <w:bCs/>
          <w:szCs w:val="24"/>
        </w:rPr>
        <w:t xml:space="preserve"> </w:t>
      </w:r>
      <w:r w:rsidRPr="00B35391">
        <w:rPr>
          <w:rFonts w:cs="Times New Roman"/>
          <w:bCs/>
          <w:szCs w:val="24"/>
        </w:rPr>
        <w:t>mean ± SEM and each experiment was repeated at least 3 times. * p&lt;0.05.</w:t>
      </w:r>
    </w:p>
    <w:p w14:paraId="0833223D" w14:textId="2CB538E8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3F54DF58" w14:textId="3608FC40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11C1EF75" w14:textId="580C0490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6017F6D5" w14:textId="12652026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4C8F1251" w14:textId="27BE9654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5599D361" w14:textId="094F194B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3A89F8AF" w14:textId="5A163261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2097A728" w14:textId="74F45CEE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5D9E0787" w14:textId="1293A3A2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44F92C4F" w14:textId="26259DDB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0C259528" w14:textId="18D7D4A8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2B06028E" w14:textId="209CCD0A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3A72CF1A" w14:textId="617FE372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024585CD" w14:textId="402AC6D7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441AF6E1" w14:textId="597DFF3C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51B59768" w14:textId="3E7E5F3A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111803DF" w14:textId="615946A5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38F81078" w14:textId="1F9C8DFC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53FFAD79" w14:textId="12AEEC40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5BAA1F4D" w14:textId="287FB4D3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4648D30D" w14:textId="72D56FBD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012C9396" w14:textId="26268097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2E1FE2F2" w14:textId="185224D6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76C9F7EC" w14:textId="3D39030F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4F3726B2" w14:textId="0BAE4211" w:rsidR="00B35391" w:rsidRDefault="00B35391" w:rsidP="00B35391">
      <w:pPr>
        <w:jc w:val="both"/>
        <w:rPr>
          <w:rFonts w:cs="Times New Roman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BD5975D" wp14:editId="0C1C92A5">
            <wp:extent cx="5663565" cy="23760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82" cy="237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E5D02" w14:textId="077E10A7" w:rsidR="00B35391" w:rsidRPr="00B35391" w:rsidRDefault="00B35391" w:rsidP="002B1072">
      <w:pPr>
        <w:jc w:val="both"/>
        <w:rPr>
          <w:rFonts w:cs="Times New Roman"/>
          <w:bCs/>
          <w:szCs w:val="24"/>
        </w:rPr>
      </w:pPr>
      <w:r w:rsidRPr="00B35391">
        <w:rPr>
          <w:rFonts w:cs="Times New Roman"/>
          <w:b/>
          <w:szCs w:val="24"/>
        </w:rPr>
        <w:t>Supplementary Figure 3</w:t>
      </w:r>
      <w:r w:rsidRPr="00B35391">
        <w:rPr>
          <w:rFonts w:cs="Times New Roman"/>
          <w:b/>
          <w:szCs w:val="24"/>
        </w:rPr>
        <w:t xml:space="preserve">. </w:t>
      </w:r>
      <w:r w:rsidRPr="00B35391">
        <w:rPr>
          <w:rFonts w:cs="Times New Roman"/>
          <w:b/>
          <w:szCs w:val="24"/>
        </w:rPr>
        <w:t>(A)</w:t>
      </w:r>
      <w:r w:rsidRPr="00B35391">
        <w:rPr>
          <w:rFonts w:cs="Times New Roman"/>
          <w:bCs/>
          <w:szCs w:val="24"/>
        </w:rPr>
        <w:t xml:space="preserve"> Food intake. </w:t>
      </w:r>
      <w:r w:rsidRPr="00B35391">
        <w:rPr>
          <w:rFonts w:cs="Times New Roman"/>
          <w:b/>
          <w:szCs w:val="24"/>
        </w:rPr>
        <w:t>(B)</w:t>
      </w:r>
      <w:r w:rsidRPr="00B35391">
        <w:rPr>
          <w:rFonts w:cs="Times New Roman"/>
          <w:bCs/>
          <w:szCs w:val="24"/>
        </w:rPr>
        <w:t xml:space="preserve"> Rectal core body temperature of HFD fed mice and HFD+BV fed mice was measured at 4°C. * p&lt;0.05 (n=4).</w:t>
      </w:r>
    </w:p>
    <w:p w14:paraId="37292CC4" w14:textId="77777777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334CF385" w14:textId="2A270352" w:rsidR="00B35391" w:rsidRDefault="00B35391" w:rsidP="00B35391">
      <w:pPr>
        <w:jc w:val="both"/>
        <w:rPr>
          <w:rFonts w:cs="Times New Roman"/>
          <w:bCs/>
          <w:szCs w:val="24"/>
        </w:rPr>
      </w:pPr>
    </w:p>
    <w:p w14:paraId="35B717A3" w14:textId="77777777" w:rsidR="00B35391" w:rsidRPr="00B35391" w:rsidRDefault="00B35391" w:rsidP="00B35391">
      <w:pPr>
        <w:jc w:val="both"/>
        <w:rPr>
          <w:rFonts w:cs="Times New Roman"/>
          <w:bCs/>
          <w:szCs w:val="24"/>
        </w:rPr>
      </w:pPr>
    </w:p>
    <w:sectPr w:rsidR="00B35391" w:rsidRPr="00B35391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7CA80" w14:textId="77777777" w:rsidR="004B32BC" w:rsidRDefault="004B32BC" w:rsidP="00117666">
      <w:pPr>
        <w:spacing w:after="0"/>
      </w:pPr>
      <w:r>
        <w:separator/>
      </w:r>
    </w:p>
  </w:endnote>
  <w:endnote w:type="continuationSeparator" w:id="0">
    <w:p w14:paraId="2B212443" w14:textId="77777777" w:rsidR="004B32BC" w:rsidRDefault="004B32B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26AC0" w14:textId="77777777" w:rsidR="004B32BC" w:rsidRDefault="004B32BC" w:rsidP="00117666">
      <w:pPr>
        <w:spacing w:after="0"/>
      </w:pPr>
      <w:r>
        <w:separator/>
      </w:r>
    </w:p>
  </w:footnote>
  <w:footnote w:type="continuationSeparator" w:id="0">
    <w:p w14:paraId="009EE49D" w14:textId="77777777" w:rsidR="004B32BC" w:rsidRDefault="004B32B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1072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B32BC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76B68"/>
    <w:rsid w:val="00994A3D"/>
    <w:rsid w:val="009C2B12"/>
    <w:rsid w:val="00A174D9"/>
    <w:rsid w:val="00AA4D24"/>
    <w:rsid w:val="00AB6715"/>
    <w:rsid w:val="00B1671E"/>
    <w:rsid w:val="00B25EB8"/>
    <w:rsid w:val="00B35391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0574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25</TotalTime>
  <Pages>6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Chen, Chih-Yu</cp:lastModifiedBy>
  <cp:revision>6</cp:revision>
  <cp:lastPrinted>2013-10-03T12:51:00Z</cp:lastPrinted>
  <dcterms:created xsi:type="dcterms:W3CDTF">2020-10-19T14:33:00Z</dcterms:created>
  <dcterms:modified xsi:type="dcterms:W3CDTF">2020-10-19T14:58:00Z</dcterms:modified>
</cp:coreProperties>
</file>