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4D" w:rsidRPr="00B64995" w:rsidRDefault="001E774D" w:rsidP="001E774D">
      <w:pPr>
        <w:spacing w:line="276" w:lineRule="auto"/>
        <w:rPr>
          <w:rFonts w:ascii="Times New Roman" w:hAnsi="Times New Roman"/>
          <w:color w:val="auto"/>
        </w:rPr>
      </w:pPr>
      <w:r w:rsidRPr="00B64995">
        <w:rPr>
          <w:rFonts w:ascii="Times New Roman" w:hAnsi="Times New Roman"/>
          <w:color w:val="auto"/>
        </w:rPr>
        <w:t>Appendix 4:</w:t>
      </w:r>
    </w:p>
    <w:p w:rsidR="001E774D" w:rsidRPr="00B64995" w:rsidRDefault="001E774D" w:rsidP="001E774D">
      <w:pPr>
        <w:spacing w:line="276" w:lineRule="auto"/>
        <w:rPr>
          <w:rFonts w:ascii="Times New Roman" w:hAnsi="Times New Roman"/>
          <w:color w:val="auto"/>
        </w:rPr>
      </w:pPr>
    </w:p>
    <w:p w:rsidR="001E774D" w:rsidRPr="00B64995" w:rsidRDefault="001E774D" w:rsidP="001E774D">
      <w:pPr>
        <w:spacing w:line="276" w:lineRule="auto"/>
        <w:jc w:val="both"/>
        <w:rPr>
          <w:rFonts w:ascii="Times New Roman" w:eastAsia="Calibri" w:hAnsi="Times New Roman"/>
          <w:color w:val="000000"/>
          <w:sz w:val="21"/>
        </w:rPr>
      </w:pPr>
      <w:r w:rsidRPr="00B64995">
        <w:rPr>
          <w:rFonts w:ascii="Times New Roman" w:eastAsia="Calibri" w:hAnsi="Times New Roman"/>
          <w:b/>
          <w:color w:val="000000"/>
          <w:sz w:val="21"/>
        </w:rPr>
        <w:t xml:space="preserve">Appendix 4: </w:t>
      </w:r>
      <w:r w:rsidRPr="00B64995">
        <w:rPr>
          <w:rFonts w:ascii="Times New Roman" w:eastAsia="Calibri" w:hAnsi="Times New Roman"/>
          <w:color w:val="000000"/>
          <w:sz w:val="21"/>
        </w:rPr>
        <w:t xml:space="preserve">Provides a breakdown of the different interview responses that make up each barrier category. </w:t>
      </w:r>
    </w:p>
    <w:p w:rsidR="001E774D" w:rsidRPr="00B64995" w:rsidRDefault="001E774D" w:rsidP="001E774D">
      <w:pPr>
        <w:spacing w:line="276" w:lineRule="auto"/>
        <w:jc w:val="both"/>
        <w:rPr>
          <w:rFonts w:ascii="Times New Roman" w:eastAsia="Calibri" w:hAnsi="Times New Roman"/>
          <w:color w:val="000000"/>
          <w:sz w:val="21"/>
        </w:rPr>
      </w:pPr>
    </w:p>
    <w:tbl>
      <w:tblPr>
        <w:tblW w:w="9175" w:type="dxa"/>
        <w:tblInd w:w="113" w:type="dxa"/>
        <w:tblLayout w:type="fixed"/>
        <w:tblLook w:val="04A0" w:firstRow="1" w:lastRow="0" w:firstColumn="1" w:lastColumn="0" w:noHBand="0" w:noVBand="1"/>
      </w:tblPr>
      <w:tblGrid>
        <w:gridCol w:w="2400"/>
        <w:gridCol w:w="4165"/>
        <w:gridCol w:w="2610"/>
      </w:tblGrid>
      <w:tr w:rsidR="001E774D" w:rsidRPr="00B64995" w:rsidTr="003E4D76">
        <w:trPr>
          <w:trHeight w:val="350"/>
        </w:trPr>
        <w:tc>
          <w:tcPr>
            <w:tcW w:w="2400" w:type="dxa"/>
            <w:tcBorders>
              <w:top w:val="single" w:sz="4" w:space="0" w:color="auto"/>
              <w:left w:val="single" w:sz="4" w:space="0" w:color="auto"/>
              <w:bottom w:val="single" w:sz="4" w:space="0" w:color="auto"/>
              <w:right w:val="nil"/>
            </w:tcBorders>
            <w:shd w:val="clear" w:color="000000" w:fill="F2F2F2"/>
            <w:vAlign w:val="center"/>
            <w:hideMark/>
          </w:tcPr>
          <w:p w:rsidR="001E774D" w:rsidRPr="00B64995" w:rsidRDefault="001E774D" w:rsidP="003E4D76">
            <w:pPr>
              <w:spacing w:line="276" w:lineRule="auto"/>
              <w:jc w:val="center"/>
              <w:rPr>
                <w:rFonts w:ascii="Times New Roman" w:eastAsia="Times New Roman" w:hAnsi="Times New Roman"/>
                <w:b/>
                <w:bCs/>
                <w:color w:val="000000"/>
                <w:sz w:val="20"/>
                <w:szCs w:val="20"/>
                <w:u w:val="single"/>
              </w:rPr>
            </w:pPr>
            <w:r w:rsidRPr="00B64995">
              <w:rPr>
                <w:rFonts w:ascii="Times New Roman" w:eastAsia="Times New Roman" w:hAnsi="Times New Roman"/>
                <w:b/>
                <w:bCs/>
                <w:color w:val="000000"/>
                <w:sz w:val="20"/>
                <w:szCs w:val="20"/>
                <w:u w:val="single"/>
              </w:rPr>
              <w:t>Barrier</w:t>
            </w:r>
          </w:p>
        </w:tc>
        <w:tc>
          <w:tcPr>
            <w:tcW w:w="4165" w:type="dxa"/>
            <w:tcBorders>
              <w:top w:val="single" w:sz="4" w:space="0" w:color="auto"/>
              <w:left w:val="nil"/>
              <w:bottom w:val="single" w:sz="4" w:space="0" w:color="auto"/>
              <w:right w:val="nil"/>
            </w:tcBorders>
            <w:shd w:val="clear" w:color="000000" w:fill="F2F2F2"/>
            <w:vAlign w:val="center"/>
            <w:hideMark/>
          </w:tcPr>
          <w:p w:rsidR="001E774D" w:rsidRPr="00B64995" w:rsidRDefault="001E774D" w:rsidP="003E4D76">
            <w:pPr>
              <w:spacing w:line="276" w:lineRule="auto"/>
              <w:jc w:val="center"/>
              <w:rPr>
                <w:rFonts w:ascii="Times New Roman" w:eastAsia="Times New Roman" w:hAnsi="Times New Roman"/>
                <w:b/>
                <w:bCs/>
                <w:color w:val="000000"/>
                <w:sz w:val="20"/>
                <w:szCs w:val="20"/>
                <w:u w:val="single"/>
              </w:rPr>
            </w:pPr>
            <w:r w:rsidRPr="00B64995">
              <w:rPr>
                <w:rFonts w:ascii="Times New Roman" w:eastAsia="Times New Roman" w:hAnsi="Times New Roman"/>
                <w:b/>
                <w:bCs/>
                <w:color w:val="000000"/>
                <w:sz w:val="20"/>
                <w:szCs w:val="20"/>
                <w:u w:val="single"/>
              </w:rPr>
              <w:t>Description</w:t>
            </w:r>
          </w:p>
        </w:tc>
        <w:tc>
          <w:tcPr>
            <w:tcW w:w="2610" w:type="dxa"/>
            <w:tcBorders>
              <w:top w:val="single" w:sz="4" w:space="0" w:color="auto"/>
              <w:left w:val="nil"/>
              <w:bottom w:val="single" w:sz="4" w:space="0" w:color="auto"/>
              <w:right w:val="single" w:sz="4" w:space="0" w:color="auto"/>
            </w:tcBorders>
            <w:shd w:val="clear" w:color="000000" w:fill="F2F2F2"/>
            <w:vAlign w:val="center"/>
            <w:hideMark/>
          </w:tcPr>
          <w:p w:rsidR="001E774D" w:rsidRPr="00B64995" w:rsidRDefault="001E774D" w:rsidP="003E4D76">
            <w:pPr>
              <w:spacing w:line="276" w:lineRule="auto"/>
              <w:jc w:val="center"/>
              <w:rPr>
                <w:rFonts w:ascii="Times New Roman" w:eastAsia="Times New Roman" w:hAnsi="Times New Roman"/>
                <w:b/>
                <w:bCs/>
                <w:color w:val="000000"/>
                <w:sz w:val="20"/>
                <w:szCs w:val="20"/>
                <w:u w:val="single"/>
              </w:rPr>
            </w:pPr>
            <w:r w:rsidRPr="00B64995">
              <w:rPr>
                <w:rFonts w:ascii="Times New Roman" w:eastAsia="Times New Roman" w:hAnsi="Times New Roman"/>
                <w:b/>
                <w:bCs/>
                <w:color w:val="000000"/>
                <w:sz w:val="20"/>
                <w:szCs w:val="20"/>
                <w:u w:val="single"/>
              </w:rPr>
              <w:t>Response type</w:t>
            </w:r>
          </w:p>
        </w:tc>
      </w:tr>
      <w:tr w:rsidR="001E774D" w:rsidRPr="00B64995" w:rsidTr="003E4D76">
        <w:trPr>
          <w:trHeight w:val="692"/>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Financial constraints</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Respondent noted that a lack of Government budget and other finance for projects was reducing the levels of uptake and implementation</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Budget for implementation (2)</w:t>
            </w:r>
            <w:r w:rsidRPr="00B64995">
              <w:rPr>
                <w:rFonts w:ascii="Times New Roman" w:eastAsia="Times New Roman" w:hAnsi="Times New Roman"/>
                <w:color w:val="000000"/>
                <w:sz w:val="20"/>
                <w:szCs w:val="20"/>
              </w:rPr>
              <w:br/>
              <w:t>Budget (10)</w:t>
            </w:r>
            <w:r w:rsidRPr="00B64995">
              <w:rPr>
                <w:rFonts w:ascii="Times New Roman" w:eastAsia="Times New Roman" w:hAnsi="Times New Roman"/>
                <w:color w:val="000000"/>
                <w:sz w:val="20"/>
                <w:szCs w:val="20"/>
              </w:rPr>
              <w:br/>
              <w:t>Finance (6)</w:t>
            </w:r>
          </w:p>
        </w:tc>
      </w:tr>
      <w:tr w:rsidR="001E774D" w:rsidRPr="00B64995" w:rsidTr="003E4D76">
        <w:trPr>
          <w:trHeight w:val="1187"/>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Inter-Ministry collaboration</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 xml:space="preserve">A failure to communicate between the ministries and other sectors limits the success of policy </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Determining responsibility</w:t>
            </w:r>
            <w:r w:rsidRPr="00B64995">
              <w:rPr>
                <w:rFonts w:ascii="Times New Roman" w:eastAsia="Times New Roman" w:hAnsi="Times New Roman"/>
                <w:color w:val="000000"/>
                <w:sz w:val="20"/>
                <w:szCs w:val="20"/>
              </w:rPr>
              <w:br/>
              <w:t>Coordination (3)</w:t>
            </w:r>
            <w:r w:rsidRPr="00B64995">
              <w:rPr>
                <w:rFonts w:ascii="Times New Roman" w:eastAsia="Times New Roman" w:hAnsi="Times New Roman"/>
                <w:color w:val="000000"/>
                <w:sz w:val="20"/>
                <w:szCs w:val="20"/>
              </w:rPr>
              <w:br/>
              <w:t>Lack of collaboration (3)</w:t>
            </w:r>
            <w:r w:rsidRPr="00B64995">
              <w:rPr>
                <w:rFonts w:ascii="Times New Roman" w:eastAsia="Times New Roman" w:hAnsi="Times New Roman"/>
                <w:color w:val="000000"/>
                <w:sz w:val="20"/>
                <w:szCs w:val="20"/>
              </w:rPr>
              <w:br/>
              <w:t>Ministry cooperation (7)</w:t>
            </w:r>
            <w:r w:rsidRPr="00B64995">
              <w:rPr>
                <w:rFonts w:ascii="Times New Roman" w:eastAsia="Times New Roman" w:hAnsi="Times New Roman"/>
                <w:color w:val="000000"/>
                <w:sz w:val="20"/>
                <w:szCs w:val="20"/>
              </w:rPr>
              <w:br/>
              <w:t>Competing objectives</w:t>
            </w:r>
            <w:r w:rsidRPr="00B64995">
              <w:rPr>
                <w:rFonts w:ascii="Times New Roman" w:eastAsia="Times New Roman" w:hAnsi="Times New Roman"/>
                <w:color w:val="000000"/>
                <w:sz w:val="20"/>
                <w:szCs w:val="20"/>
              </w:rPr>
              <w:br/>
              <w:t>Poor cross sector engagement</w:t>
            </w:r>
          </w:p>
        </w:tc>
      </w:tr>
      <w:tr w:rsidR="001E774D" w:rsidRPr="00B64995" w:rsidTr="003E4D76">
        <w:trPr>
          <w:trHeight w:val="1412"/>
        </w:trPr>
        <w:tc>
          <w:tcPr>
            <w:tcW w:w="2400" w:type="dxa"/>
            <w:tcBorders>
              <w:top w:val="nil"/>
              <w:left w:val="single" w:sz="4" w:space="0" w:color="auto"/>
              <w:bottom w:val="single" w:sz="4" w:space="0" w:color="auto"/>
              <w:right w:val="nil"/>
            </w:tcBorders>
            <w:shd w:val="clear" w:color="auto" w:fill="auto"/>
            <w:noWrap/>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Capacity human / technical</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low technical and human capacity acts as a barrier to policy creation and implementation as individuals don’t have the skills and expertise to complete what is required of them, or there are not enough people to put policy into action</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Capacity (3)</w:t>
            </w:r>
            <w:r w:rsidRPr="00B64995">
              <w:rPr>
                <w:rFonts w:ascii="Times New Roman" w:eastAsia="Times New Roman" w:hAnsi="Times New Roman"/>
                <w:color w:val="000000"/>
                <w:sz w:val="20"/>
                <w:szCs w:val="20"/>
              </w:rPr>
              <w:br/>
              <w:t>Expertise</w:t>
            </w:r>
            <w:r w:rsidRPr="00B64995">
              <w:rPr>
                <w:rFonts w:ascii="Times New Roman" w:eastAsia="Times New Roman" w:hAnsi="Times New Roman"/>
                <w:color w:val="000000"/>
                <w:sz w:val="20"/>
                <w:szCs w:val="20"/>
              </w:rPr>
              <w:br/>
              <w:t>Technical capacity (3)</w:t>
            </w:r>
            <w:r w:rsidRPr="00B64995">
              <w:rPr>
                <w:rFonts w:ascii="Times New Roman" w:eastAsia="Times New Roman" w:hAnsi="Times New Roman"/>
                <w:color w:val="000000"/>
                <w:sz w:val="20"/>
                <w:szCs w:val="20"/>
              </w:rPr>
              <w:br/>
              <w:t>Technical capacity at lower levels</w:t>
            </w:r>
            <w:r w:rsidRPr="00B64995">
              <w:rPr>
                <w:rFonts w:ascii="Times New Roman" w:eastAsia="Times New Roman" w:hAnsi="Times New Roman"/>
                <w:color w:val="000000"/>
                <w:sz w:val="20"/>
                <w:szCs w:val="20"/>
              </w:rPr>
              <w:br/>
              <w:t>Human capacity (2)</w:t>
            </w:r>
            <w:r w:rsidRPr="00B64995">
              <w:rPr>
                <w:rFonts w:ascii="Times New Roman" w:eastAsia="Times New Roman" w:hAnsi="Times New Roman"/>
                <w:color w:val="000000"/>
                <w:sz w:val="20"/>
                <w:szCs w:val="20"/>
              </w:rPr>
              <w:br/>
              <w:t>Knowledge</w:t>
            </w:r>
            <w:r w:rsidRPr="00B64995">
              <w:rPr>
                <w:rFonts w:ascii="Times New Roman" w:eastAsia="Times New Roman" w:hAnsi="Times New Roman"/>
                <w:color w:val="000000"/>
                <w:sz w:val="20"/>
                <w:szCs w:val="20"/>
              </w:rPr>
              <w:br/>
              <w:t>Implementation capacity</w:t>
            </w:r>
          </w:p>
        </w:tc>
      </w:tr>
      <w:tr w:rsidR="001E774D" w:rsidRPr="00B64995" w:rsidTr="003E4D76">
        <w:trPr>
          <w:trHeight w:val="818"/>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 xml:space="preserve">Enforcement / verification </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Without effective feedback, monitoring and enforcement it is hard to determine success and ensure adoption</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Enforcement (5)</w:t>
            </w:r>
            <w:r w:rsidRPr="00B64995">
              <w:rPr>
                <w:rFonts w:ascii="Times New Roman" w:eastAsia="Times New Roman" w:hAnsi="Times New Roman"/>
                <w:color w:val="000000"/>
                <w:sz w:val="20"/>
                <w:szCs w:val="20"/>
              </w:rPr>
              <w:br/>
              <w:t>Lack of MRV (2)</w:t>
            </w:r>
            <w:r w:rsidRPr="00B64995">
              <w:rPr>
                <w:rFonts w:ascii="Times New Roman" w:eastAsia="Times New Roman" w:hAnsi="Times New Roman"/>
                <w:color w:val="000000"/>
                <w:sz w:val="20"/>
                <w:szCs w:val="20"/>
              </w:rPr>
              <w:br/>
              <w:t>No reporting on success</w:t>
            </w:r>
            <w:r w:rsidRPr="00B64995">
              <w:rPr>
                <w:rFonts w:ascii="Times New Roman" w:eastAsia="Times New Roman" w:hAnsi="Times New Roman"/>
                <w:color w:val="000000"/>
                <w:sz w:val="20"/>
                <w:szCs w:val="20"/>
              </w:rPr>
              <w:br/>
              <w:t>Evaluation (2)</w:t>
            </w:r>
          </w:p>
        </w:tc>
      </w:tr>
      <w:tr w:rsidR="001E774D" w:rsidRPr="00B64995" w:rsidTr="003E4D76">
        <w:trPr>
          <w:trHeight w:val="1151"/>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Knowledge brokerage</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Refers to the feeling of respondents that the information needed to make decisions was either not there or not being made available to them</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Info sharing</w:t>
            </w:r>
            <w:r w:rsidRPr="00B64995">
              <w:rPr>
                <w:rFonts w:ascii="Times New Roman" w:eastAsia="Times New Roman" w:hAnsi="Times New Roman"/>
                <w:color w:val="000000"/>
                <w:sz w:val="20"/>
                <w:szCs w:val="20"/>
              </w:rPr>
              <w:br/>
              <w:t>Messy data</w:t>
            </w:r>
            <w:r w:rsidRPr="00B64995">
              <w:rPr>
                <w:rFonts w:ascii="Times New Roman" w:eastAsia="Times New Roman" w:hAnsi="Times New Roman"/>
                <w:color w:val="000000"/>
                <w:sz w:val="20"/>
                <w:szCs w:val="20"/>
              </w:rPr>
              <w:br/>
              <w:t>Poor communication</w:t>
            </w:r>
            <w:r w:rsidRPr="00B64995">
              <w:rPr>
                <w:rFonts w:ascii="Times New Roman" w:eastAsia="Times New Roman" w:hAnsi="Times New Roman"/>
                <w:color w:val="000000"/>
                <w:sz w:val="20"/>
                <w:szCs w:val="20"/>
              </w:rPr>
              <w:br/>
              <w:t>Lack of info (2)</w:t>
            </w:r>
            <w:r w:rsidRPr="00B64995">
              <w:rPr>
                <w:rFonts w:ascii="Times New Roman" w:eastAsia="Times New Roman" w:hAnsi="Times New Roman"/>
                <w:color w:val="000000"/>
                <w:sz w:val="20"/>
                <w:szCs w:val="20"/>
              </w:rPr>
              <w:br/>
              <w:t>Provision of information</w:t>
            </w:r>
            <w:r w:rsidRPr="00B64995">
              <w:rPr>
                <w:rFonts w:ascii="Times New Roman" w:eastAsia="Times New Roman" w:hAnsi="Times New Roman"/>
                <w:color w:val="000000"/>
                <w:sz w:val="20"/>
                <w:szCs w:val="20"/>
              </w:rPr>
              <w:br/>
              <w:t>Data sharing (2)</w:t>
            </w:r>
          </w:p>
        </w:tc>
      </w:tr>
      <w:tr w:rsidR="001E774D" w:rsidRPr="00B64995" w:rsidTr="003E4D76">
        <w:trPr>
          <w:trHeight w:val="692"/>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Top down structure</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 xml:space="preserve">The top down structure of Government was considered a barrier as it failed to include local input </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Top down approach</w:t>
            </w:r>
            <w:r w:rsidRPr="00B64995">
              <w:rPr>
                <w:rFonts w:ascii="Times New Roman" w:eastAsia="Times New Roman" w:hAnsi="Times New Roman"/>
                <w:color w:val="000000"/>
                <w:sz w:val="20"/>
                <w:szCs w:val="20"/>
              </w:rPr>
              <w:br/>
              <w:t>Structure</w:t>
            </w:r>
            <w:r w:rsidRPr="00B64995">
              <w:rPr>
                <w:rFonts w:ascii="Times New Roman" w:eastAsia="Times New Roman" w:hAnsi="Times New Roman"/>
                <w:color w:val="000000"/>
                <w:sz w:val="20"/>
                <w:szCs w:val="20"/>
              </w:rPr>
              <w:br/>
              <w:t>Top down (5)</w:t>
            </w:r>
          </w:p>
        </w:tc>
      </w:tr>
      <w:tr w:rsidR="001E774D" w:rsidRPr="00B64995" w:rsidTr="003E4D76">
        <w:trPr>
          <w:trHeight w:val="467"/>
        </w:trPr>
        <w:tc>
          <w:tcPr>
            <w:tcW w:w="2400" w:type="dxa"/>
            <w:tcBorders>
              <w:top w:val="nil"/>
              <w:left w:val="single" w:sz="4" w:space="0" w:color="auto"/>
              <w:bottom w:val="single" w:sz="4" w:space="0" w:color="auto"/>
              <w:right w:val="nil"/>
            </w:tcBorders>
            <w:shd w:val="clear" w:color="auto" w:fill="auto"/>
            <w:noWrap/>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Too much policy</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Too much policy confuses the objectives and those supposed to implement them</w:t>
            </w:r>
          </w:p>
        </w:tc>
        <w:tc>
          <w:tcPr>
            <w:tcW w:w="2610" w:type="dxa"/>
            <w:tcBorders>
              <w:top w:val="nil"/>
              <w:left w:val="nil"/>
              <w:bottom w:val="single" w:sz="4" w:space="0" w:color="auto"/>
              <w:right w:val="single" w:sz="4" w:space="0" w:color="auto"/>
            </w:tcBorders>
            <w:shd w:val="clear" w:color="auto" w:fill="auto"/>
            <w:noWrap/>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Too much policy (5)</w:t>
            </w:r>
          </w:p>
        </w:tc>
      </w:tr>
      <w:tr w:rsidR="001E774D" w:rsidRPr="00B64995" w:rsidTr="003E4D76">
        <w:trPr>
          <w:trHeight w:val="458"/>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Climate change mainstreaming</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When climate change is not incorporated into all decision making policy is less effective</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CC not priority (3)</w:t>
            </w:r>
            <w:r w:rsidRPr="00B64995">
              <w:rPr>
                <w:rFonts w:ascii="Times New Roman" w:eastAsia="Times New Roman" w:hAnsi="Times New Roman"/>
                <w:color w:val="000000"/>
                <w:sz w:val="20"/>
                <w:szCs w:val="20"/>
              </w:rPr>
              <w:br/>
              <w:t>CC not mainstreamed</w:t>
            </w:r>
          </w:p>
        </w:tc>
      </w:tr>
      <w:tr w:rsidR="001E774D" w:rsidRPr="00B64995" w:rsidTr="003E4D76">
        <w:trPr>
          <w:trHeight w:val="629"/>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Policy overlaps</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Overlaps in policy create conflicting objectives, limiting the success of policy</w:t>
            </w:r>
          </w:p>
        </w:tc>
        <w:tc>
          <w:tcPr>
            <w:tcW w:w="2610" w:type="dxa"/>
            <w:tcBorders>
              <w:top w:val="nil"/>
              <w:left w:val="nil"/>
              <w:bottom w:val="single" w:sz="4" w:space="0" w:color="auto"/>
              <w:right w:val="single" w:sz="4" w:space="0" w:color="auto"/>
            </w:tcBorders>
            <w:shd w:val="clear" w:color="auto" w:fill="auto"/>
            <w:vAlign w:val="center"/>
            <w:hideMark/>
          </w:tcPr>
          <w:p w:rsidR="001E774D" w:rsidRPr="00B64995"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Overlaps</w:t>
            </w:r>
            <w:r w:rsidRPr="00B64995">
              <w:rPr>
                <w:rFonts w:ascii="Times New Roman" w:eastAsia="Times New Roman" w:hAnsi="Times New Roman"/>
                <w:color w:val="000000"/>
                <w:sz w:val="20"/>
                <w:szCs w:val="20"/>
              </w:rPr>
              <w:br/>
              <w:t>Policy conflicts (2)</w:t>
            </w:r>
            <w:r w:rsidRPr="00B64995">
              <w:rPr>
                <w:rFonts w:ascii="Times New Roman" w:eastAsia="Times New Roman" w:hAnsi="Times New Roman"/>
                <w:color w:val="000000"/>
                <w:sz w:val="20"/>
                <w:szCs w:val="20"/>
              </w:rPr>
              <w:br/>
              <w:t>Policy not coherent</w:t>
            </w:r>
          </w:p>
        </w:tc>
      </w:tr>
      <w:tr w:rsidR="001E774D" w:rsidRPr="00383A5E" w:rsidTr="003E4D76">
        <w:trPr>
          <w:trHeight w:val="593"/>
        </w:trPr>
        <w:tc>
          <w:tcPr>
            <w:tcW w:w="2400" w:type="dxa"/>
            <w:tcBorders>
              <w:top w:val="nil"/>
              <w:left w:val="single" w:sz="4" w:space="0" w:color="auto"/>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sz w:val="20"/>
                <w:szCs w:val="20"/>
              </w:rPr>
            </w:pPr>
            <w:r w:rsidRPr="00B64995">
              <w:rPr>
                <w:rFonts w:ascii="Times New Roman" w:eastAsia="Times New Roman" w:hAnsi="Times New Roman"/>
                <w:sz w:val="20"/>
                <w:szCs w:val="20"/>
              </w:rPr>
              <w:t>Implementation planning</w:t>
            </w:r>
          </w:p>
        </w:tc>
        <w:tc>
          <w:tcPr>
            <w:tcW w:w="4165" w:type="dxa"/>
            <w:tcBorders>
              <w:top w:val="nil"/>
              <w:left w:val="nil"/>
              <w:bottom w:val="single" w:sz="4" w:space="0" w:color="auto"/>
              <w:right w:val="nil"/>
            </w:tcBorders>
            <w:shd w:val="clear" w:color="auto" w:fill="auto"/>
            <w:vAlign w:val="center"/>
            <w:hideMark/>
          </w:tcPr>
          <w:p w:rsidR="001E774D" w:rsidRPr="00B64995" w:rsidRDefault="001E774D" w:rsidP="003E4D76">
            <w:pPr>
              <w:spacing w:line="276" w:lineRule="auto"/>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A failure to create a plan for implementation results in low levels of adoption</w:t>
            </w:r>
          </w:p>
        </w:tc>
        <w:tc>
          <w:tcPr>
            <w:tcW w:w="2610" w:type="dxa"/>
            <w:tcBorders>
              <w:top w:val="nil"/>
              <w:left w:val="nil"/>
              <w:bottom w:val="single" w:sz="4" w:space="0" w:color="auto"/>
              <w:right w:val="single" w:sz="4" w:space="0" w:color="auto"/>
            </w:tcBorders>
            <w:shd w:val="clear" w:color="auto" w:fill="auto"/>
            <w:vAlign w:val="center"/>
            <w:hideMark/>
          </w:tcPr>
          <w:p w:rsidR="001E774D" w:rsidRPr="00383A5E" w:rsidRDefault="001E774D" w:rsidP="003E4D76">
            <w:pPr>
              <w:spacing w:line="276" w:lineRule="auto"/>
              <w:jc w:val="center"/>
              <w:rPr>
                <w:rFonts w:ascii="Times New Roman" w:eastAsia="Times New Roman" w:hAnsi="Times New Roman"/>
                <w:color w:val="000000"/>
                <w:sz w:val="20"/>
                <w:szCs w:val="20"/>
              </w:rPr>
            </w:pPr>
            <w:r w:rsidRPr="00B64995">
              <w:rPr>
                <w:rFonts w:ascii="Times New Roman" w:eastAsia="Times New Roman" w:hAnsi="Times New Roman"/>
                <w:color w:val="000000"/>
                <w:sz w:val="20"/>
                <w:szCs w:val="20"/>
              </w:rPr>
              <w:t>Action plans</w:t>
            </w:r>
            <w:r w:rsidRPr="00B64995">
              <w:rPr>
                <w:rFonts w:ascii="Times New Roman" w:eastAsia="Times New Roman" w:hAnsi="Times New Roman"/>
                <w:color w:val="000000"/>
                <w:sz w:val="20"/>
                <w:szCs w:val="20"/>
              </w:rPr>
              <w:br/>
              <w:t>No coherent plan</w:t>
            </w:r>
            <w:r w:rsidRPr="00B64995">
              <w:rPr>
                <w:rFonts w:ascii="Times New Roman" w:eastAsia="Times New Roman" w:hAnsi="Times New Roman"/>
                <w:color w:val="000000"/>
                <w:sz w:val="20"/>
                <w:szCs w:val="20"/>
              </w:rPr>
              <w:br/>
              <w:t>Lack of implementation</w:t>
            </w:r>
          </w:p>
        </w:tc>
      </w:tr>
    </w:tbl>
    <w:p w:rsidR="007E6EB8" w:rsidRPr="001E774D" w:rsidRDefault="001E774D" w:rsidP="001E774D">
      <w:bookmarkStart w:id="0" w:name="_GoBack"/>
      <w:bookmarkEnd w:id="0"/>
    </w:p>
    <w:sectPr w:rsidR="007E6EB8" w:rsidRPr="001E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A2"/>
    <w:rsid w:val="0014413E"/>
    <w:rsid w:val="001E774D"/>
    <w:rsid w:val="004E1BA2"/>
    <w:rsid w:val="008F2A33"/>
    <w:rsid w:val="00E746A3"/>
    <w:rsid w:val="00EE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61BE"/>
  <w15:chartTrackingRefBased/>
  <w15:docId w15:val="{DB304EE3-F139-4D69-9584-AAFA680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A2"/>
    <w:pPr>
      <w:spacing w:after="0" w:line="240" w:lineRule="auto"/>
    </w:pPr>
    <w:rPr>
      <w:rFonts w:ascii="Garamond" w:hAnsi="Garamond" w:cs="Times New Roman"/>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James (Alliance Bioversity-CIAT)</dc:creator>
  <cp:keywords/>
  <dc:description/>
  <cp:lastModifiedBy>Giles, James (Alliance Bioversity-CIAT)</cp:lastModifiedBy>
  <cp:revision>2</cp:revision>
  <dcterms:created xsi:type="dcterms:W3CDTF">2021-02-22T12:08:00Z</dcterms:created>
  <dcterms:modified xsi:type="dcterms:W3CDTF">2021-02-22T12:08:00Z</dcterms:modified>
</cp:coreProperties>
</file>