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AB" w:rsidRDefault="0039028D">
      <w:pPr>
        <w:rPr>
          <w:lang w:val="en-US"/>
        </w:rPr>
      </w:pPr>
      <w:proofErr w:type="spellStart"/>
      <w:r w:rsidRPr="0039028D">
        <w:rPr>
          <w:b/>
          <w:lang w:val="en-US"/>
        </w:rPr>
        <w:t>Supl</w:t>
      </w:r>
      <w:proofErr w:type="spellEnd"/>
      <w:r w:rsidRPr="0039028D">
        <w:rPr>
          <w:b/>
          <w:lang w:val="en-US"/>
        </w:rPr>
        <w:t xml:space="preserve">. Table </w:t>
      </w:r>
      <w:r w:rsidR="005F35DB">
        <w:rPr>
          <w:b/>
          <w:lang w:val="en-US"/>
        </w:rPr>
        <w:t>2</w:t>
      </w:r>
      <w:bookmarkStart w:id="0" w:name="_GoBack"/>
      <w:bookmarkEnd w:id="0"/>
      <w:r w:rsidRPr="0039028D">
        <w:rPr>
          <w:lang w:val="en-US"/>
        </w:rPr>
        <w:t xml:space="preserve">: Gene Ontology enrichment analysis of </w:t>
      </w:r>
      <w:r w:rsidR="00D0772D">
        <w:rPr>
          <w:lang w:val="en-US"/>
        </w:rPr>
        <w:t>molecular function</w:t>
      </w:r>
      <w:r>
        <w:rPr>
          <w:lang w:val="en-US"/>
        </w:rPr>
        <w:t xml:space="preserve"> for miR-155 target genes in </w:t>
      </w:r>
      <w:proofErr w:type="spellStart"/>
      <w:r>
        <w:rPr>
          <w:lang w:val="en-US"/>
        </w:rPr>
        <w:t>pMSCs</w:t>
      </w:r>
      <w:proofErr w:type="spellEnd"/>
      <w:r w:rsidRPr="0039028D">
        <w:rPr>
          <w:lang w:val="en-US"/>
        </w:rPr>
        <w:t xml:space="preserve"> </w:t>
      </w:r>
      <w:r>
        <w:rPr>
          <w:lang w:val="en-US"/>
        </w:rPr>
        <w:t>versus MSCs</w:t>
      </w:r>
    </w:p>
    <w:p w:rsidR="0039028D" w:rsidRDefault="0039028D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82"/>
        <w:gridCol w:w="1282"/>
        <w:gridCol w:w="1198"/>
      </w:tblGrid>
      <w:tr w:rsidR="00D0772D" w:rsidRPr="00D0772D" w:rsidTr="00D0772D">
        <w:trPr>
          <w:trHeight w:val="638"/>
        </w:trPr>
        <w:tc>
          <w:tcPr>
            <w:tcW w:w="9320" w:type="dxa"/>
            <w:hideMark/>
          </w:tcPr>
          <w:p w:rsidR="00D0772D" w:rsidRPr="00D0772D" w:rsidRDefault="00D0772D" w:rsidP="00D0772D">
            <w:pPr>
              <w:rPr>
                <w:b/>
                <w:bCs/>
              </w:rPr>
            </w:pPr>
            <w:proofErr w:type="spellStart"/>
            <w:r w:rsidRPr="00D0772D">
              <w:rPr>
                <w:b/>
                <w:bCs/>
              </w:rPr>
              <w:t>Term</w:t>
            </w:r>
            <w:proofErr w:type="spellEnd"/>
          </w:p>
        </w:tc>
        <w:tc>
          <w:tcPr>
            <w:tcW w:w="1740" w:type="dxa"/>
            <w:hideMark/>
          </w:tcPr>
          <w:p w:rsidR="00D0772D" w:rsidRPr="00D0772D" w:rsidRDefault="00D0772D" w:rsidP="00D0772D">
            <w:pPr>
              <w:rPr>
                <w:b/>
                <w:bCs/>
              </w:rPr>
            </w:pPr>
            <w:proofErr w:type="spellStart"/>
            <w:r w:rsidRPr="00D0772D">
              <w:rPr>
                <w:b/>
                <w:bCs/>
              </w:rPr>
              <w:t>EnrichR</w:t>
            </w:r>
            <w:proofErr w:type="spellEnd"/>
            <w:r w:rsidRPr="00D0772D">
              <w:rPr>
                <w:b/>
                <w:bCs/>
              </w:rPr>
              <w:t xml:space="preserve"> </w:t>
            </w:r>
            <w:proofErr w:type="spellStart"/>
            <w:r w:rsidRPr="00D0772D">
              <w:rPr>
                <w:b/>
                <w:bCs/>
              </w:rPr>
              <w:t>Combined</w:t>
            </w:r>
            <w:proofErr w:type="spellEnd"/>
            <w:r w:rsidRPr="00D0772D">
              <w:rPr>
                <w:b/>
                <w:bCs/>
              </w:rPr>
              <w:t xml:space="preserve"> Score</w:t>
            </w:r>
          </w:p>
        </w:tc>
        <w:tc>
          <w:tcPr>
            <w:tcW w:w="1620" w:type="dxa"/>
            <w:hideMark/>
          </w:tcPr>
          <w:p w:rsidR="00D0772D" w:rsidRPr="00D0772D" w:rsidRDefault="00D0772D" w:rsidP="00D0772D">
            <w:pPr>
              <w:rPr>
                <w:b/>
                <w:bCs/>
              </w:rPr>
            </w:pPr>
            <w:proofErr w:type="spellStart"/>
            <w:r w:rsidRPr="00D0772D">
              <w:rPr>
                <w:b/>
                <w:bCs/>
              </w:rPr>
              <w:t>Adjusted</w:t>
            </w:r>
            <w:proofErr w:type="spellEnd"/>
            <w:r w:rsidRPr="00D0772D">
              <w:rPr>
                <w:b/>
                <w:bCs/>
              </w:rPr>
              <w:t xml:space="preserve">          P-value</w:t>
            </w:r>
          </w:p>
        </w:tc>
      </w:tr>
      <w:tr w:rsidR="00D0772D" w:rsidRPr="00D0772D" w:rsidTr="00D0772D">
        <w:trPr>
          <w:trHeight w:val="323"/>
        </w:trPr>
        <w:tc>
          <w:tcPr>
            <w:tcW w:w="9320" w:type="dxa"/>
            <w:noWrap/>
            <w:hideMark/>
          </w:tcPr>
          <w:p w:rsidR="00D0772D" w:rsidRPr="00D0772D" w:rsidRDefault="00D0772D">
            <w:pPr>
              <w:rPr>
                <w:lang w:val="en-US"/>
              </w:rPr>
            </w:pPr>
            <w:r w:rsidRPr="00D0772D">
              <w:rPr>
                <w:lang w:val="en-US"/>
              </w:rPr>
              <w:t xml:space="preserve">platelet-derived growth factor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3652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5,3E-10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Pr>
              <w:rPr>
                <w:lang w:val="en-US"/>
              </w:rPr>
            </w:pPr>
            <w:r w:rsidRPr="00D0772D">
              <w:rPr>
                <w:lang w:val="en-US"/>
              </w:rPr>
              <w:t xml:space="preserve">platelet-derived growth factor receptor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1353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1,1E-07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roofErr w:type="spellStart"/>
            <w:r w:rsidRPr="00D0772D">
              <w:t>protein</w:t>
            </w:r>
            <w:proofErr w:type="spellEnd"/>
            <w:r w:rsidRPr="00D0772D">
              <w:t xml:space="preserve">-lysine 6-oxidase </w:t>
            </w:r>
            <w:proofErr w:type="spellStart"/>
            <w:r w:rsidRPr="00D0772D">
              <w:t>activity</w:t>
            </w:r>
            <w:proofErr w:type="spellEnd"/>
            <w:r w:rsidRPr="00D0772D">
              <w:t xml:space="preserve">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837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3,5E-04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roofErr w:type="spellStart"/>
            <w:r w:rsidRPr="00D0772D">
              <w:t>mismatched</w:t>
            </w:r>
            <w:proofErr w:type="spellEnd"/>
            <w:r w:rsidRPr="00D0772D">
              <w:t xml:space="preserve"> DNA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452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8,3E-04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roofErr w:type="spellStart"/>
            <w:r w:rsidRPr="00D0772D">
              <w:t>mismatch</w:t>
            </w:r>
            <w:proofErr w:type="spellEnd"/>
            <w:r w:rsidRPr="00D0772D">
              <w:t xml:space="preserve"> </w:t>
            </w:r>
            <w:proofErr w:type="spellStart"/>
            <w:r w:rsidRPr="00D0772D">
              <w:t>repair</w:t>
            </w:r>
            <w:proofErr w:type="spellEnd"/>
            <w:r w:rsidRPr="00D0772D">
              <w:t xml:space="preserve"> </w:t>
            </w:r>
            <w:proofErr w:type="spellStart"/>
            <w:r w:rsidRPr="00D0772D">
              <w:t>complex</w:t>
            </w:r>
            <w:proofErr w:type="spellEnd"/>
            <w:r w:rsidRPr="00D0772D">
              <w:t xml:space="preserve">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452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8,3E-04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r w:rsidRPr="00D0772D">
              <w:t xml:space="preserve">R-SMAD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377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3,8E-05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roofErr w:type="spellStart"/>
            <w:r w:rsidRPr="00D0772D">
              <w:t>siRNA</w:t>
            </w:r>
            <w:proofErr w:type="spellEnd"/>
            <w:r w:rsidRPr="00D0772D">
              <w:t xml:space="preserve">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361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1,2E-03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r w:rsidRPr="00D0772D">
              <w:t xml:space="preserve">inositol </w:t>
            </w:r>
            <w:proofErr w:type="spellStart"/>
            <w:r w:rsidRPr="00D0772D">
              <w:t>tetrakisphosphate</w:t>
            </w:r>
            <w:proofErr w:type="spellEnd"/>
            <w:r w:rsidRPr="00D0772D">
              <w:t xml:space="preserve"> phosphatase </w:t>
            </w:r>
            <w:proofErr w:type="spellStart"/>
            <w:r w:rsidRPr="00D0772D">
              <w:t>activity</w:t>
            </w:r>
            <w:proofErr w:type="spellEnd"/>
            <w:r w:rsidRPr="00D0772D">
              <w:t xml:space="preserve">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361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1,2E-03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r w:rsidRPr="00D0772D">
              <w:t xml:space="preserve">phosphatidylinositol-4,5-bisphosphate 3-kinase </w:t>
            </w:r>
            <w:proofErr w:type="spellStart"/>
            <w:r w:rsidRPr="00D0772D">
              <w:t>activity</w:t>
            </w:r>
            <w:proofErr w:type="spellEnd"/>
            <w:r w:rsidRPr="00D0772D">
              <w:t xml:space="preserve">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344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2,1E-08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roofErr w:type="spellStart"/>
            <w:r w:rsidRPr="00D0772D">
              <w:t>phosphatidylinositol</w:t>
            </w:r>
            <w:proofErr w:type="spellEnd"/>
            <w:r w:rsidRPr="00D0772D">
              <w:t xml:space="preserve"> </w:t>
            </w:r>
            <w:proofErr w:type="spellStart"/>
            <w:r w:rsidRPr="00D0772D">
              <w:t>bisphosphate</w:t>
            </w:r>
            <w:proofErr w:type="spellEnd"/>
            <w:r w:rsidRPr="00D0772D">
              <w:t xml:space="preserve"> kinase </w:t>
            </w:r>
            <w:proofErr w:type="spellStart"/>
            <w:r w:rsidRPr="00D0772D">
              <w:t>activity</w:t>
            </w:r>
            <w:proofErr w:type="spellEnd"/>
            <w:r w:rsidRPr="00D0772D">
              <w:t xml:space="preserve">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320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2,8E-08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roofErr w:type="spellStart"/>
            <w:r w:rsidRPr="00D0772D">
              <w:t>collagen</w:t>
            </w:r>
            <w:proofErr w:type="spellEnd"/>
            <w:r w:rsidRPr="00D0772D">
              <w:t xml:space="preserve">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318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2,5E-07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r w:rsidRPr="00D0772D">
              <w:t xml:space="preserve">I-SMAD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297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1,5E-03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roofErr w:type="spellStart"/>
            <w:r w:rsidRPr="00D0772D">
              <w:t>phosphatidylinositol</w:t>
            </w:r>
            <w:proofErr w:type="spellEnd"/>
            <w:r w:rsidRPr="00D0772D">
              <w:t xml:space="preserve"> 3-kinase </w:t>
            </w:r>
            <w:proofErr w:type="spellStart"/>
            <w:r w:rsidRPr="00D0772D">
              <w:t>activity</w:t>
            </w:r>
            <w:proofErr w:type="spellEnd"/>
            <w:r w:rsidRPr="00D0772D">
              <w:t xml:space="preserve">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284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5,3E-08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Pr>
              <w:rPr>
                <w:lang w:val="en-US"/>
              </w:rPr>
            </w:pPr>
            <w:r w:rsidRPr="00D0772D">
              <w:rPr>
                <w:lang w:val="en-US"/>
              </w:rPr>
              <w:t xml:space="preserve">transcription regulatory region DNA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281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6,6E-14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roofErr w:type="spellStart"/>
            <w:r w:rsidRPr="00D0772D">
              <w:t>protein</w:t>
            </w:r>
            <w:proofErr w:type="spellEnd"/>
            <w:r w:rsidRPr="00D0772D">
              <w:t xml:space="preserve"> kinase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263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1,9E-14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r w:rsidRPr="00D0772D">
              <w:t>Y-</w:t>
            </w:r>
            <w:proofErr w:type="spellStart"/>
            <w:r w:rsidRPr="00D0772D">
              <w:t>form</w:t>
            </w:r>
            <w:proofErr w:type="spellEnd"/>
            <w:r w:rsidRPr="00D0772D">
              <w:t xml:space="preserve"> DNA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249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1,2E-02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Pr>
              <w:rPr>
                <w:lang w:val="en-US"/>
              </w:rPr>
            </w:pPr>
            <w:r w:rsidRPr="00D0772D">
              <w:rPr>
                <w:lang w:val="en-US"/>
              </w:rPr>
              <w:t xml:space="preserve">DNA insertion or deletion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249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1,2E-02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r w:rsidRPr="00D0772D">
              <w:t xml:space="preserve">RNA </w:t>
            </w:r>
            <w:proofErr w:type="spellStart"/>
            <w:r w:rsidRPr="00D0772D">
              <w:t>polymerase</w:t>
            </w:r>
            <w:proofErr w:type="spellEnd"/>
            <w:r w:rsidRPr="00D0772D">
              <w:t xml:space="preserve"> II </w:t>
            </w:r>
            <w:proofErr w:type="spellStart"/>
            <w:r w:rsidRPr="00D0772D">
              <w:t>core</w:t>
            </w:r>
            <w:proofErr w:type="spellEnd"/>
            <w:r w:rsidRPr="00D0772D">
              <w:t xml:space="preserve"> </w:t>
            </w:r>
            <w:proofErr w:type="spellStart"/>
            <w:r w:rsidRPr="00D0772D">
              <w:t>promoter</w:t>
            </w:r>
            <w:proofErr w:type="spellEnd"/>
            <w:r w:rsidRPr="00D0772D">
              <w:t xml:space="preserve"> proximal </w:t>
            </w:r>
            <w:proofErr w:type="spellStart"/>
            <w:r w:rsidRPr="00D0772D">
              <w:t>region</w:t>
            </w:r>
            <w:proofErr w:type="spellEnd"/>
            <w:r w:rsidRPr="00D0772D">
              <w:t xml:space="preserve"> </w:t>
            </w:r>
            <w:proofErr w:type="spellStart"/>
            <w:r w:rsidRPr="00D0772D">
              <w:t>sequence-specific</w:t>
            </w:r>
            <w:proofErr w:type="spellEnd"/>
            <w:r w:rsidRPr="00D0772D">
              <w:t xml:space="preserve">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220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4,6E-11</w:t>
            </w:r>
          </w:p>
        </w:tc>
      </w:tr>
      <w:tr w:rsidR="00D0772D" w:rsidRPr="00D0772D" w:rsidTr="00D0772D">
        <w:trPr>
          <w:trHeight w:val="315"/>
        </w:trPr>
        <w:tc>
          <w:tcPr>
            <w:tcW w:w="9320" w:type="dxa"/>
            <w:noWrap/>
            <w:hideMark/>
          </w:tcPr>
          <w:p w:rsidR="00D0772D" w:rsidRPr="00D0772D" w:rsidRDefault="00D0772D">
            <w:proofErr w:type="spellStart"/>
            <w:r w:rsidRPr="00D0772D">
              <w:t>transcriptional</w:t>
            </w:r>
            <w:proofErr w:type="spellEnd"/>
            <w:r w:rsidRPr="00D0772D">
              <w:t xml:space="preserve"> </w:t>
            </w:r>
            <w:proofErr w:type="spellStart"/>
            <w:r w:rsidRPr="00D0772D">
              <w:t>repressor</w:t>
            </w:r>
            <w:proofErr w:type="spellEnd"/>
            <w:r w:rsidRPr="00D0772D">
              <w:t xml:space="preserve"> </w:t>
            </w:r>
            <w:proofErr w:type="spellStart"/>
            <w:r w:rsidRPr="00D0772D">
              <w:t>activity</w:t>
            </w:r>
            <w:proofErr w:type="spellEnd"/>
            <w:r w:rsidRPr="00D0772D">
              <w:t xml:space="preserve">, RNA </w:t>
            </w:r>
            <w:proofErr w:type="spellStart"/>
            <w:r w:rsidRPr="00D0772D">
              <w:t>polymerase</w:t>
            </w:r>
            <w:proofErr w:type="spellEnd"/>
            <w:r w:rsidRPr="00D0772D">
              <w:t xml:space="preserve"> II </w:t>
            </w:r>
            <w:proofErr w:type="spellStart"/>
            <w:r w:rsidRPr="00D0772D">
              <w:t>activating</w:t>
            </w:r>
            <w:proofErr w:type="spellEnd"/>
            <w:r w:rsidRPr="00D0772D">
              <w:t xml:space="preserve"> transcription factor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215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2,5E-03</w:t>
            </w:r>
          </w:p>
        </w:tc>
      </w:tr>
      <w:tr w:rsidR="00D0772D" w:rsidRPr="00D0772D" w:rsidTr="00D0772D">
        <w:trPr>
          <w:trHeight w:val="323"/>
        </w:trPr>
        <w:tc>
          <w:tcPr>
            <w:tcW w:w="9320" w:type="dxa"/>
            <w:noWrap/>
            <w:hideMark/>
          </w:tcPr>
          <w:p w:rsidR="00D0772D" w:rsidRPr="00D0772D" w:rsidRDefault="00D0772D">
            <w:r w:rsidRPr="00D0772D">
              <w:t xml:space="preserve">kinase binding </w:t>
            </w:r>
          </w:p>
        </w:tc>
        <w:tc>
          <w:tcPr>
            <w:tcW w:w="1740" w:type="dxa"/>
            <w:noWrap/>
            <w:hideMark/>
          </w:tcPr>
          <w:p w:rsidR="00D0772D" w:rsidRPr="00D0772D" w:rsidRDefault="00D0772D" w:rsidP="00D0772D">
            <w:r w:rsidRPr="00D0772D">
              <w:t>205</w:t>
            </w:r>
          </w:p>
        </w:tc>
        <w:tc>
          <w:tcPr>
            <w:tcW w:w="1620" w:type="dxa"/>
            <w:noWrap/>
            <w:hideMark/>
          </w:tcPr>
          <w:p w:rsidR="00D0772D" w:rsidRPr="00D0772D" w:rsidRDefault="00D0772D" w:rsidP="00D0772D">
            <w:r w:rsidRPr="00D0772D">
              <w:t>4,6E-12</w:t>
            </w:r>
          </w:p>
        </w:tc>
      </w:tr>
    </w:tbl>
    <w:p w:rsidR="00D0772D" w:rsidRDefault="00D0772D"/>
    <w:sectPr w:rsidR="00D0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8D"/>
    <w:rsid w:val="002617AB"/>
    <w:rsid w:val="0039028D"/>
    <w:rsid w:val="005F35DB"/>
    <w:rsid w:val="00D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4BD3"/>
  <w15:chartTrackingRefBased/>
  <w15:docId w15:val="{A0D02CCA-BC91-4244-85C6-0FFB8949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NOEL</dc:creator>
  <cp:keywords/>
  <dc:description/>
  <cp:lastModifiedBy>Danièle NOEL</cp:lastModifiedBy>
  <cp:revision>3</cp:revision>
  <dcterms:created xsi:type="dcterms:W3CDTF">2021-02-25T08:33:00Z</dcterms:created>
  <dcterms:modified xsi:type="dcterms:W3CDTF">2021-02-25T08:33:00Z</dcterms:modified>
</cp:coreProperties>
</file>