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9CD572" w14:textId="77777777" w:rsidR="009B701A" w:rsidRDefault="009B701A" w:rsidP="009B701A">
      <w:pPr>
        <w:rPr>
          <w:rFonts w:asciiTheme="majorBidi" w:hAnsiTheme="majorBidi" w:cstheme="majorBidi"/>
          <w:sz w:val="11"/>
          <w:szCs w:val="13"/>
        </w:rPr>
      </w:pPr>
    </w:p>
    <w:p w14:paraId="00B550A2" w14:textId="77777777" w:rsidR="009B701A" w:rsidRPr="00EF6B27" w:rsidRDefault="009B701A" w:rsidP="00EF6B27">
      <w:pPr>
        <w:keepNext/>
        <w:jc w:val="center"/>
        <w:rPr>
          <w:rFonts w:cs="Times New Roman"/>
          <w:b/>
          <w:szCs w:val="24"/>
        </w:rPr>
      </w:pPr>
      <w:r w:rsidRPr="00EF6B27">
        <w:rPr>
          <w:rFonts w:cs="Times New Roman" w:hint="eastAsia"/>
          <w:b/>
          <w:szCs w:val="24"/>
        </w:rPr>
        <w:t>T</w:t>
      </w:r>
      <w:r w:rsidRPr="00EF6B27">
        <w:rPr>
          <w:rFonts w:cs="Times New Roman"/>
          <w:b/>
          <w:szCs w:val="24"/>
        </w:rPr>
        <w:t xml:space="preserve">able S1. </w:t>
      </w:r>
      <w:r w:rsidRPr="00EF6B27">
        <w:rPr>
          <w:rFonts w:cs="Times New Roman"/>
          <w:bCs/>
          <w:szCs w:val="24"/>
        </w:rPr>
        <w:t xml:space="preserve">The </w:t>
      </w:r>
      <w:r w:rsidRPr="00EF6B27">
        <w:rPr>
          <w:rFonts w:cs="Times New Roman" w:hint="eastAsia"/>
          <w:bCs/>
          <w:szCs w:val="24"/>
        </w:rPr>
        <w:t>pharm</w:t>
      </w:r>
      <w:r w:rsidRPr="00EF6B27">
        <w:rPr>
          <w:rFonts w:cs="Times New Roman"/>
          <w:bCs/>
          <w:szCs w:val="24"/>
        </w:rPr>
        <w:t>aceutical properties of NPs, E@NPs, and AE@NPs.</w:t>
      </w:r>
    </w:p>
    <w:tbl>
      <w:tblPr>
        <w:tblStyle w:val="aff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1148"/>
        <w:gridCol w:w="1011"/>
        <w:gridCol w:w="1361"/>
        <w:gridCol w:w="1324"/>
        <w:gridCol w:w="1254"/>
        <w:gridCol w:w="1335"/>
        <w:gridCol w:w="1265"/>
      </w:tblGrid>
      <w:tr w:rsidR="009B701A" w:rsidRPr="006520D4" w14:paraId="5CB2D28B" w14:textId="77777777" w:rsidTr="001C6854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D4F9E5E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27B3159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Particle size (nm)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B20FBD3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PDI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B6994FD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Zeta potential (mV)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C855E63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EE of ERL (%)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382E9CF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DL of ERL (%)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0508F20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EE of ALA (%)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D8FB22B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DL of ALA (%)</w:t>
            </w:r>
          </w:p>
        </w:tc>
      </w:tr>
      <w:tr w:rsidR="009B701A" w:rsidRPr="006520D4" w14:paraId="68828F90" w14:textId="77777777" w:rsidTr="001C6854">
        <w:trPr>
          <w:jc w:val="center"/>
        </w:trPr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5343FDCE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NPs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726CA378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178.54 ± 4.56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4CC8386A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0.109 ±0.029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829243C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-5.69±1.13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1D5FD097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7FD1EC92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36D9453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0DE01497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</w:tr>
      <w:tr w:rsidR="009B701A" w:rsidRPr="006520D4" w14:paraId="2289694C" w14:textId="77777777" w:rsidTr="001C6854">
        <w:trPr>
          <w:jc w:val="center"/>
        </w:trPr>
        <w:tc>
          <w:tcPr>
            <w:tcW w:w="0" w:type="auto"/>
            <w:vAlign w:val="center"/>
          </w:tcPr>
          <w:p w14:paraId="73CA75AE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E@NPs</w:t>
            </w:r>
          </w:p>
        </w:tc>
        <w:tc>
          <w:tcPr>
            <w:tcW w:w="0" w:type="auto"/>
            <w:vAlign w:val="center"/>
          </w:tcPr>
          <w:p w14:paraId="39118368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182.69 ± 3.98</w:t>
            </w:r>
          </w:p>
        </w:tc>
        <w:tc>
          <w:tcPr>
            <w:tcW w:w="0" w:type="auto"/>
            <w:vAlign w:val="center"/>
          </w:tcPr>
          <w:p w14:paraId="6FEAF589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0.154 ± 0.036</w:t>
            </w:r>
          </w:p>
        </w:tc>
        <w:tc>
          <w:tcPr>
            <w:tcW w:w="0" w:type="auto"/>
            <w:vAlign w:val="center"/>
          </w:tcPr>
          <w:p w14:paraId="23DA70EC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2"/>
                <w:szCs w:val="24"/>
              </w:rPr>
              <w:t>4</w:t>
            </w:r>
            <w:r w:rsidRPr="006520D4">
              <w:rPr>
                <w:rFonts w:asciiTheme="majorBidi" w:hAnsiTheme="majorBidi" w:cstheme="majorBidi"/>
                <w:sz w:val="22"/>
                <w:szCs w:val="24"/>
              </w:rPr>
              <w:t>.88±0.87</w:t>
            </w:r>
          </w:p>
        </w:tc>
        <w:tc>
          <w:tcPr>
            <w:tcW w:w="0" w:type="auto"/>
            <w:vAlign w:val="center"/>
          </w:tcPr>
          <w:p w14:paraId="0E2AD3CC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90.25± 4.58</w:t>
            </w:r>
          </w:p>
        </w:tc>
        <w:tc>
          <w:tcPr>
            <w:tcW w:w="0" w:type="auto"/>
            <w:vAlign w:val="center"/>
          </w:tcPr>
          <w:p w14:paraId="1C0BE638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>
              <w:rPr>
                <w:rFonts w:asciiTheme="majorBidi" w:hAnsiTheme="majorBidi" w:cstheme="majorBidi"/>
                <w:sz w:val="22"/>
                <w:szCs w:val="24"/>
              </w:rPr>
              <w:t>6.48</w:t>
            </w:r>
            <w:r w:rsidRPr="006520D4">
              <w:rPr>
                <w:rFonts w:asciiTheme="majorBidi" w:hAnsiTheme="majorBidi" w:cstheme="majorBidi"/>
                <w:sz w:val="22"/>
                <w:szCs w:val="24"/>
              </w:rPr>
              <w:t>±</w:t>
            </w:r>
            <w:r>
              <w:rPr>
                <w:rFonts w:asciiTheme="majorBidi" w:hAnsiTheme="majorBidi" w:cstheme="majorBidi"/>
                <w:sz w:val="22"/>
                <w:szCs w:val="24"/>
              </w:rPr>
              <w:t>0.33</w:t>
            </w:r>
          </w:p>
        </w:tc>
        <w:tc>
          <w:tcPr>
            <w:tcW w:w="0" w:type="auto"/>
            <w:vAlign w:val="center"/>
          </w:tcPr>
          <w:p w14:paraId="0F8BB329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D64E3F0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</w:tr>
      <w:tr w:rsidR="009B701A" w:rsidRPr="006520D4" w14:paraId="3AB7DDC6" w14:textId="77777777" w:rsidTr="001C6854">
        <w:trPr>
          <w:jc w:val="center"/>
        </w:trPr>
        <w:tc>
          <w:tcPr>
            <w:tcW w:w="0" w:type="auto"/>
            <w:vAlign w:val="center"/>
          </w:tcPr>
          <w:p w14:paraId="0C994CDF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AE@NPs</w:t>
            </w:r>
          </w:p>
        </w:tc>
        <w:tc>
          <w:tcPr>
            <w:tcW w:w="0" w:type="auto"/>
            <w:vAlign w:val="center"/>
          </w:tcPr>
          <w:p w14:paraId="7026CCB1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185.97 ± 5.41</w:t>
            </w:r>
          </w:p>
        </w:tc>
        <w:tc>
          <w:tcPr>
            <w:tcW w:w="0" w:type="auto"/>
            <w:vAlign w:val="center"/>
          </w:tcPr>
          <w:p w14:paraId="1B879FA9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0.169 ± 0.044</w:t>
            </w:r>
          </w:p>
        </w:tc>
        <w:tc>
          <w:tcPr>
            <w:tcW w:w="0" w:type="auto"/>
            <w:vAlign w:val="center"/>
          </w:tcPr>
          <w:p w14:paraId="3D04C586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-5.23±0.54</w:t>
            </w:r>
          </w:p>
        </w:tc>
        <w:tc>
          <w:tcPr>
            <w:tcW w:w="0" w:type="auto"/>
            <w:vAlign w:val="center"/>
          </w:tcPr>
          <w:p w14:paraId="7B1A892E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88.69±6.61</w:t>
            </w:r>
          </w:p>
        </w:tc>
        <w:tc>
          <w:tcPr>
            <w:tcW w:w="0" w:type="auto"/>
            <w:vAlign w:val="center"/>
          </w:tcPr>
          <w:p w14:paraId="440DB24E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>
              <w:rPr>
                <w:rFonts w:asciiTheme="majorBidi" w:hAnsiTheme="majorBidi" w:cstheme="majorBidi"/>
                <w:sz w:val="22"/>
                <w:szCs w:val="24"/>
              </w:rPr>
              <w:t>6.38</w:t>
            </w:r>
            <w:r w:rsidRPr="006520D4">
              <w:rPr>
                <w:rFonts w:asciiTheme="majorBidi" w:hAnsiTheme="majorBidi" w:cstheme="majorBidi"/>
                <w:sz w:val="22"/>
                <w:szCs w:val="24"/>
              </w:rPr>
              <w:t>±</w:t>
            </w:r>
            <w:r>
              <w:rPr>
                <w:rFonts w:asciiTheme="majorBidi" w:hAnsiTheme="majorBidi" w:cstheme="majorBidi"/>
                <w:sz w:val="22"/>
                <w:szCs w:val="24"/>
              </w:rPr>
              <w:t>0.47</w:t>
            </w:r>
          </w:p>
        </w:tc>
        <w:tc>
          <w:tcPr>
            <w:tcW w:w="0" w:type="auto"/>
            <w:vAlign w:val="center"/>
          </w:tcPr>
          <w:p w14:paraId="5C7E3945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6520D4">
              <w:rPr>
                <w:rFonts w:asciiTheme="majorBidi" w:hAnsiTheme="majorBidi" w:cstheme="majorBidi"/>
                <w:sz w:val="22"/>
                <w:szCs w:val="24"/>
              </w:rPr>
              <w:t>91.24±3.27</w:t>
            </w:r>
          </w:p>
        </w:tc>
        <w:tc>
          <w:tcPr>
            <w:tcW w:w="0" w:type="auto"/>
            <w:vAlign w:val="center"/>
          </w:tcPr>
          <w:p w14:paraId="7167EB39" w14:textId="77777777" w:rsidR="009B701A" w:rsidRPr="006520D4" w:rsidRDefault="009B701A" w:rsidP="001C6854">
            <w:pPr>
              <w:snapToGrid w:val="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>
              <w:rPr>
                <w:rFonts w:asciiTheme="majorBidi" w:hAnsiTheme="majorBidi" w:cstheme="majorBidi"/>
                <w:sz w:val="22"/>
                <w:szCs w:val="24"/>
              </w:rPr>
              <w:t>3.27</w:t>
            </w:r>
            <w:r w:rsidRPr="006520D4">
              <w:rPr>
                <w:rFonts w:asciiTheme="majorBidi" w:hAnsiTheme="majorBidi" w:cstheme="majorBidi"/>
                <w:sz w:val="22"/>
                <w:szCs w:val="24"/>
              </w:rPr>
              <w:t>±0.1</w:t>
            </w:r>
            <w:r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</w:tr>
    </w:tbl>
    <w:p w14:paraId="24AF29B4" w14:textId="77777777" w:rsidR="009B701A" w:rsidRDefault="009B701A" w:rsidP="009B701A">
      <w:pPr>
        <w:rPr>
          <w:rFonts w:asciiTheme="majorBidi" w:hAnsiTheme="majorBidi" w:cstheme="majorBidi"/>
          <w:szCs w:val="28"/>
        </w:rPr>
      </w:pPr>
    </w:p>
    <w:p w14:paraId="14F3E068" w14:textId="09EF9ABA" w:rsidR="009B701A" w:rsidRPr="00EF6B27" w:rsidRDefault="009B701A" w:rsidP="00EF6B27">
      <w:pPr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8"/>
        </w:rPr>
        <w:drawing>
          <wp:inline distT="0" distB="0" distL="0" distR="0" wp14:anchorId="2322DD33" wp14:editId="0B8CA341">
            <wp:extent cx="6010275" cy="196532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5697" r="1488" b="4678"/>
                    <a:stretch/>
                  </pic:blipFill>
                  <pic:spPr bwMode="auto">
                    <a:xfrm>
                      <a:off x="0" y="0"/>
                      <a:ext cx="6052407" cy="19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B27">
        <w:rPr>
          <w:rFonts w:cs="Times New Roman" w:hint="eastAsia"/>
          <w:b/>
          <w:szCs w:val="24"/>
        </w:rPr>
        <w:t>Figure</w:t>
      </w:r>
      <w:r w:rsidRPr="00EF6B27">
        <w:rPr>
          <w:rFonts w:cs="Times New Roman"/>
          <w:b/>
          <w:szCs w:val="24"/>
        </w:rPr>
        <w:t xml:space="preserve"> </w:t>
      </w:r>
      <w:r w:rsidRPr="00EF6B27">
        <w:rPr>
          <w:rFonts w:cs="Times New Roman" w:hint="eastAsia"/>
          <w:b/>
          <w:szCs w:val="24"/>
        </w:rPr>
        <w:t>S1.</w:t>
      </w:r>
      <w:r w:rsidRPr="00EF6B27">
        <w:rPr>
          <w:rFonts w:cs="Times New Roman"/>
          <w:b/>
          <w:szCs w:val="24"/>
        </w:rPr>
        <w:t xml:space="preserve"> </w:t>
      </w:r>
      <w:r w:rsidRPr="00EF6B27">
        <w:rPr>
          <w:rFonts w:cs="Times New Roman"/>
          <w:bCs/>
          <w:szCs w:val="24"/>
        </w:rPr>
        <w:t>MTT assay was conducted to investigate the synergistic anticancer effect of ALA and ERL in (A) PANC-1 and (B) Patu-8988T cells. The results were shown as means ± SD (n=3).</w:t>
      </w:r>
    </w:p>
    <w:p w14:paraId="6AF4A8A8" w14:textId="77777777" w:rsidR="009B701A" w:rsidRDefault="009B701A" w:rsidP="009B701A">
      <w:pPr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8"/>
        </w:rPr>
        <w:lastRenderedPageBreak/>
        <w:drawing>
          <wp:inline distT="0" distB="0" distL="0" distR="0" wp14:anchorId="2D5FB128" wp14:editId="4B1C1C61">
            <wp:extent cx="6153150" cy="4254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2408" r="2055" b="2891"/>
                    <a:stretch/>
                  </pic:blipFill>
                  <pic:spPr bwMode="auto">
                    <a:xfrm>
                      <a:off x="0" y="0"/>
                      <a:ext cx="6163092" cy="42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71BAF" w14:textId="77777777" w:rsidR="009B701A" w:rsidRPr="00EF6B27" w:rsidRDefault="009B701A" w:rsidP="00EF6B27">
      <w:pPr>
        <w:keepNext/>
        <w:jc w:val="both"/>
        <w:rPr>
          <w:rFonts w:cs="Times New Roman"/>
          <w:b/>
          <w:szCs w:val="24"/>
        </w:rPr>
      </w:pPr>
      <w:r w:rsidRPr="00EF6B27">
        <w:rPr>
          <w:rFonts w:cs="Times New Roman" w:hint="eastAsia"/>
          <w:b/>
          <w:szCs w:val="24"/>
        </w:rPr>
        <w:t>F</w:t>
      </w:r>
      <w:r w:rsidRPr="00EF6B27">
        <w:rPr>
          <w:rFonts w:cs="Times New Roman"/>
          <w:b/>
          <w:szCs w:val="24"/>
        </w:rPr>
        <w:t xml:space="preserve">igure S2. </w:t>
      </w:r>
      <w:r w:rsidRPr="00EF6B27">
        <w:rPr>
          <w:rFonts w:cs="Times New Roman"/>
          <w:bCs/>
          <w:szCs w:val="24"/>
        </w:rPr>
        <w:t>The physicochemical properties of NPs and E@NPs. The TEM images of (A) NPs and (B) E@NPs</w:t>
      </w:r>
      <w:r w:rsidRPr="00EF6B27">
        <w:rPr>
          <w:rFonts w:cs="Times New Roman" w:hint="eastAsia"/>
          <w:bCs/>
          <w:szCs w:val="24"/>
        </w:rPr>
        <w:t>.</w:t>
      </w:r>
      <w:r w:rsidRPr="00EF6B27">
        <w:rPr>
          <w:rFonts w:cs="Times New Roman"/>
          <w:bCs/>
          <w:szCs w:val="24"/>
        </w:rPr>
        <w:t xml:space="preserve"> (C) The cumulative ERL release from E@NPs. (D) T</w:t>
      </w:r>
      <w:bookmarkStart w:id="0" w:name="_Hlk53931757"/>
      <w:r w:rsidRPr="00EF6B27">
        <w:rPr>
          <w:rFonts w:cs="Times New Roman"/>
          <w:bCs/>
          <w:szCs w:val="24"/>
        </w:rPr>
        <w:t xml:space="preserve">he changes in particle size and PDI of </w:t>
      </w:r>
      <w:bookmarkEnd w:id="0"/>
      <w:r w:rsidRPr="00EF6B27">
        <w:rPr>
          <w:rFonts w:cs="Times New Roman"/>
          <w:bCs/>
          <w:szCs w:val="24"/>
        </w:rPr>
        <w:t>NPs and E@NPs in pH 7.4 PBS at 4 °</w:t>
      </w:r>
      <w:r w:rsidRPr="00EF6B27">
        <w:rPr>
          <w:rFonts w:cs="Times New Roman" w:hint="eastAsia"/>
          <w:bCs/>
          <w:szCs w:val="24"/>
        </w:rPr>
        <w:t>C</w:t>
      </w:r>
      <w:r w:rsidRPr="00EF6B27">
        <w:rPr>
          <w:rFonts w:cs="Times New Roman"/>
          <w:bCs/>
          <w:szCs w:val="24"/>
        </w:rPr>
        <w:t xml:space="preserve"> in one week. The results were shown as means ± SD (n=3).</w:t>
      </w:r>
    </w:p>
    <w:p w14:paraId="10EDDCB9" w14:textId="77777777" w:rsidR="009B701A" w:rsidRDefault="009B701A" w:rsidP="009B701A">
      <w:pPr>
        <w:spacing w:afterLines="50" w:after="120" w:line="360" w:lineRule="auto"/>
        <w:rPr>
          <w:rFonts w:asciiTheme="majorBidi" w:hAnsiTheme="majorBidi" w:cstheme="majorBidi"/>
          <w:szCs w:val="24"/>
        </w:rPr>
      </w:pPr>
    </w:p>
    <w:p w14:paraId="10395803" w14:textId="77777777" w:rsidR="009B701A" w:rsidRDefault="009B701A" w:rsidP="009B701A">
      <w:pPr>
        <w:spacing w:afterLines="50" w:after="120" w:line="360" w:lineRule="auto"/>
        <w:rPr>
          <w:rFonts w:asciiTheme="majorBidi" w:hAnsiTheme="majorBidi" w:cstheme="majorBidi"/>
          <w:szCs w:val="24"/>
        </w:rPr>
      </w:pPr>
    </w:p>
    <w:p w14:paraId="02F2246A" w14:textId="77777777" w:rsidR="009B701A" w:rsidRPr="00001C12" w:rsidRDefault="009B701A" w:rsidP="009B701A">
      <w:pPr>
        <w:spacing w:afterLines="50" w:after="120" w:line="360" w:lineRule="auto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</w:rPr>
        <w:drawing>
          <wp:inline distT="0" distB="0" distL="0" distR="0" wp14:anchorId="10798EB5" wp14:editId="22646496">
            <wp:extent cx="6324600" cy="4857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1510" r="1248" b="2268"/>
                    <a:stretch/>
                  </pic:blipFill>
                  <pic:spPr bwMode="auto">
                    <a:xfrm>
                      <a:off x="0" y="0"/>
                      <a:ext cx="6337007" cy="48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A843" w14:textId="77777777" w:rsidR="009B701A" w:rsidRPr="00EF6B27" w:rsidRDefault="009B701A" w:rsidP="00EF6B27">
      <w:pPr>
        <w:keepNext/>
        <w:jc w:val="both"/>
        <w:rPr>
          <w:rFonts w:cs="Times New Roman"/>
          <w:b/>
          <w:szCs w:val="24"/>
        </w:rPr>
      </w:pPr>
      <w:r w:rsidRPr="00EF6B27">
        <w:rPr>
          <w:rFonts w:cs="Times New Roman"/>
          <w:b/>
          <w:szCs w:val="24"/>
        </w:rPr>
        <w:t xml:space="preserve">Figure S3. </w:t>
      </w:r>
      <w:r w:rsidRPr="00EF6B27">
        <w:rPr>
          <w:rFonts w:cs="Times New Roman"/>
          <w:bCs/>
          <w:szCs w:val="24"/>
        </w:rPr>
        <w:t xml:space="preserve">The ROS generation after </w:t>
      </w:r>
      <w:r w:rsidRPr="00EF6B27">
        <w:rPr>
          <w:rFonts w:cs="Times New Roman" w:hint="eastAsia"/>
          <w:bCs/>
          <w:szCs w:val="24"/>
        </w:rPr>
        <w:t>different drug</w:t>
      </w:r>
      <w:r w:rsidRPr="00EF6B27">
        <w:rPr>
          <w:rFonts w:cs="Times New Roman"/>
          <w:bCs/>
          <w:szCs w:val="24"/>
        </w:rPr>
        <w:t xml:space="preserve"> treatments in PC cells. (A) The ROS generation of PC cells after treatments was determined by flow cytometry. The values for ROS generation in (B) PANC-1 and (C) Patu-8988T cells after treatments. The data were shown as mean ± SD. Experiments were performed in triplicates. *P &lt; 0.05 **P &lt; 0.01, compared to the control group.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F23D9" w14:textId="77777777" w:rsidR="00DD4AB0" w:rsidRDefault="00DD4AB0" w:rsidP="00117666">
      <w:pPr>
        <w:spacing w:after="0"/>
      </w:pPr>
      <w:r>
        <w:separator/>
      </w:r>
    </w:p>
  </w:endnote>
  <w:endnote w:type="continuationSeparator" w:id="0">
    <w:p w14:paraId="01B31631" w14:textId="77777777" w:rsidR="00DD4AB0" w:rsidRDefault="00DD4A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A61EA" w14:textId="77777777" w:rsidR="00DD4AB0" w:rsidRDefault="00DD4AB0" w:rsidP="00117666">
      <w:pPr>
        <w:spacing w:after="0"/>
      </w:pPr>
      <w:r>
        <w:separator/>
      </w:r>
    </w:p>
  </w:footnote>
  <w:footnote w:type="continuationSeparator" w:id="0">
    <w:p w14:paraId="7DD358FB" w14:textId="77777777" w:rsidR="00DD4AB0" w:rsidRDefault="00DD4A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701A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4AB0"/>
    <w:rsid w:val="00DE23E8"/>
    <w:rsid w:val="00E52377"/>
    <w:rsid w:val="00E537AD"/>
    <w:rsid w:val="00E64E17"/>
    <w:rsid w:val="00E866C9"/>
    <w:rsid w:val="00EA3D3C"/>
    <w:rsid w:val="00EC090A"/>
    <w:rsid w:val="00ED20B5"/>
    <w:rsid w:val="00EF6B2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药剂科</cp:lastModifiedBy>
  <cp:revision>3</cp:revision>
  <cp:lastPrinted>2013-10-03T12:51:00Z</cp:lastPrinted>
  <dcterms:created xsi:type="dcterms:W3CDTF">2018-11-23T08:58:00Z</dcterms:created>
  <dcterms:modified xsi:type="dcterms:W3CDTF">2020-11-02T06:46:00Z</dcterms:modified>
</cp:coreProperties>
</file>