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99" w:rsidRPr="00654558" w:rsidRDefault="00B60499" w:rsidP="00B60499">
      <w:pPr>
        <w:rPr>
          <w:rFonts w:ascii="Times New Roman" w:hAnsi="Times New Roman"/>
          <w:b/>
          <w:sz w:val="32"/>
        </w:rPr>
      </w:pPr>
      <w:r w:rsidRPr="00654558">
        <w:rPr>
          <w:rFonts w:ascii="Times New Roman" w:hAnsi="Times New Roman"/>
          <w:b/>
          <w:sz w:val="32"/>
        </w:rPr>
        <w:t xml:space="preserve">Supplementary Figure 1: Correlations between MTV values measured by the two different fixed-threshold methods with </w:t>
      </w:r>
      <w:proofErr w:type="spellStart"/>
      <w:r w:rsidRPr="00654558">
        <w:rPr>
          <w:rFonts w:ascii="Times New Roman" w:hAnsi="Times New Roman"/>
          <w:b/>
          <w:sz w:val="32"/>
        </w:rPr>
        <w:t>SUVmax</w:t>
      </w:r>
      <w:proofErr w:type="spellEnd"/>
      <w:r w:rsidRPr="00654558">
        <w:rPr>
          <w:rFonts w:ascii="Times New Roman" w:hAnsi="Times New Roman"/>
          <w:b/>
          <w:sz w:val="32"/>
        </w:rPr>
        <w:t xml:space="preserve"> and tumor size.</w:t>
      </w:r>
    </w:p>
    <w:p w:rsidR="00B60499" w:rsidRPr="00654558" w:rsidRDefault="00B60499" w:rsidP="00B60499">
      <w:pPr>
        <w:spacing w:line="480" w:lineRule="auto"/>
        <w:ind w:firstLineChars="50" w:firstLine="161"/>
        <w:rPr>
          <w:rFonts w:ascii="Times New Roman" w:hAnsi="Times New Roman"/>
          <w:b/>
          <w:sz w:val="32"/>
          <w:szCs w:val="24"/>
        </w:rPr>
      </w:pP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eastAsia="ＭＳ Ｐ明朝" w:hAnsi="Times New Roman"/>
          <w:sz w:val="24"/>
          <w:szCs w:val="24"/>
        </w:rPr>
      </w:pPr>
      <w:r w:rsidRPr="00654558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5391150" cy="2762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58">
        <w:rPr>
          <w:rFonts w:ascii="Times New Roman" w:hAnsi="Times New Roman"/>
          <w:sz w:val="24"/>
          <w:szCs w:val="24"/>
        </w:rPr>
        <w:t xml:space="preserve"> Correlations between the representative MTV values measured by the two different fixed-threshold methods (fixed-absolute threshold method: MTV2.5; fixed-relative threshold method: MTV41%) and </w:t>
      </w:r>
      <w:proofErr w:type="spellStart"/>
      <w:r w:rsidRPr="00654558">
        <w:rPr>
          <w:rFonts w:ascii="Times New Roman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hAnsi="Times New Roman"/>
          <w:sz w:val="24"/>
          <w:szCs w:val="24"/>
        </w:rPr>
        <w:t xml:space="preserve"> and tumor size are shown (top row and bottom row, respectively). Graphs on the top right and bottom show correlations between the difference between the two MTV values and </w:t>
      </w:r>
      <w:proofErr w:type="spellStart"/>
      <w:r w:rsidRPr="00654558">
        <w:rPr>
          <w:rFonts w:ascii="Times New Roman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hAnsi="Times New Roman"/>
          <w:sz w:val="24"/>
          <w:szCs w:val="24"/>
        </w:rPr>
        <w:t xml:space="preserve"> (top) and tumor size (bottom). 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MTV2.5 had a strong positive correlation with </w:t>
      </w:r>
      <w:proofErr w:type="spellStart"/>
      <w:r w:rsidRPr="00654558">
        <w:rPr>
          <w:rFonts w:ascii="Times New Roman" w:eastAsia="ＭＳ Ｐ明朝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eastAsia="ＭＳ Ｐ明朝" w:hAnsi="Times New Roman"/>
          <w:sz w:val="24"/>
          <w:szCs w:val="24"/>
        </w:rPr>
        <w:t xml:space="preserve"> (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r</w:t>
      </w:r>
      <w:r w:rsidR="001845D2">
        <w:rPr>
          <w:rFonts w:ascii="Times New Roman" w:eastAsia="ＭＳ Ｐ明朝" w:hAnsi="Times New Roman" w:hint="eastAsia"/>
          <w:sz w:val="24"/>
          <w:szCs w:val="24"/>
          <w:shd w:val="clear" w:color="auto" w:fill="FFFFFF"/>
        </w:rPr>
        <w:t xml:space="preserve">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=</w:t>
      </w:r>
      <w:r w:rsidR="001845D2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0.55, 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&lt; 0.001)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, but MTV41% had no significant correlation with </w:t>
      </w:r>
      <w:proofErr w:type="spellStart"/>
      <w:r w:rsidRPr="00654558">
        <w:rPr>
          <w:rFonts w:ascii="Times New Roman" w:eastAsia="ＭＳ Ｐ明朝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eastAsia="ＭＳ Ｐ明朝" w:hAnsi="Times New Roman"/>
          <w:sz w:val="24"/>
          <w:szCs w:val="24"/>
        </w:rPr>
        <w:t xml:space="preserve"> (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= 0.53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). The difference between MTV2.5 and MTV41% showed a positive correlation with </w:t>
      </w:r>
      <w:proofErr w:type="spellStart"/>
      <w:r w:rsidRPr="00654558">
        <w:rPr>
          <w:rFonts w:ascii="Times New Roman" w:eastAsia="ＭＳ Ｐ明朝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hAnsi="Times New Roman"/>
          <w:sz w:val="24"/>
          <w:szCs w:val="24"/>
        </w:rPr>
        <w:t xml:space="preserve"> </w:t>
      </w:r>
      <w:r w:rsidRPr="00654558">
        <w:rPr>
          <w:rFonts w:ascii="Times New Roman" w:eastAsia="ＭＳ Ｐ明朝" w:hAnsi="Times New Roman"/>
          <w:sz w:val="24"/>
          <w:szCs w:val="24"/>
        </w:rPr>
        <w:t>(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r = 0.72, 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&lt; 0.001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) indicating </w:t>
      </w:r>
      <w:r w:rsidRPr="00654558">
        <w:rPr>
          <w:rFonts w:ascii="Times New Roman" w:hAnsi="Times New Roman"/>
          <w:sz w:val="24"/>
          <w:szCs w:val="24"/>
        </w:rPr>
        <w:t xml:space="preserve">the difference increased as the </w:t>
      </w:r>
      <w:proofErr w:type="spellStart"/>
      <w:r w:rsidRPr="00654558">
        <w:rPr>
          <w:rFonts w:ascii="Times New Roman" w:hAnsi="Times New Roman"/>
          <w:sz w:val="24"/>
          <w:szCs w:val="24"/>
        </w:rPr>
        <w:t>SUVmax</w:t>
      </w:r>
      <w:proofErr w:type="spellEnd"/>
      <w:r w:rsidRPr="00654558">
        <w:rPr>
          <w:rFonts w:ascii="Times New Roman" w:hAnsi="Times New Roman"/>
          <w:sz w:val="24"/>
          <w:szCs w:val="24"/>
        </w:rPr>
        <w:t xml:space="preserve"> increased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. Both MTV values had significant positive correlations with tumor size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(MTV2.5 vs. tumor size: r =</w:t>
      </w:r>
      <w:r w:rsidR="002D33FA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0.62,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 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&lt; 0.001; MTV41% vs. tumor size: r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lastRenderedPageBreak/>
        <w:t xml:space="preserve">= 0.54, 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&lt; 0.001)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. The difference between MTV2.5 and MTV41% showed no significant correlation with tumor size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(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= 0.85)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. </w:t>
      </w: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p w:rsidR="00B60499" w:rsidRPr="00654558" w:rsidRDefault="00B60499" w:rsidP="00B60499">
      <w:pPr>
        <w:spacing w:line="48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p w:rsidR="00B60499" w:rsidRPr="00654558" w:rsidRDefault="00B60499" w:rsidP="00B60499">
      <w:pPr>
        <w:rPr>
          <w:rFonts w:ascii="Times New Roman" w:hAnsi="Times New Roman"/>
          <w:b/>
          <w:sz w:val="32"/>
        </w:rPr>
      </w:pPr>
      <w:r w:rsidRPr="00654558">
        <w:rPr>
          <w:rFonts w:ascii="Times New Roman" w:hAnsi="Times New Roman"/>
          <w:b/>
          <w:sz w:val="32"/>
        </w:rPr>
        <w:br w:type="page"/>
      </w:r>
      <w:r w:rsidRPr="00654558">
        <w:rPr>
          <w:rFonts w:ascii="Times New Roman" w:hAnsi="Times New Roman"/>
          <w:b/>
          <w:sz w:val="32"/>
        </w:rPr>
        <w:lastRenderedPageBreak/>
        <w:t>Supplementary Table 1:</w:t>
      </w:r>
      <w:r w:rsidRPr="00654558">
        <w:t xml:space="preserve"> </w:t>
      </w:r>
      <w:r w:rsidRPr="00654558">
        <w:rPr>
          <w:rFonts w:ascii="Times New Roman" w:hAnsi="Times New Roman"/>
          <w:b/>
          <w:sz w:val="32"/>
        </w:rPr>
        <w:t xml:space="preserve">The </w:t>
      </w:r>
      <w:r w:rsidR="00FE6366">
        <w:rPr>
          <w:rFonts w:ascii="Times New Roman" w:hAnsi="Times New Roman"/>
          <w:b/>
          <w:sz w:val="32"/>
        </w:rPr>
        <w:t>a</w:t>
      </w:r>
      <w:r w:rsidR="00F67939">
        <w:rPr>
          <w:rFonts w:ascii="Times New Roman" w:hAnsi="Times New Roman"/>
          <w:b/>
          <w:sz w:val="32"/>
        </w:rPr>
        <w:t xml:space="preserve">rea </w:t>
      </w:r>
      <w:r w:rsidR="00FE6366">
        <w:rPr>
          <w:rFonts w:ascii="Times New Roman" w:hAnsi="Times New Roman"/>
          <w:b/>
          <w:sz w:val="32"/>
        </w:rPr>
        <w:t>u</w:t>
      </w:r>
      <w:r w:rsidR="00F67939">
        <w:rPr>
          <w:rFonts w:ascii="Times New Roman" w:hAnsi="Times New Roman"/>
          <w:b/>
          <w:sz w:val="32"/>
        </w:rPr>
        <w:t xml:space="preserve">nder the </w:t>
      </w:r>
      <w:r w:rsidR="00FE6366">
        <w:rPr>
          <w:rFonts w:ascii="Times New Roman" w:hAnsi="Times New Roman"/>
          <w:b/>
          <w:sz w:val="32"/>
        </w:rPr>
        <w:t>c</w:t>
      </w:r>
      <w:r w:rsidR="00F67939">
        <w:rPr>
          <w:rFonts w:ascii="Times New Roman" w:hAnsi="Times New Roman"/>
          <w:b/>
          <w:sz w:val="32"/>
        </w:rPr>
        <w:t>urve</w:t>
      </w:r>
      <w:r w:rsidRPr="00654558">
        <w:rPr>
          <w:rFonts w:ascii="Times New Roman" w:hAnsi="Times New Roman"/>
          <w:b/>
          <w:sz w:val="32"/>
        </w:rPr>
        <w:t xml:space="preserve">s and cutoff values of MTV from the nine fixed-threshold values for 1-year DSS outcome </w:t>
      </w:r>
    </w:p>
    <w:p w:rsidR="00B60499" w:rsidRPr="00654558" w:rsidRDefault="00B60499" w:rsidP="00B60499">
      <w:pPr>
        <w:widowControl/>
        <w:jc w:val="left"/>
        <w:rPr>
          <w:rFonts w:ascii="Times New Roman" w:hAnsi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19"/>
        <w:gridCol w:w="864"/>
        <w:gridCol w:w="901"/>
        <w:gridCol w:w="1034"/>
        <w:gridCol w:w="818"/>
        <w:gridCol w:w="858"/>
        <w:gridCol w:w="901"/>
        <w:gridCol w:w="1034"/>
      </w:tblGrid>
      <w:tr w:rsidR="00B60499" w:rsidRPr="00654558" w:rsidTr="000E00EC"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618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/>
                <w:b/>
                <w:szCs w:val="21"/>
              </w:rPr>
              <w:t>MTV</w:t>
            </w:r>
          </w:p>
        </w:tc>
        <w:tc>
          <w:tcPr>
            <w:tcW w:w="3611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Cs w:val="21"/>
              </w:rPr>
              <w:t>T</w:t>
            </w:r>
            <w:r w:rsidRPr="00654558">
              <w:rPr>
                <w:rFonts w:ascii="Times New Roman" w:hAnsi="Times New Roman"/>
                <w:b/>
                <w:szCs w:val="21"/>
              </w:rPr>
              <w:t>LG</w:t>
            </w:r>
          </w:p>
        </w:tc>
      </w:tr>
      <w:tr w:rsidR="00B60499" w:rsidRPr="00654558" w:rsidTr="000E00EC"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654558">
              <w:rPr>
                <w:rFonts w:ascii="Times New Roman" w:hAnsi="Times New Roman"/>
                <w:b/>
                <w:szCs w:val="21"/>
              </w:rPr>
              <w:t>UC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/>
                <w:b/>
                <w:szCs w:val="21"/>
              </w:rPr>
              <w:t>cutoff value</w:t>
            </w:r>
          </w:p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654558">
              <w:rPr>
                <w:rFonts w:ascii="Times New Roman" w:hAnsi="Times New Roman"/>
                <w:b/>
                <w:szCs w:val="21"/>
              </w:rPr>
              <w:t>mm</w:t>
            </w:r>
            <w:r w:rsidRPr="00654558">
              <w:rPr>
                <w:rFonts w:ascii="Times New Roman" w:hAnsi="Times New Roman"/>
                <w:b/>
                <w:szCs w:val="21"/>
                <w:vertAlign w:val="superscript"/>
              </w:rPr>
              <w:t>3</w:t>
            </w:r>
            <w:r w:rsidRPr="00654558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 w:val="16"/>
                <w:szCs w:val="21"/>
              </w:rPr>
              <w:t>s</w:t>
            </w:r>
            <w:r w:rsidRPr="00654558">
              <w:rPr>
                <w:rFonts w:ascii="Times New Roman" w:hAnsi="Times New Roman"/>
                <w:b/>
                <w:sz w:val="16"/>
                <w:szCs w:val="21"/>
              </w:rPr>
              <w:t>ensitivity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21"/>
              </w:rPr>
            </w:pPr>
            <w:r w:rsidRPr="00654558">
              <w:rPr>
                <w:rFonts w:ascii="Times New Roman" w:hAnsi="Times New Roman"/>
                <w:b/>
                <w:sz w:val="16"/>
                <w:szCs w:val="21"/>
              </w:rPr>
              <w:t>specificity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Cs w:val="21"/>
              </w:rPr>
              <w:t>A</w:t>
            </w:r>
            <w:r w:rsidRPr="00654558">
              <w:rPr>
                <w:rFonts w:ascii="Times New Roman" w:hAnsi="Times New Roman"/>
                <w:b/>
                <w:szCs w:val="21"/>
              </w:rPr>
              <w:t>UC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/>
                <w:b/>
                <w:szCs w:val="21"/>
              </w:rPr>
              <w:t>cutoff value</w:t>
            </w:r>
          </w:p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654558">
              <w:rPr>
                <w:rFonts w:ascii="Times New Roman" w:hAnsi="Times New Roman"/>
                <w:b/>
                <w:szCs w:val="21"/>
              </w:rPr>
              <w:t>mm</w:t>
            </w:r>
            <w:r w:rsidRPr="00654558">
              <w:rPr>
                <w:rFonts w:ascii="Times New Roman" w:hAnsi="Times New Roman"/>
                <w:b/>
                <w:szCs w:val="21"/>
                <w:vertAlign w:val="superscript"/>
              </w:rPr>
              <w:t>3</w:t>
            </w:r>
            <w:r w:rsidRPr="00654558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21"/>
              </w:rPr>
            </w:pPr>
            <w:r w:rsidRPr="00654558">
              <w:rPr>
                <w:rFonts w:ascii="Times New Roman" w:hAnsi="Times New Roman" w:hint="eastAsia"/>
                <w:b/>
                <w:sz w:val="16"/>
                <w:szCs w:val="21"/>
              </w:rPr>
              <w:t>s</w:t>
            </w:r>
            <w:r w:rsidRPr="00654558">
              <w:rPr>
                <w:rFonts w:ascii="Times New Roman" w:hAnsi="Times New Roman"/>
                <w:b/>
                <w:sz w:val="16"/>
                <w:szCs w:val="21"/>
              </w:rPr>
              <w:t>ensitivity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B60499" w:rsidRPr="00654558" w:rsidRDefault="00B60499" w:rsidP="000140EA">
            <w:pPr>
              <w:widowControl/>
              <w:jc w:val="center"/>
              <w:rPr>
                <w:rFonts w:ascii="Times New Roman" w:hAnsi="Times New Roman"/>
                <w:b/>
                <w:sz w:val="16"/>
                <w:szCs w:val="21"/>
              </w:rPr>
            </w:pPr>
            <w:r w:rsidRPr="00654558">
              <w:rPr>
                <w:rFonts w:ascii="Times New Roman" w:hAnsi="Times New Roman"/>
                <w:b/>
                <w:sz w:val="16"/>
                <w:szCs w:val="21"/>
              </w:rPr>
              <w:t>specificity</w:t>
            </w:r>
          </w:p>
        </w:tc>
      </w:tr>
      <w:tr w:rsidR="00B60499" w:rsidRPr="00654558" w:rsidTr="000E00EC"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</w:tcPr>
          <w:p w:rsidR="00B60499" w:rsidRPr="00E31072" w:rsidRDefault="00E31072" w:rsidP="000140EA">
            <w:pPr>
              <w:widowControl/>
              <w:jc w:val="left"/>
              <w:rPr>
                <w:rFonts w:ascii="Times New Roman" w:eastAsia="ＭＳ Ｐ明朝" w:hAnsi="Times New Roman"/>
                <w:szCs w:val="24"/>
                <w:shd w:val="clear" w:color="auto" w:fill="FFFFFF"/>
              </w:rPr>
            </w:pPr>
            <w:r w:rsidRPr="00E31072">
              <w:rPr>
                <w:rFonts w:ascii="Times New Roman" w:eastAsia="ＭＳ Ｐ明朝" w:hAnsi="Times New Roman"/>
                <w:szCs w:val="24"/>
                <w:shd w:val="clear" w:color="auto" w:fill="FFFFFF"/>
              </w:rPr>
              <w:t>A</w:t>
            </w:r>
            <w:r w:rsidR="00B60499" w:rsidRPr="00E31072">
              <w:rPr>
                <w:rFonts w:ascii="Times New Roman" w:eastAsia="ＭＳ Ｐ明朝" w:hAnsi="Times New Roman"/>
                <w:szCs w:val="24"/>
                <w:shd w:val="clear" w:color="auto" w:fill="FFFFFF"/>
              </w:rPr>
              <w:t>bsolute SUV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2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.0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2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.5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3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.0</w:t>
            </w:r>
          </w:p>
          <w:p w:rsidR="00B60499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3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.5</w:t>
            </w:r>
          </w:p>
          <w:p w:rsidR="00802F25" w:rsidRPr="00654558" w:rsidRDefault="00802F25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</w:p>
          <w:p w:rsidR="00B60499" w:rsidRPr="00E31072" w:rsidRDefault="00B60499" w:rsidP="000140EA">
            <w:pPr>
              <w:widowControl/>
              <w:jc w:val="left"/>
              <w:rPr>
                <w:rFonts w:ascii="Times New Roman" w:eastAsia="ＭＳ Ｐ明朝" w:hAnsi="Times New Roman"/>
                <w:szCs w:val="24"/>
                <w:shd w:val="clear" w:color="auto" w:fill="FFFFFF"/>
              </w:rPr>
            </w:pPr>
            <w:r w:rsidRPr="00E31072">
              <w:rPr>
                <w:rFonts w:ascii="Times New Roman" w:eastAsia="ＭＳ Ｐ明朝" w:hAnsi="Times New Roman"/>
                <w:szCs w:val="24"/>
                <w:shd w:val="clear" w:color="auto" w:fill="FFFFFF"/>
              </w:rPr>
              <w:t xml:space="preserve">% </w:t>
            </w:r>
            <w:proofErr w:type="spellStart"/>
            <w:r w:rsidRPr="00E31072">
              <w:rPr>
                <w:rFonts w:ascii="Times New Roman" w:eastAsia="ＭＳ Ｐ明朝" w:hAnsi="Times New Roman"/>
                <w:szCs w:val="24"/>
                <w:shd w:val="clear" w:color="auto" w:fill="FFFFFF"/>
              </w:rPr>
              <w:t>SUVmax</w:t>
            </w:r>
            <w:proofErr w:type="spellEnd"/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35%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&gt;40%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42%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45%</w:t>
            </w:r>
          </w:p>
          <w:p w:rsidR="00B60499" w:rsidRPr="00654558" w:rsidRDefault="00F67939" w:rsidP="000140EA">
            <w:pPr>
              <w:widowControl/>
              <w:jc w:val="left"/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499" w:rsidRPr="00654558">
              <w:rPr>
                <w:rFonts w:ascii="Times New Roman" w:eastAsia="ＭＳ Ｐ明朝" w:hAnsi="Times New Roman" w:hint="eastAsia"/>
                <w:sz w:val="24"/>
                <w:szCs w:val="24"/>
                <w:shd w:val="clear" w:color="auto" w:fill="FFFFFF"/>
              </w:rPr>
              <w:t>&gt;</w:t>
            </w:r>
            <w:r w:rsidR="00B60499" w:rsidRPr="00654558">
              <w:rPr>
                <w:rFonts w:ascii="Times New Roman" w:eastAsia="ＭＳ Ｐ明朝" w:hAnsi="Times New Roman"/>
                <w:sz w:val="24"/>
                <w:szCs w:val="24"/>
                <w:shd w:val="clear" w:color="auto" w:fill="FFFFFF"/>
              </w:rPr>
              <w:t>50%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0.652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0.678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0.716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0.724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0.578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0.556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0.546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0.520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0.504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21.13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10.63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3.59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2.46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16.69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6.57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5.08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.807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.737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.614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.432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.719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.263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.228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.526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.500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.563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.438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.875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.375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.875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.563</w:t>
            </w: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0.671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0.693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0.728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0.728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0.62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0.61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0.60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33.05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22.74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14.45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9.99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64.15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56.91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46.64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46.76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/>
                <w:sz w:val="24"/>
                <w:szCs w:val="24"/>
              </w:rPr>
              <w:t>41.06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.579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.614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.614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.6316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.807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.262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.754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.807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.807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802F25" w:rsidP="00802F2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499"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B60499"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.750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.500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.438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.500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.438</w:t>
            </w:r>
          </w:p>
          <w:p w:rsidR="00B60499" w:rsidRPr="00654558" w:rsidRDefault="00B60499" w:rsidP="00F6793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5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654558">
              <w:rPr>
                <w:rFonts w:ascii="Times New Roman" w:hAnsi="Times New Roman"/>
                <w:sz w:val="24"/>
                <w:szCs w:val="24"/>
              </w:rPr>
              <w:t>.438</w:t>
            </w:r>
          </w:p>
        </w:tc>
      </w:tr>
    </w:tbl>
    <w:p w:rsidR="00B60499" w:rsidRPr="00654558" w:rsidRDefault="00B60499" w:rsidP="00B60499">
      <w:pPr>
        <w:rPr>
          <w:rFonts w:ascii="Times New Roman" w:hAnsi="Times New Roman"/>
          <w:sz w:val="22"/>
        </w:rPr>
      </w:pPr>
    </w:p>
    <w:p w:rsidR="00B60499" w:rsidRPr="00654558" w:rsidRDefault="00B60499" w:rsidP="00B60499">
      <w:pPr>
        <w:rPr>
          <w:rFonts w:ascii="Times New Roman" w:hAnsi="Times New Roman"/>
          <w:i/>
          <w:sz w:val="22"/>
        </w:rPr>
      </w:pPr>
      <w:r w:rsidRPr="00654558">
        <w:rPr>
          <w:rFonts w:ascii="Times New Roman" w:hAnsi="Times New Roman"/>
          <w:sz w:val="22"/>
        </w:rPr>
        <w:t>AUC,</w:t>
      </w:r>
      <w:r w:rsidRPr="00654558">
        <w:t xml:space="preserve"> </w:t>
      </w:r>
      <w:r w:rsidRPr="00654558">
        <w:rPr>
          <w:rFonts w:ascii="Times New Roman" w:hAnsi="Times New Roman"/>
          <w:sz w:val="22"/>
        </w:rPr>
        <w:t xml:space="preserve">area under the curve; </w:t>
      </w:r>
      <w:r w:rsidR="00FE6366" w:rsidRPr="00654558">
        <w:rPr>
          <w:rFonts w:ascii="Times New Roman" w:hAnsi="Times New Roman"/>
          <w:sz w:val="22"/>
        </w:rPr>
        <w:t>DSS, disease-specific survival</w:t>
      </w:r>
      <w:r w:rsidR="00FE6366">
        <w:rPr>
          <w:rFonts w:ascii="Times New Roman" w:hAnsi="Times New Roman"/>
          <w:sz w:val="22"/>
        </w:rPr>
        <w:t>;</w:t>
      </w:r>
      <w:r w:rsidR="00FE6366" w:rsidRPr="00654558">
        <w:rPr>
          <w:rFonts w:ascii="Times New Roman" w:hAnsi="Times New Roman"/>
          <w:sz w:val="22"/>
        </w:rPr>
        <w:t xml:space="preserve"> </w:t>
      </w:r>
      <w:r w:rsidRPr="00654558">
        <w:rPr>
          <w:rFonts w:ascii="Times New Roman" w:hAnsi="Times New Roman"/>
          <w:sz w:val="22"/>
        </w:rPr>
        <w:t xml:space="preserve">MTV, mean tumor volume; </w:t>
      </w:r>
      <w:proofErr w:type="spellStart"/>
      <w:r w:rsidR="00FE6366" w:rsidRPr="00654558">
        <w:rPr>
          <w:rFonts w:ascii="Times New Roman" w:hAnsi="Times New Roman" w:hint="eastAsia"/>
          <w:sz w:val="22"/>
        </w:rPr>
        <w:t>SUVmax</w:t>
      </w:r>
      <w:proofErr w:type="spellEnd"/>
      <w:r w:rsidR="00FE6366" w:rsidRPr="00654558">
        <w:rPr>
          <w:rFonts w:ascii="Times New Roman" w:hAnsi="Times New Roman"/>
          <w:sz w:val="22"/>
        </w:rPr>
        <w:t xml:space="preserve">, maximum standardized uptake value; </w:t>
      </w:r>
      <w:r w:rsidRPr="00654558">
        <w:rPr>
          <w:rFonts w:ascii="Times New Roman" w:hAnsi="Times New Roman"/>
          <w:sz w:val="22"/>
        </w:rPr>
        <w:t xml:space="preserve">TLG, </w:t>
      </w:r>
      <w:r w:rsidRPr="00654558">
        <w:rPr>
          <w:rFonts w:ascii="Times New Roman" w:eastAsia="ＭＳ Ｐ明朝" w:hAnsi="Times New Roman"/>
          <w:sz w:val="22"/>
          <w:shd w:val="clear" w:color="auto" w:fill="FFFFFF"/>
        </w:rPr>
        <w:t>total lesion glycolysis (TLG was calculated as (</w:t>
      </w:r>
      <w:proofErr w:type="spellStart"/>
      <w:r w:rsidRPr="00654558">
        <w:rPr>
          <w:rFonts w:ascii="Times New Roman" w:eastAsia="ＭＳ Ｐ明朝" w:hAnsi="Times New Roman"/>
          <w:sz w:val="22"/>
          <w:shd w:val="clear" w:color="auto" w:fill="FFFFFF"/>
        </w:rPr>
        <w:t>SUVmean</w:t>
      </w:r>
      <w:proofErr w:type="spellEnd"/>
      <w:r w:rsidRPr="00654558">
        <w:rPr>
          <w:rFonts w:ascii="Times New Roman" w:eastAsia="ＭＳ Ｐ明朝" w:hAnsi="Times New Roman"/>
          <w:sz w:val="22"/>
          <w:shd w:val="clear" w:color="auto" w:fill="FFFFFF"/>
        </w:rPr>
        <w:t xml:space="preserve">) × (MTV) in each method) </w:t>
      </w:r>
    </w:p>
    <w:p w:rsidR="00B60499" w:rsidRPr="00654558" w:rsidRDefault="00B60499" w:rsidP="00B60499">
      <w:pPr>
        <w:widowControl/>
        <w:jc w:val="left"/>
        <w:rPr>
          <w:rFonts w:ascii="Times New Roman" w:hAnsi="Times New Roman"/>
          <w:b/>
          <w:sz w:val="32"/>
        </w:rPr>
      </w:pPr>
    </w:p>
    <w:p w:rsidR="00B60499" w:rsidRPr="00654558" w:rsidRDefault="00B60499" w:rsidP="00B6049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31072" w:rsidRDefault="00E31072">
      <w:pPr>
        <w:widowControl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B60499" w:rsidRPr="00654558" w:rsidRDefault="00B60499" w:rsidP="00B60499">
      <w:pPr>
        <w:rPr>
          <w:rFonts w:ascii="Times New Roman" w:hAnsi="Times New Roman"/>
          <w:b/>
          <w:sz w:val="32"/>
        </w:rPr>
      </w:pPr>
      <w:r w:rsidRPr="00654558">
        <w:rPr>
          <w:rFonts w:ascii="Times New Roman" w:hAnsi="Times New Roman"/>
          <w:b/>
          <w:sz w:val="32"/>
        </w:rPr>
        <w:lastRenderedPageBreak/>
        <w:t>Supplementary Table 2: Multivariate analysis with MTV3.5 for recurrence types</w:t>
      </w:r>
    </w:p>
    <w:p w:rsidR="00B60499" w:rsidRPr="00654558" w:rsidRDefault="00B60499" w:rsidP="00B60499">
      <w:pPr>
        <w:rPr>
          <w:rFonts w:ascii="Times New Roman" w:hAnsi="Times New Roman"/>
          <w:b/>
          <w:sz w:val="32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94"/>
        <w:gridCol w:w="838"/>
        <w:gridCol w:w="1231"/>
        <w:gridCol w:w="757"/>
        <w:gridCol w:w="823"/>
        <w:gridCol w:w="1336"/>
        <w:gridCol w:w="880"/>
        <w:gridCol w:w="68"/>
        <w:gridCol w:w="1015"/>
        <w:gridCol w:w="1231"/>
      </w:tblGrid>
      <w:tr w:rsidR="00B60499" w:rsidRPr="00654558" w:rsidTr="005872D8"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0140EA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Liver metastasis model with MTV3.5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0140EA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PC recurrence model with MTV3.5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</w:tcPr>
          <w:p w:rsidR="00B60499" w:rsidRPr="005872D8" w:rsidRDefault="00B60499" w:rsidP="000140EA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Local recurrence model with MTV3.5</w:t>
            </w:r>
          </w:p>
        </w:tc>
      </w:tr>
      <w:tr w:rsidR="00B60499" w:rsidRPr="00654558" w:rsidTr="005872D8"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P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Hazard ratio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95% CI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Hazard ratio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95% CI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Hazard ratio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60499" w:rsidRPr="005872D8" w:rsidRDefault="00B60499" w:rsidP="00BF48A5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95% CI</w:t>
            </w:r>
          </w:p>
        </w:tc>
      </w:tr>
      <w:tr w:rsidR="00B60499" w:rsidRPr="00654558" w:rsidTr="000140EA"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.470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.386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.572–</w:t>
            </w:r>
            <w:r w:rsidRPr="005872D8">
              <w:rPr>
                <w:rFonts w:ascii="Times New Roman" w:hAnsi="Times New Roman" w:hint="eastAsia"/>
                <w:sz w:val="20"/>
              </w:rPr>
              <w:t>3</w:t>
            </w:r>
            <w:r w:rsidRPr="005872D8">
              <w:rPr>
                <w:rFonts w:ascii="Times New Roman" w:hAnsi="Times New Roman"/>
                <w:sz w:val="20"/>
              </w:rPr>
              <w:t>.363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.999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&lt;</w:t>
            </w: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.453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.427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.564–</w:t>
            </w:r>
            <w:r w:rsidRPr="005872D8">
              <w:rPr>
                <w:rFonts w:ascii="Times New Roman" w:hAnsi="Times New Roman" w:hint="eastAsia"/>
                <w:sz w:val="20"/>
              </w:rPr>
              <w:t>3</w:t>
            </w:r>
            <w:r w:rsidRPr="005872D8">
              <w:rPr>
                <w:rFonts w:ascii="Times New Roman" w:hAnsi="Times New Roman"/>
                <w:sz w:val="20"/>
              </w:rPr>
              <w:t>.612</w:t>
            </w:r>
          </w:p>
        </w:tc>
      </w:tr>
      <w:tr w:rsidR="00B60499" w:rsidRPr="00654558" w:rsidTr="000140EA"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 xml:space="preserve">Age </w:t>
            </w:r>
            <w:r w:rsidRPr="005872D8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≥</w:t>
            </w:r>
            <w:r w:rsidRPr="005872D8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.266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.804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.637–</w:t>
            </w:r>
            <w:r w:rsidRPr="005872D8">
              <w:rPr>
                <w:rFonts w:ascii="Times New Roman" w:hAnsi="Times New Roman" w:hint="eastAsia"/>
                <w:sz w:val="20"/>
              </w:rPr>
              <w:t>5</w:t>
            </w:r>
            <w:r w:rsidRPr="005872D8">
              <w:rPr>
                <w:rFonts w:ascii="Times New Roman" w:hAnsi="Times New Roman"/>
                <w:sz w:val="20"/>
              </w:rPr>
              <w:t>.104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.687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.595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.164–</w:t>
            </w: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5.523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.823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.902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.365–</w:t>
            </w:r>
            <w:r w:rsidRPr="005872D8">
              <w:rPr>
                <w:rFonts w:ascii="Times New Roman" w:hAnsi="Times New Roman" w:hint="eastAsia"/>
                <w:sz w:val="20"/>
              </w:rPr>
              <w:t>2</w:t>
            </w:r>
            <w:r w:rsidRPr="005872D8">
              <w:rPr>
                <w:rFonts w:ascii="Times New Roman" w:hAnsi="Times New Roman"/>
                <w:sz w:val="20"/>
              </w:rPr>
              <w:t>.228</w:t>
            </w:r>
          </w:p>
        </w:tc>
      </w:tr>
      <w:tr w:rsidR="00B60499" w:rsidRPr="00654558" w:rsidTr="000140EA"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 xml:space="preserve">CA19-9 </w:t>
            </w:r>
            <w:r w:rsidRPr="005872D8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≥</w:t>
            </w:r>
            <w:r w:rsidRPr="005872D8">
              <w:rPr>
                <w:rFonts w:ascii="Times New Roman" w:hAnsi="Times New Roman"/>
                <w:sz w:val="20"/>
              </w:rPr>
              <w:t>276.5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.374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.481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>0.623–3.519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2</w:t>
            </w:r>
            <w:r w:rsidRPr="005872D8">
              <w:rPr>
                <w:rFonts w:ascii="Times New Roman" w:hAnsi="Times New Roman"/>
                <w:sz w:val="20"/>
              </w:rPr>
              <w:t>.277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.352–</w:t>
            </w: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4.709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.224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.709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.720–</w:t>
            </w:r>
            <w:r w:rsidRPr="005872D8">
              <w:rPr>
                <w:rFonts w:ascii="Times New Roman" w:hAnsi="Times New Roman" w:hint="eastAsia"/>
                <w:sz w:val="20"/>
              </w:rPr>
              <w:t>4</w:t>
            </w:r>
            <w:r w:rsidRPr="005872D8">
              <w:rPr>
                <w:rFonts w:ascii="Times New Roman" w:hAnsi="Times New Roman"/>
                <w:sz w:val="20"/>
              </w:rPr>
              <w:t>.057</w:t>
            </w:r>
          </w:p>
        </w:tc>
      </w:tr>
      <w:tr w:rsidR="00B60499" w:rsidRPr="00654558" w:rsidTr="000140EA"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872D8">
              <w:rPr>
                <w:rFonts w:ascii="Times New Roman" w:hAnsi="Times New Roman"/>
                <w:sz w:val="20"/>
              </w:rPr>
              <w:t>Resectability</w:t>
            </w:r>
            <w:proofErr w:type="spellEnd"/>
            <w:r w:rsidRPr="005872D8">
              <w:rPr>
                <w:rFonts w:ascii="Times New Roman" w:hAnsi="Times New Roman"/>
                <w:sz w:val="20"/>
              </w:rPr>
              <w:t>, BR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.434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.428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.585–</w:t>
            </w:r>
            <w:r w:rsidRPr="005872D8">
              <w:rPr>
                <w:rFonts w:ascii="Times New Roman" w:hAnsi="Times New Roman" w:hint="eastAsia"/>
                <w:sz w:val="20"/>
              </w:rPr>
              <w:t>3</w:t>
            </w:r>
            <w:r w:rsidRPr="005872D8">
              <w:rPr>
                <w:rFonts w:ascii="Times New Roman" w:hAnsi="Times New Roman"/>
                <w:sz w:val="20"/>
              </w:rPr>
              <w:t>.487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2</w:t>
            </w:r>
            <w:r w:rsidRPr="005872D8">
              <w:rPr>
                <w:rFonts w:ascii="Times New Roman" w:hAnsi="Times New Roman"/>
                <w:sz w:val="20"/>
              </w:rPr>
              <w:t>.437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.384–</w:t>
            </w: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5.469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.839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.907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.355–</w:t>
            </w:r>
            <w:r w:rsidRPr="005872D8">
              <w:rPr>
                <w:rFonts w:ascii="Times New Roman" w:hAnsi="Times New Roman" w:hint="eastAsia"/>
                <w:sz w:val="20"/>
              </w:rPr>
              <w:t>2</w:t>
            </w:r>
            <w:r w:rsidRPr="005872D8">
              <w:rPr>
                <w:rFonts w:ascii="Times New Roman" w:hAnsi="Times New Roman"/>
                <w:sz w:val="20"/>
              </w:rPr>
              <w:t>.319</w:t>
            </w:r>
          </w:p>
        </w:tc>
      </w:tr>
      <w:tr w:rsidR="00B60499" w:rsidRPr="00654558" w:rsidTr="000140EA"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0140EA">
            <w:pPr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/>
                <w:sz w:val="20"/>
              </w:rPr>
              <w:t xml:space="preserve">MTV3.5 </w:t>
            </w:r>
            <w:r w:rsidRPr="005872D8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≥</w:t>
            </w:r>
            <w:r w:rsidRPr="005872D8">
              <w:rPr>
                <w:rFonts w:ascii="Times New Roman" w:hAnsi="Times New Roman"/>
                <w:sz w:val="20"/>
              </w:rPr>
              <w:t>2.46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.007†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3</w:t>
            </w:r>
            <w:r w:rsidRPr="005872D8">
              <w:rPr>
                <w:rFonts w:ascii="Times New Roman" w:hAnsi="Times New Roman"/>
                <w:sz w:val="20"/>
              </w:rPr>
              <w:t>.649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1</w:t>
            </w:r>
            <w:r w:rsidRPr="005872D8">
              <w:rPr>
                <w:rFonts w:ascii="Times New Roman" w:hAnsi="Times New Roman"/>
                <w:sz w:val="20"/>
              </w:rPr>
              <w:t>.433–</w:t>
            </w:r>
            <w:r w:rsidRPr="005872D8">
              <w:rPr>
                <w:rFonts w:ascii="Times New Roman" w:hAnsi="Times New Roman" w:hint="eastAsia"/>
                <w:sz w:val="20"/>
              </w:rPr>
              <w:t>9</w:t>
            </w:r>
            <w:r w:rsidRPr="005872D8">
              <w:rPr>
                <w:rFonts w:ascii="Times New Roman" w:hAnsi="Times New Roman"/>
                <w:sz w:val="20"/>
              </w:rPr>
              <w:t>.295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.139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5</w:t>
            </w:r>
            <w:r w:rsidRPr="005872D8">
              <w:rPr>
                <w:rFonts w:ascii="Times New Roman" w:hAnsi="Times New Roman"/>
                <w:sz w:val="20"/>
              </w:rPr>
              <w:t>.441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.578–</w:t>
            </w:r>
            <w:r w:rsidRPr="005872D8">
              <w:rPr>
                <w:rFonts w:ascii="Times New Roman" w:hAnsi="Times New Roman" w:hint="eastAsia"/>
                <w:sz w:val="20"/>
              </w:rPr>
              <w:t>5</w:t>
            </w:r>
            <w:r w:rsidRPr="005872D8">
              <w:rPr>
                <w:rFonts w:ascii="Times New Roman" w:hAnsi="Times New Roman"/>
                <w:sz w:val="20"/>
              </w:rPr>
              <w:t>1.291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.988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.993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499" w:rsidRPr="005872D8" w:rsidRDefault="00B60499" w:rsidP="005872D8">
            <w:pPr>
              <w:jc w:val="center"/>
              <w:rPr>
                <w:rFonts w:ascii="Times New Roman" w:hAnsi="Times New Roman"/>
                <w:sz w:val="20"/>
              </w:rPr>
            </w:pPr>
            <w:r w:rsidRPr="005872D8">
              <w:rPr>
                <w:rFonts w:ascii="Times New Roman" w:hAnsi="Times New Roman" w:hint="eastAsia"/>
                <w:sz w:val="20"/>
              </w:rPr>
              <w:t>0</w:t>
            </w:r>
            <w:r w:rsidRPr="005872D8">
              <w:rPr>
                <w:rFonts w:ascii="Times New Roman" w:hAnsi="Times New Roman"/>
                <w:sz w:val="20"/>
              </w:rPr>
              <w:t>.404–</w:t>
            </w:r>
            <w:r w:rsidRPr="005872D8">
              <w:rPr>
                <w:rFonts w:ascii="Times New Roman" w:hAnsi="Times New Roman" w:hint="eastAsia"/>
                <w:sz w:val="20"/>
              </w:rPr>
              <w:t>2</w:t>
            </w:r>
            <w:r w:rsidRPr="005872D8">
              <w:rPr>
                <w:rFonts w:ascii="Times New Roman" w:hAnsi="Times New Roman"/>
                <w:sz w:val="20"/>
              </w:rPr>
              <w:t>.439</w:t>
            </w:r>
          </w:p>
        </w:tc>
      </w:tr>
    </w:tbl>
    <w:p w:rsidR="00E31072" w:rsidRDefault="00E31072" w:rsidP="00B60499">
      <w:pPr>
        <w:rPr>
          <w:rFonts w:ascii="Times New Roman" w:hAnsi="Times New Roman"/>
          <w:szCs w:val="21"/>
        </w:rPr>
      </w:pPr>
    </w:p>
    <w:p w:rsidR="00550601" w:rsidRDefault="00426531" w:rsidP="00B60499">
      <w:pPr>
        <w:rPr>
          <w:rFonts w:ascii="Times New Roman" w:hAnsi="Times New Roman"/>
          <w:i/>
          <w:szCs w:val="21"/>
        </w:rPr>
      </w:pPr>
      <w:r w:rsidRPr="00654558">
        <w:rPr>
          <w:rFonts w:ascii="Times New Roman" w:hAnsi="Times New Roman"/>
          <w:szCs w:val="21"/>
        </w:rPr>
        <w:t xml:space="preserve">BR, borderline </w:t>
      </w:r>
      <w:proofErr w:type="spellStart"/>
      <w:r w:rsidRPr="00654558">
        <w:rPr>
          <w:rFonts w:ascii="Times New Roman" w:hAnsi="Times New Roman"/>
          <w:szCs w:val="21"/>
        </w:rPr>
        <w:t>resectable</w:t>
      </w:r>
      <w:proofErr w:type="spellEnd"/>
      <w:r w:rsidRPr="00654558">
        <w:rPr>
          <w:rFonts w:ascii="Times New Roman" w:hAnsi="Times New Roman"/>
          <w:szCs w:val="21"/>
        </w:rPr>
        <w:t xml:space="preserve">; </w:t>
      </w:r>
      <w:r w:rsidR="00B60499" w:rsidRPr="00654558">
        <w:rPr>
          <w:rFonts w:ascii="Times New Roman" w:hAnsi="Times New Roman"/>
          <w:szCs w:val="21"/>
        </w:rPr>
        <w:t xml:space="preserve">CA19-9, cancer antigen 19-9; </w:t>
      </w:r>
      <w:r w:rsidRPr="00654558">
        <w:rPr>
          <w:rFonts w:ascii="Times New Roman" w:hAnsi="Times New Roman"/>
          <w:szCs w:val="21"/>
        </w:rPr>
        <w:t>CI</w:t>
      </w:r>
      <w:r w:rsidRPr="00654558">
        <w:rPr>
          <w:rFonts w:ascii="Times New Roman" w:hAnsi="Times New Roman"/>
          <w:i/>
          <w:szCs w:val="21"/>
        </w:rPr>
        <w:t xml:space="preserve">, </w:t>
      </w:r>
      <w:r w:rsidRPr="00654558">
        <w:rPr>
          <w:rFonts w:ascii="Times New Roman" w:hAnsi="Times New Roman"/>
          <w:szCs w:val="21"/>
        </w:rPr>
        <w:t xml:space="preserve">confidence interval; MTV, mean tumor volume; PC, peritonitis </w:t>
      </w:r>
      <w:proofErr w:type="spellStart"/>
      <w:r w:rsidRPr="00654558">
        <w:rPr>
          <w:rFonts w:ascii="Times New Roman" w:hAnsi="Times New Roman"/>
          <w:szCs w:val="21"/>
        </w:rPr>
        <w:t>carcinomatosa</w:t>
      </w:r>
      <w:proofErr w:type="spellEnd"/>
      <w:r w:rsidR="00D06403">
        <w:rPr>
          <w:rFonts w:ascii="Times New Roman" w:hAnsi="Times New Roman"/>
          <w:i/>
          <w:szCs w:val="21"/>
        </w:rPr>
        <w:t xml:space="preserve">.  </w:t>
      </w:r>
    </w:p>
    <w:p w:rsidR="00B60499" w:rsidRPr="00D06403" w:rsidRDefault="00B60499" w:rsidP="00B60499">
      <w:pPr>
        <w:rPr>
          <w:rFonts w:ascii="Times New Roman" w:hAnsi="Times New Roman"/>
          <w:i/>
          <w:szCs w:val="21"/>
        </w:rPr>
      </w:pPr>
      <w:r w:rsidRPr="00654558">
        <w:rPr>
          <w:rFonts w:ascii="Times New Roman" w:hAnsi="Times New Roman"/>
          <w:szCs w:val="21"/>
        </w:rPr>
        <w:t>†</w:t>
      </w:r>
      <w:r w:rsidRPr="00654558">
        <w:rPr>
          <w:rFonts w:ascii="Times New Roman" w:hAnsi="Times New Roman"/>
          <w:i/>
          <w:szCs w:val="21"/>
        </w:rPr>
        <w:t>P</w:t>
      </w:r>
      <w:r w:rsidRPr="00654558">
        <w:rPr>
          <w:rFonts w:ascii="Times New Roman" w:hAnsi="Times New Roman"/>
          <w:szCs w:val="21"/>
        </w:rPr>
        <w:t xml:space="preserve"> &lt; 0.01</w:t>
      </w:r>
    </w:p>
    <w:p w:rsidR="000E00EC" w:rsidRDefault="000E00EC" w:rsidP="00B60499">
      <w:pPr>
        <w:spacing w:line="480" w:lineRule="auto"/>
        <w:rPr>
          <w:rFonts w:ascii="Times New Roman" w:eastAsia="ＭＳ Ｐ明朝" w:hAnsi="Times New Roman"/>
          <w:b/>
          <w:i/>
          <w:sz w:val="24"/>
          <w:szCs w:val="24"/>
          <w:shd w:val="clear" w:color="auto" w:fill="FFFFFF"/>
        </w:rPr>
      </w:pPr>
    </w:p>
    <w:p w:rsidR="00B60499" w:rsidRPr="005A1A04" w:rsidRDefault="00B60499" w:rsidP="00B60499">
      <w:pPr>
        <w:spacing w:line="480" w:lineRule="auto"/>
        <w:rPr>
          <w:rFonts w:ascii="Times New Roman" w:eastAsia="ＭＳ Ｐ明朝" w:hAnsi="Times New Roman"/>
          <w:b/>
          <w:i/>
          <w:sz w:val="24"/>
          <w:szCs w:val="24"/>
          <w:shd w:val="clear" w:color="auto" w:fill="FFFFFF"/>
        </w:rPr>
      </w:pPr>
      <w:r w:rsidRPr="005A1A04">
        <w:rPr>
          <w:rFonts w:ascii="Times New Roman" w:eastAsia="ＭＳ Ｐ明朝" w:hAnsi="Times New Roman"/>
          <w:b/>
          <w:i/>
          <w:sz w:val="24"/>
          <w:szCs w:val="24"/>
          <w:shd w:val="clear" w:color="auto" w:fill="FFFFFF"/>
        </w:rPr>
        <w:t>Evaluation of the prognostic value of MTV3.</w:t>
      </w:r>
      <w:r w:rsidR="00BF48A5">
        <w:rPr>
          <w:rFonts w:ascii="Times New Roman" w:eastAsia="ＭＳ Ｐ明朝" w:hAnsi="Times New Roman"/>
          <w:b/>
          <w:i/>
          <w:sz w:val="24"/>
          <w:szCs w:val="24"/>
          <w:shd w:val="clear" w:color="auto" w:fill="FFFFFF"/>
        </w:rPr>
        <w:t xml:space="preserve">5 </w:t>
      </w:r>
      <w:r w:rsidRPr="005A1A04">
        <w:rPr>
          <w:rFonts w:ascii="Times New Roman" w:eastAsia="ＭＳ Ｐ明朝" w:hAnsi="Times New Roman"/>
          <w:b/>
          <w:i/>
          <w:sz w:val="24"/>
          <w:szCs w:val="24"/>
          <w:shd w:val="clear" w:color="auto" w:fill="FFFFFF"/>
        </w:rPr>
        <w:t>for recurrence types</w:t>
      </w:r>
    </w:p>
    <w:p w:rsidR="00C10E09" w:rsidRPr="00BE5C3A" w:rsidRDefault="00B60499" w:rsidP="00BE5C3A">
      <w:pPr>
        <w:spacing w:line="480" w:lineRule="auto"/>
        <w:rPr>
          <w:rFonts w:ascii="Times New Roman" w:eastAsia="ＭＳ Ｐ明朝" w:hAnsi="Times New Roman"/>
          <w:sz w:val="24"/>
          <w:szCs w:val="24"/>
          <w:shd w:val="clear" w:color="auto" w:fill="FFFFFF"/>
        </w:rPr>
      </w:pP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To determine the prognostic value of MTV3.5, we conducted Kaplan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softHyphen/>
        <w:t xml:space="preserve">–Meier analysis and multivariate analysis using a Cox proportional hazards regression model for recurrence types: liver metastasis, peritonitis </w:t>
      </w:r>
      <w:proofErr w:type="spellStart"/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carcinomatosa</w:t>
      </w:r>
      <w:proofErr w:type="spellEnd"/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(PC) recurrence and local recurrence. On univariate analysis, the MTV3.5</w:t>
      </w:r>
      <w:r w:rsidRPr="00654558">
        <w:rPr>
          <w:rFonts w:ascii="Times New Roman" w:eastAsia="ＭＳ Ｐ明朝" w:hAnsi="Times New Roman"/>
          <w:sz w:val="24"/>
          <w:szCs w:val="24"/>
        </w:rPr>
        <w:t xml:space="preserve"> cutoff value of 2.46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was strongly and significantly associated with liver metastasis (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= 0.002), but not with PC recurrence (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= 0.098) and local recurrence (</w:t>
      </w:r>
      <w:r w:rsidRPr="00654558">
        <w:rPr>
          <w:rFonts w:ascii="Times New Roman" w:eastAsia="ＭＳ Ｐ明朝" w:hAnsi="Times New Roman"/>
          <w:i/>
          <w:sz w:val="24"/>
          <w:szCs w:val="24"/>
          <w:shd w:val="clear" w:color="auto" w:fill="FFFFFF"/>
        </w:rPr>
        <w:t xml:space="preserve">P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= 0.859). Multivariate analysis with five variables including MTV3.5, age, sex, </w:t>
      </w:r>
      <w:proofErr w:type="spellStart"/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>resectability</w:t>
      </w:r>
      <w:proofErr w:type="spellEnd"/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and pretreatment CA19-9 level revealed that MTV3.5 was a significant independent predictor for </w:t>
      </w:r>
      <w:r w:rsidRPr="00654558">
        <w:rPr>
          <w:rFonts w:ascii="Times New Roman" w:eastAsia="ＭＳ Ｐ明朝" w:hAnsi="Times New Roman" w:hint="eastAsia"/>
          <w:sz w:val="24"/>
          <w:szCs w:val="24"/>
          <w:shd w:val="clear" w:color="auto" w:fill="FFFFFF"/>
        </w:rPr>
        <w:t>liver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t xml:space="preserve"> metastasis but not for PC recurrence and </w:t>
      </w:r>
      <w:r w:rsidRPr="00654558">
        <w:rPr>
          <w:rFonts w:ascii="Times New Roman" w:eastAsia="ＭＳ Ｐ明朝" w:hAnsi="Times New Roman"/>
          <w:sz w:val="24"/>
          <w:szCs w:val="24"/>
          <w:shd w:val="clear" w:color="auto" w:fill="FFFFFF"/>
        </w:rPr>
        <w:lastRenderedPageBreak/>
        <w:t>local recurrence.</w:t>
      </w:r>
    </w:p>
    <w:sectPr w:rsidR="00C10E09" w:rsidRPr="00BE5C3A" w:rsidSect="009443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67" w:rsidRDefault="001D6C67" w:rsidP="005A1A04">
      <w:r>
        <w:separator/>
      </w:r>
    </w:p>
  </w:endnote>
  <w:endnote w:type="continuationSeparator" w:id="0">
    <w:p w:rsidR="001D6C67" w:rsidRDefault="001D6C67" w:rsidP="005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67" w:rsidRDefault="001D6C67" w:rsidP="005A1A04">
      <w:r>
        <w:separator/>
      </w:r>
    </w:p>
  </w:footnote>
  <w:footnote w:type="continuationSeparator" w:id="0">
    <w:p w:rsidR="001D6C67" w:rsidRDefault="001D6C67" w:rsidP="005A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99"/>
    <w:rsid w:val="000E00EC"/>
    <w:rsid w:val="00134E6D"/>
    <w:rsid w:val="001845D2"/>
    <w:rsid w:val="001D6C67"/>
    <w:rsid w:val="002D33FA"/>
    <w:rsid w:val="00426531"/>
    <w:rsid w:val="0047607D"/>
    <w:rsid w:val="00550601"/>
    <w:rsid w:val="005872D8"/>
    <w:rsid w:val="005A1A04"/>
    <w:rsid w:val="00680A99"/>
    <w:rsid w:val="0077353E"/>
    <w:rsid w:val="00802F25"/>
    <w:rsid w:val="008D14FF"/>
    <w:rsid w:val="008F3E97"/>
    <w:rsid w:val="00B60499"/>
    <w:rsid w:val="00BE5C3A"/>
    <w:rsid w:val="00BF48A5"/>
    <w:rsid w:val="00C10E09"/>
    <w:rsid w:val="00D06403"/>
    <w:rsid w:val="00E31072"/>
    <w:rsid w:val="00F67939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3FA0B"/>
  <w15:chartTrackingRefBased/>
  <w15:docId w15:val="{D2F8714F-8C77-48E0-B6CE-95B97435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4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0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舘脇康子</dc:creator>
  <cp:keywords/>
  <dc:description/>
  <cp:lastModifiedBy>舘脇康子</cp:lastModifiedBy>
  <cp:revision>7</cp:revision>
  <dcterms:created xsi:type="dcterms:W3CDTF">2021-03-03T05:31:00Z</dcterms:created>
  <dcterms:modified xsi:type="dcterms:W3CDTF">2021-03-03T05:56:00Z</dcterms:modified>
</cp:coreProperties>
</file>