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1DCDF" w14:textId="77777777" w:rsidR="0064635B" w:rsidRDefault="004A6570">
      <w:r>
        <w:rPr>
          <w:rFonts w:ascii="Arial" w:hAnsi="Arial" w:cs="Arial"/>
          <w:b/>
          <w:bCs/>
        </w:rPr>
        <w:t xml:space="preserve">Supplementary table 1. </w:t>
      </w:r>
      <w:r>
        <w:rPr>
          <w:rFonts w:ascii="Arial" w:hAnsi="Arial" w:cs="Arial"/>
          <w:bCs/>
          <w:lang w:val="en-US"/>
        </w:rPr>
        <w:t xml:space="preserve">Overview of PK studies with IVIg and SCIg in immune-mediated neuropathies. </w:t>
      </w:r>
    </w:p>
    <w:tbl>
      <w:tblPr>
        <w:tblW w:w="14460" w:type="dxa"/>
        <w:tblLayout w:type="fixed"/>
        <w:tblCellMar>
          <w:left w:w="10" w:type="dxa"/>
          <w:right w:w="10" w:type="dxa"/>
        </w:tblCellMar>
        <w:tblLook w:val="04A0" w:firstRow="1" w:lastRow="0" w:firstColumn="1" w:lastColumn="0" w:noHBand="0" w:noVBand="1"/>
      </w:tblPr>
      <w:tblGrid>
        <w:gridCol w:w="2264"/>
        <w:gridCol w:w="2411"/>
        <w:gridCol w:w="142"/>
        <w:gridCol w:w="1134"/>
        <w:gridCol w:w="142"/>
        <w:gridCol w:w="4254"/>
        <w:gridCol w:w="4113"/>
      </w:tblGrid>
      <w:tr w:rsidR="0064635B" w14:paraId="5536A173" w14:textId="77777777">
        <w:tblPrEx>
          <w:tblCellMar>
            <w:top w:w="0" w:type="dxa"/>
            <w:bottom w:w="0" w:type="dxa"/>
          </w:tblCellMar>
        </w:tblPrEx>
        <w:tc>
          <w:tcPr>
            <w:tcW w:w="2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D32456" w14:textId="77777777" w:rsidR="0064635B" w:rsidRDefault="004A6570">
            <w:pPr>
              <w:spacing w:after="0" w:line="276" w:lineRule="auto"/>
            </w:pPr>
            <w:r>
              <w:rPr>
                <w:rFonts w:cs="Arial"/>
                <w:b/>
                <w:sz w:val="20"/>
                <w:szCs w:val="20"/>
              </w:rPr>
              <w:t xml:space="preserve">Study </w:t>
            </w:r>
            <w:r>
              <w:rPr>
                <w:rFonts w:cs="Arial"/>
                <w:b/>
                <w:i/>
                <w:iCs/>
                <w:sz w:val="20"/>
                <w:szCs w:val="20"/>
              </w:rPr>
              <w:t>(indication[s])</w:t>
            </w:r>
          </w:p>
        </w:tc>
        <w:tc>
          <w:tcPr>
            <w:tcW w:w="2553"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825E277" w14:textId="77777777" w:rsidR="0064635B" w:rsidRDefault="004A6570">
            <w:pPr>
              <w:spacing w:after="0" w:line="276" w:lineRule="auto"/>
              <w:rPr>
                <w:rFonts w:cs="Arial"/>
                <w:b/>
                <w:sz w:val="20"/>
                <w:szCs w:val="20"/>
              </w:rPr>
            </w:pPr>
            <w:r>
              <w:rPr>
                <w:rFonts w:cs="Arial"/>
                <w:b/>
                <w:sz w:val="20"/>
                <w:szCs w:val="20"/>
              </w:rPr>
              <w:t>Study design</w:t>
            </w:r>
          </w:p>
        </w:tc>
        <w:tc>
          <w:tcPr>
            <w:tcW w:w="1276"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06DC64D" w14:textId="77777777" w:rsidR="0064635B" w:rsidRDefault="004A6570">
            <w:pPr>
              <w:spacing w:after="0" w:line="276" w:lineRule="auto"/>
              <w:jc w:val="center"/>
              <w:rPr>
                <w:rFonts w:cs="Arial"/>
                <w:b/>
                <w:sz w:val="20"/>
                <w:szCs w:val="20"/>
              </w:rPr>
            </w:pPr>
            <w:r>
              <w:rPr>
                <w:rFonts w:cs="Arial"/>
                <w:b/>
                <w:sz w:val="20"/>
                <w:szCs w:val="20"/>
              </w:rPr>
              <w:t>No. patients</w:t>
            </w:r>
          </w:p>
        </w:tc>
        <w:tc>
          <w:tcPr>
            <w:tcW w:w="425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E5D2DFF" w14:textId="77777777" w:rsidR="0064635B" w:rsidRDefault="004A6570">
            <w:pPr>
              <w:spacing w:after="0" w:line="276" w:lineRule="auto"/>
              <w:jc w:val="center"/>
              <w:rPr>
                <w:rFonts w:cs="Arial"/>
                <w:b/>
                <w:sz w:val="20"/>
                <w:szCs w:val="20"/>
              </w:rPr>
            </w:pPr>
            <w:r>
              <w:rPr>
                <w:rFonts w:cs="Arial"/>
                <w:b/>
                <w:sz w:val="20"/>
                <w:szCs w:val="20"/>
              </w:rPr>
              <w:t>Serum Ig data</w:t>
            </w:r>
          </w:p>
        </w:tc>
        <w:tc>
          <w:tcPr>
            <w:tcW w:w="411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A680D" w14:textId="77777777" w:rsidR="0064635B" w:rsidRDefault="004A6570">
            <w:pPr>
              <w:spacing w:after="0" w:line="276" w:lineRule="auto"/>
              <w:rPr>
                <w:rFonts w:cs="Arial"/>
                <w:b/>
                <w:sz w:val="20"/>
                <w:szCs w:val="20"/>
              </w:rPr>
            </w:pPr>
            <w:r>
              <w:rPr>
                <w:rFonts w:cs="Arial"/>
                <w:b/>
                <w:sz w:val="20"/>
                <w:szCs w:val="20"/>
              </w:rPr>
              <w:t>Summary of PK findings</w:t>
            </w:r>
          </w:p>
        </w:tc>
      </w:tr>
      <w:tr w:rsidR="0064635B" w14:paraId="779DA505" w14:textId="77777777">
        <w:tblPrEx>
          <w:tblCellMar>
            <w:top w:w="0" w:type="dxa"/>
            <w:bottom w:w="0" w:type="dxa"/>
          </w:tblCellMar>
        </w:tblPrEx>
        <w:tc>
          <w:tcPr>
            <w:tcW w:w="226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2BDC93BE" w14:textId="77777777" w:rsidR="0064635B" w:rsidRDefault="004A6570">
            <w:pPr>
              <w:spacing w:after="0" w:line="276" w:lineRule="auto"/>
              <w:rPr>
                <w:rFonts w:cs="Arial"/>
                <w:b/>
                <w:sz w:val="20"/>
                <w:szCs w:val="20"/>
                <w:lang w:val="da-DK"/>
              </w:rPr>
            </w:pPr>
            <w:r>
              <w:rPr>
                <w:rFonts w:cs="Arial"/>
                <w:b/>
                <w:sz w:val="20"/>
                <w:szCs w:val="20"/>
                <w:lang w:val="da-DK"/>
              </w:rPr>
              <w:t xml:space="preserve">IVIg studies </w:t>
            </w:r>
          </w:p>
        </w:tc>
        <w:tc>
          <w:tcPr>
            <w:tcW w:w="2553" w:type="dxa"/>
            <w:gridSpan w:val="2"/>
            <w:tcBorders>
              <w:top w:val="single" w:sz="4" w:space="0" w:color="000000"/>
              <w:bottom w:val="single" w:sz="4" w:space="0" w:color="000000"/>
            </w:tcBorders>
            <w:shd w:val="clear" w:color="auto" w:fill="D9D9D9"/>
            <w:tcMar>
              <w:top w:w="0" w:type="dxa"/>
              <w:left w:w="108" w:type="dxa"/>
              <w:bottom w:w="0" w:type="dxa"/>
              <w:right w:w="108" w:type="dxa"/>
            </w:tcMar>
          </w:tcPr>
          <w:p w14:paraId="481CA721" w14:textId="77777777" w:rsidR="0064635B" w:rsidRDefault="0064635B">
            <w:pPr>
              <w:spacing w:after="0" w:line="276" w:lineRule="auto"/>
              <w:rPr>
                <w:rFonts w:cs="Arial"/>
                <w:sz w:val="20"/>
                <w:szCs w:val="20"/>
              </w:rPr>
            </w:pPr>
          </w:p>
        </w:tc>
        <w:tc>
          <w:tcPr>
            <w:tcW w:w="1276" w:type="dxa"/>
            <w:gridSpan w:val="2"/>
            <w:tcBorders>
              <w:top w:val="single" w:sz="4" w:space="0" w:color="000000"/>
              <w:bottom w:val="single" w:sz="4" w:space="0" w:color="000000"/>
            </w:tcBorders>
            <w:shd w:val="clear" w:color="auto" w:fill="D9D9D9"/>
            <w:tcMar>
              <w:top w:w="0" w:type="dxa"/>
              <w:left w:w="108" w:type="dxa"/>
              <w:bottom w:w="0" w:type="dxa"/>
              <w:right w:w="108" w:type="dxa"/>
            </w:tcMar>
          </w:tcPr>
          <w:p w14:paraId="0E44854B" w14:textId="77777777" w:rsidR="0064635B" w:rsidRDefault="0064635B">
            <w:pPr>
              <w:spacing w:after="0" w:line="276" w:lineRule="auto"/>
              <w:rPr>
                <w:rFonts w:cs="Arial"/>
                <w:sz w:val="20"/>
                <w:szCs w:val="20"/>
              </w:rPr>
            </w:pPr>
          </w:p>
        </w:tc>
        <w:tc>
          <w:tcPr>
            <w:tcW w:w="4254" w:type="dxa"/>
            <w:tcBorders>
              <w:top w:val="single" w:sz="4" w:space="0" w:color="000000"/>
              <w:bottom w:val="single" w:sz="4" w:space="0" w:color="000000"/>
            </w:tcBorders>
            <w:shd w:val="clear" w:color="auto" w:fill="D9D9D9"/>
            <w:tcMar>
              <w:top w:w="0" w:type="dxa"/>
              <w:left w:w="108" w:type="dxa"/>
              <w:bottom w:w="0" w:type="dxa"/>
              <w:right w:w="108" w:type="dxa"/>
            </w:tcMar>
          </w:tcPr>
          <w:p w14:paraId="75BA3BBA" w14:textId="77777777" w:rsidR="0064635B" w:rsidRDefault="0064635B">
            <w:pPr>
              <w:spacing w:after="0" w:line="276" w:lineRule="auto"/>
              <w:jc w:val="center"/>
              <w:rPr>
                <w:rFonts w:cs="Arial"/>
                <w:sz w:val="20"/>
                <w:szCs w:val="20"/>
              </w:rPr>
            </w:pPr>
          </w:p>
        </w:tc>
        <w:tc>
          <w:tcPr>
            <w:tcW w:w="4113"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92323B" w14:textId="77777777" w:rsidR="0064635B" w:rsidRDefault="0064635B">
            <w:pPr>
              <w:spacing w:after="0" w:line="276" w:lineRule="auto"/>
              <w:rPr>
                <w:rFonts w:cs="Arial"/>
                <w:sz w:val="20"/>
                <w:szCs w:val="20"/>
              </w:rPr>
            </w:pPr>
          </w:p>
        </w:tc>
      </w:tr>
      <w:tr w:rsidR="0064635B" w14:paraId="3AFEDB84" w14:textId="77777777">
        <w:tblPrEx>
          <w:tblCellMar>
            <w:top w:w="0" w:type="dxa"/>
            <w:bottom w:w="0" w:type="dxa"/>
          </w:tblCellMar>
        </w:tblPrEx>
        <w:tc>
          <w:tcPr>
            <w:tcW w:w="2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D0BBBB" w14:textId="77777777" w:rsidR="0064635B" w:rsidRDefault="004A6570">
            <w:pPr>
              <w:spacing w:after="0" w:line="276" w:lineRule="auto"/>
              <w:rPr>
                <w:rFonts w:cs="Arial"/>
                <w:b/>
                <w:sz w:val="20"/>
                <w:szCs w:val="20"/>
                <w:lang w:val="da-DK"/>
              </w:rPr>
            </w:pPr>
            <w:r>
              <w:rPr>
                <w:rFonts w:cs="Arial"/>
                <w:b/>
                <w:sz w:val="20"/>
                <w:szCs w:val="20"/>
                <w:lang w:val="da-DK"/>
              </w:rPr>
              <w:t>Kuitwaard, et al. 2009</w:t>
            </w:r>
          </w:p>
          <w:p w14:paraId="63BEEC25" w14:textId="77777777" w:rsidR="0064635B" w:rsidRDefault="004A6570">
            <w:pPr>
              <w:spacing w:after="0" w:line="276" w:lineRule="auto"/>
              <w:rPr>
                <w:rFonts w:cs="Arial"/>
                <w:bCs/>
                <w:i/>
                <w:iCs/>
                <w:sz w:val="20"/>
                <w:szCs w:val="20"/>
                <w:lang w:val="da-DK"/>
              </w:rPr>
            </w:pPr>
            <w:r>
              <w:rPr>
                <w:rFonts w:cs="Arial"/>
                <w:bCs/>
                <w:i/>
                <w:iCs/>
                <w:sz w:val="20"/>
                <w:szCs w:val="20"/>
                <w:lang w:val="da-DK"/>
              </w:rPr>
              <w:t>(GBS)</w:t>
            </w:r>
          </w:p>
          <w:p w14:paraId="2E7620FB" w14:textId="77777777" w:rsidR="0064635B" w:rsidRDefault="0064635B">
            <w:pPr>
              <w:spacing w:after="0" w:line="276" w:lineRule="auto"/>
              <w:rPr>
                <w:rFonts w:cs="Arial"/>
                <w:b/>
                <w:sz w:val="20"/>
                <w:szCs w:val="20"/>
                <w:lang w:val="da-DK"/>
              </w:rPr>
            </w:pPr>
          </w:p>
        </w:tc>
        <w:tc>
          <w:tcPr>
            <w:tcW w:w="241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4DC1959" w14:textId="77777777" w:rsidR="0064635B" w:rsidRDefault="004A6570">
            <w:pPr>
              <w:spacing w:after="0" w:line="276" w:lineRule="auto"/>
              <w:rPr>
                <w:rFonts w:cs="Arial"/>
                <w:sz w:val="20"/>
                <w:szCs w:val="20"/>
              </w:rPr>
            </w:pPr>
            <w:r>
              <w:rPr>
                <w:rFonts w:cs="Arial"/>
                <w:sz w:val="20"/>
                <w:szCs w:val="20"/>
              </w:rPr>
              <w:t>Data collated from two previous RCTs</w:t>
            </w:r>
          </w:p>
        </w:tc>
        <w:tc>
          <w:tcPr>
            <w:tcW w:w="1276"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C52ED9" w14:textId="77777777" w:rsidR="0064635B" w:rsidRDefault="004A6570">
            <w:pPr>
              <w:spacing w:after="0" w:line="276" w:lineRule="auto"/>
              <w:jc w:val="center"/>
              <w:rPr>
                <w:rFonts w:cs="Arial"/>
                <w:sz w:val="20"/>
                <w:szCs w:val="20"/>
              </w:rPr>
            </w:pPr>
            <w:r>
              <w:rPr>
                <w:rFonts w:cs="Arial"/>
                <w:sz w:val="20"/>
                <w:szCs w:val="20"/>
              </w:rPr>
              <w:t>174</w:t>
            </w:r>
          </w:p>
        </w:tc>
        <w:tc>
          <w:tcPr>
            <w:tcW w:w="4396"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9A2E132" w14:textId="77777777" w:rsidR="0064635B" w:rsidRDefault="004A6570">
            <w:pPr>
              <w:spacing w:after="0" w:line="276" w:lineRule="auto"/>
              <w:rPr>
                <w:rFonts w:cs="Arial"/>
                <w:sz w:val="20"/>
                <w:szCs w:val="20"/>
              </w:rPr>
            </w:pPr>
            <w:r>
              <w:rPr>
                <w:rFonts w:cs="Arial"/>
                <w:sz w:val="20"/>
                <w:szCs w:val="20"/>
              </w:rPr>
              <w:t>Post-IVIg mean IgG (2 weeks) 18.8 g/L (SD: 5.8)</w:t>
            </w:r>
          </w:p>
          <w:p w14:paraId="08A61502" w14:textId="77777777" w:rsidR="0064635B" w:rsidRDefault="004A6570">
            <w:pPr>
              <w:spacing w:after="0" w:line="276" w:lineRule="auto"/>
            </w:pPr>
            <w:r>
              <w:rPr>
                <w:rFonts w:cs="Calibri"/>
                <w:color w:val="231F20"/>
                <w:sz w:val="21"/>
                <w:szCs w:val="21"/>
              </w:rPr>
              <w:t xml:space="preserve">   Mean </w:t>
            </w:r>
            <w:proofErr w:type="spellStart"/>
            <w:r>
              <w:rPr>
                <w:rFonts w:cs="Calibri"/>
                <w:color w:val="231F20"/>
                <w:sz w:val="21"/>
                <w:szCs w:val="21"/>
              </w:rPr>
              <w:t>Δ</w:t>
            </w:r>
            <w:r>
              <w:rPr>
                <w:rFonts w:ascii="AGaramond-Regular" w:hAnsi="AGaramond-Regular" w:cs="AGaramond-Regular"/>
                <w:color w:val="231F20"/>
                <w:sz w:val="21"/>
                <w:szCs w:val="21"/>
              </w:rPr>
              <w:t>IgG</w:t>
            </w:r>
            <w:proofErr w:type="spellEnd"/>
            <w:r>
              <w:rPr>
                <w:rFonts w:ascii="AGaramond-Regular" w:hAnsi="AGaramond-Regular" w:cs="AGaramond-Regular"/>
                <w:color w:val="231F20"/>
                <w:sz w:val="21"/>
                <w:szCs w:val="21"/>
              </w:rPr>
              <w:t xml:space="preserve"> (2 weeks): 7.8 g/L (range: -5–26)</w:t>
            </w:r>
          </w:p>
          <w:p w14:paraId="66809908" w14:textId="77777777" w:rsidR="0064635B" w:rsidRDefault="004A6570">
            <w:pPr>
              <w:spacing w:after="0" w:line="276" w:lineRule="auto"/>
              <w:rPr>
                <w:rFonts w:cs="Arial"/>
                <w:sz w:val="20"/>
                <w:szCs w:val="20"/>
              </w:rPr>
            </w:pPr>
            <w:r>
              <w:rPr>
                <w:rFonts w:cs="Arial"/>
                <w:sz w:val="20"/>
                <w:szCs w:val="20"/>
              </w:rPr>
              <w:t>Post-IVIg mean IgG (4 weeks) 14.0 g/L (SD: 3.1)</w:t>
            </w:r>
          </w:p>
        </w:tc>
        <w:tc>
          <w:tcPr>
            <w:tcW w:w="411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BC7A8" w14:textId="77777777" w:rsidR="0064635B" w:rsidRDefault="004A6570">
            <w:pPr>
              <w:spacing w:after="0" w:line="276" w:lineRule="auto"/>
              <w:rPr>
                <w:rFonts w:cs="Arial"/>
                <w:sz w:val="20"/>
                <w:szCs w:val="20"/>
              </w:rPr>
            </w:pPr>
            <w:r>
              <w:rPr>
                <w:rFonts w:cs="Arial"/>
                <w:sz w:val="20"/>
                <w:szCs w:val="20"/>
              </w:rPr>
              <w:t xml:space="preserve">No association between baseline serum IgG levels or at 2 weeks </w:t>
            </w:r>
            <w:r>
              <w:rPr>
                <w:rFonts w:cs="Arial"/>
                <w:sz w:val="20"/>
                <w:szCs w:val="20"/>
              </w:rPr>
              <w:t>post-IVIg with age, body weight, or symptoms of a recent infection.</w:t>
            </w:r>
          </w:p>
          <w:p w14:paraId="1DA76C9F" w14:textId="77777777" w:rsidR="0064635B" w:rsidRDefault="004A6570">
            <w:pPr>
              <w:spacing w:after="0" w:line="276" w:lineRule="auto"/>
              <w:rPr>
                <w:rFonts w:cs="Arial"/>
                <w:sz w:val="20"/>
                <w:szCs w:val="20"/>
              </w:rPr>
            </w:pPr>
            <w:r>
              <w:rPr>
                <w:rFonts w:cs="Arial"/>
                <w:sz w:val="20"/>
                <w:szCs w:val="20"/>
              </w:rPr>
              <w:t xml:space="preserve">Pts with a small </w:t>
            </w:r>
            <w:proofErr w:type="spellStart"/>
            <w:r>
              <w:rPr>
                <w:rFonts w:cs="Arial"/>
                <w:sz w:val="20"/>
                <w:szCs w:val="20"/>
              </w:rPr>
              <w:t>ΔIgG</w:t>
            </w:r>
            <w:proofErr w:type="spellEnd"/>
            <w:r>
              <w:rPr>
                <w:rFonts w:cs="Arial"/>
                <w:sz w:val="20"/>
                <w:szCs w:val="20"/>
              </w:rPr>
              <w:t xml:space="preserve"> (&lt;4 g/L) had more severe disease. These pts may benefit from higher doses or more frequent infusions</w:t>
            </w:r>
          </w:p>
        </w:tc>
      </w:tr>
      <w:tr w:rsidR="0064635B" w14:paraId="12EAD312" w14:textId="77777777">
        <w:tblPrEx>
          <w:tblCellMar>
            <w:top w:w="0" w:type="dxa"/>
            <w:bottom w:w="0" w:type="dxa"/>
          </w:tblCellMar>
        </w:tblPrEx>
        <w:tc>
          <w:tcPr>
            <w:tcW w:w="2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3822EE" w14:textId="77777777" w:rsidR="0064635B" w:rsidRDefault="004A6570">
            <w:pPr>
              <w:spacing w:after="0" w:line="276" w:lineRule="auto"/>
              <w:rPr>
                <w:rFonts w:cs="Arial"/>
                <w:b/>
                <w:sz w:val="20"/>
                <w:szCs w:val="20"/>
                <w:lang w:val="da-DK"/>
              </w:rPr>
            </w:pPr>
            <w:r>
              <w:rPr>
                <w:rFonts w:cs="Arial"/>
                <w:b/>
                <w:sz w:val="20"/>
                <w:szCs w:val="20"/>
                <w:lang w:val="da-DK"/>
              </w:rPr>
              <w:t>Kuitwaard, et al. 2013</w:t>
            </w:r>
          </w:p>
          <w:p w14:paraId="2AA0E558" w14:textId="77777777" w:rsidR="0064635B" w:rsidRDefault="004A6570">
            <w:pPr>
              <w:spacing w:after="0" w:line="276" w:lineRule="auto"/>
              <w:rPr>
                <w:rFonts w:cs="Arial"/>
                <w:bCs/>
                <w:i/>
                <w:iCs/>
                <w:sz w:val="20"/>
                <w:szCs w:val="20"/>
                <w:lang w:val="da-DK"/>
              </w:rPr>
            </w:pPr>
            <w:r>
              <w:rPr>
                <w:rFonts w:cs="Arial"/>
                <w:bCs/>
                <w:i/>
                <w:iCs/>
                <w:sz w:val="20"/>
                <w:szCs w:val="20"/>
                <w:lang w:val="da-DK"/>
              </w:rPr>
              <w:t>(CIDP)</w:t>
            </w:r>
          </w:p>
        </w:tc>
        <w:tc>
          <w:tcPr>
            <w:tcW w:w="241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98B357C" w14:textId="77777777" w:rsidR="0064635B" w:rsidRDefault="004A6570">
            <w:pPr>
              <w:spacing w:after="0" w:line="276" w:lineRule="auto"/>
              <w:rPr>
                <w:rFonts w:cs="Arial"/>
                <w:sz w:val="20"/>
                <w:szCs w:val="20"/>
              </w:rPr>
            </w:pPr>
            <w:r>
              <w:rPr>
                <w:rFonts w:cs="Arial"/>
                <w:sz w:val="20"/>
                <w:szCs w:val="20"/>
              </w:rPr>
              <w:t>Randomized, controlled double-blin</w:t>
            </w:r>
            <w:r>
              <w:rPr>
                <w:rFonts w:cs="Arial"/>
                <w:sz w:val="20"/>
                <w:szCs w:val="20"/>
              </w:rPr>
              <w:t>d of two IVIg formulations</w:t>
            </w:r>
          </w:p>
        </w:tc>
        <w:tc>
          <w:tcPr>
            <w:tcW w:w="1276"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C8FD20D" w14:textId="77777777" w:rsidR="0064635B" w:rsidRDefault="004A6570">
            <w:pPr>
              <w:spacing w:after="0" w:line="276" w:lineRule="auto"/>
              <w:jc w:val="center"/>
              <w:rPr>
                <w:rFonts w:cs="Arial"/>
                <w:sz w:val="20"/>
                <w:szCs w:val="20"/>
              </w:rPr>
            </w:pPr>
            <w:r>
              <w:rPr>
                <w:rFonts w:cs="Arial"/>
                <w:sz w:val="20"/>
                <w:szCs w:val="20"/>
              </w:rPr>
              <w:t>25</w:t>
            </w:r>
          </w:p>
        </w:tc>
        <w:tc>
          <w:tcPr>
            <w:tcW w:w="4396"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47A2E3D" w14:textId="77777777" w:rsidR="0064635B" w:rsidRDefault="004A6570">
            <w:pPr>
              <w:spacing w:after="0" w:line="276" w:lineRule="auto"/>
              <w:rPr>
                <w:rFonts w:ascii="AGaramond-Regular" w:hAnsi="AGaramond-Regular" w:cs="AGaramond-Regular"/>
                <w:color w:val="231F20"/>
                <w:sz w:val="21"/>
                <w:szCs w:val="21"/>
              </w:rPr>
            </w:pPr>
            <w:r>
              <w:rPr>
                <w:rFonts w:ascii="AGaramond-Regular" w:hAnsi="AGaramond-Regular" w:cs="AGaramond-Regular"/>
                <w:color w:val="231F20"/>
                <w:sz w:val="21"/>
                <w:szCs w:val="21"/>
              </w:rPr>
              <w:t>Mean IgG trough 15 g/L (IQR: 13–17)</w:t>
            </w:r>
          </w:p>
          <w:p w14:paraId="3E4CBB31" w14:textId="77777777" w:rsidR="0064635B" w:rsidRDefault="004A6570">
            <w:pPr>
              <w:spacing w:after="0" w:line="276" w:lineRule="auto"/>
            </w:pPr>
            <w:r>
              <w:rPr>
                <w:rFonts w:cs="Arial"/>
                <w:sz w:val="20"/>
                <w:szCs w:val="20"/>
              </w:rPr>
              <w:t xml:space="preserve">Mean </w:t>
            </w:r>
            <w:proofErr w:type="spellStart"/>
            <w:r>
              <w:rPr>
                <w:rFonts w:cs="Arial"/>
                <w:sz w:val="20"/>
                <w:szCs w:val="20"/>
              </w:rPr>
              <w:t>ΔIgG</w:t>
            </w:r>
            <w:proofErr w:type="spellEnd"/>
            <w:r>
              <w:rPr>
                <w:rFonts w:cs="Arial"/>
                <w:sz w:val="20"/>
                <w:szCs w:val="20"/>
              </w:rPr>
              <w:t xml:space="preserve"> (5 mins post infusion): 7.8 g/L (IQR: 6</w:t>
            </w:r>
            <w:r>
              <w:rPr>
                <w:rFonts w:ascii="AGaramond-Regular" w:hAnsi="AGaramond-Regular" w:cs="AGaramond-Regular"/>
                <w:color w:val="231F20"/>
                <w:sz w:val="21"/>
                <w:szCs w:val="21"/>
              </w:rPr>
              <w:t>–9)</w:t>
            </w:r>
          </w:p>
          <w:p w14:paraId="20B62942" w14:textId="77777777" w:rsidR="0064635B" w:rsidRDefault="004A6570">
            <w:pPr>
              <w:spacing w:after="0" w:line="276" w:lineRule="auto"/>
              <w:rPr>
                <w:rFonts w:cs="Arial"/>
                <w:sz w:val="20"/>
                <w:szCs w:val="20"/>
              </w:rPr>
            </w:pPr>
            <w:r>
              <w:rPr>
                <w:rFonts w:cs="Arial"/>
                <w:sz w:val="20"/>
                <w:szCs w:val="20"/>
              </w:rPr>
              <w:t xml:space="preserve">Mean </w:t>
            </w:r>
            <w:proofErr w:type="spellStart"/>
            <w:r>
              <w:rPr>
                <w:rFonts w:cs="Arial"/>
                <w:sz w:val="20"/>
                <w:szCs w:val="20"/>
              </w:rPr>
              <w:t>ΔIgG</w:t>
            </w:r>
            <w:proofErr w:type="spellEnd"/>
            <w:r>
              <w:rPr>
                <w:rFonts w:cs="Arial"/>
                <w:sz w:val="20"/>
                <w:szCs w:val="20"/>
              </w:rPr>
              <w:t xml:space="preserve"> (2 weeks post infusion): 0.1 g/L (range: -0.6–0.7)</w:t>
            </w:r>
          </w:p>
        </w:tc>
        <w:tc>
          <w:tcPr>
            <w:tcW w:w="411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99662" w14:textId="77777777" w:rsidR="0064635B" w:rsidRDefault="004A6570">
            <w:pPr>
              <w:spacing w:after="0" w:line="276" w:lineRule="auto"/>
              <w:rPr>
                <w:rFonts w:cs="Arial"/>
                <w:sz w:val="20"/>
                <w:szCs w:val="20"/>
              </w:rPr>
            </w:pPr>
            <w:r>
              <w:rPr>
                <w:rFonts w:cs="Arial"/>
                <w:sz w:val="20"/>
                <w:szCs w:val="20"/>
              </w:rPr>
              <w:t xml:space="preserve">Intra-patient variability was low for IgG levels over serial </w:t>
            </w:r>
            <w:r>
              <w:rPr>
                <w:rFonts w:cs="Arial"/>
                <w:sz w:val="20"/>
                <w:szCs w:val="20"/>
              </w:rPr>
              <w:t xml:space="preserve">infusions (indicative of steady state with a constant distribution rate and turnover of IgG without accumulation over time). </w:t>
            </w:r>
            <w:proofErr w:type="spellStart"/>
            <w:r>
              <w:rPr>
                <w:rFonts w:cs="Arial"/>
                <w:sz w:val="20"/>
                <w:szCs w:val="20"/>
              </w:rPr>
              <w:t>ΔigG</w:t>
            </w:r>
            <w:proofErr w:type="spellEnd"/>
            <w:r>
              <w:rPr>
                <w:rFonts w:cs="Arial"/>
                <w:sz w:val="20"/>
                <w:szCs w:val="20"/>
              </w:rPr>
              <w:t xml:space="preserve"> did not correlate with age, sex, bodyweight, lean body mass, muscle strength, or disability</w:t>
            </w:r>
          </w:p>
        </w:tc>
      </w:tr>
      <w:tr w:rsidR="0064635B" w14:paraId="4C367F6D" w14:textId="77777777">
        <w:tblPrEx>
          <w:tblCellMar>
            <w:top w:w="0" w:type="dxa"/>
            <w:bottom w:w="0" w:type="dxa"/>
          </w:tblCellMar>
        </w:tblPrEx>
        <w:tc>
          <w:tcPr>
            <w:tcW w:w="2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B0061F" w14:textId="77777777" w:rsidR="0064635B" w:rsidRDefault="004A6570">
            <w:pPr>
              <w:spacing w:after="0" w:line="276" w:lineRule="auto"/>
              <w:rPr>
                <w:rFonts w:cs="Arial"/>
                <w:b/>
                <w:sz w:val="20"/>
                <w:szCs w:val="20"/>
                <w:lang w:val="da-DK"/>
              </w:rPr>
            </w:pPr>
            <w:r>
              <w:rPr>
                <w:rFonts w:cs="Arial"/>
                <w:b/>
                <w:sz w:val="20"/>
                <w:szCs w:val="20"/>
                <w:lang w:val="da-DK"/>
              </w:rPr>
              <w:t>Rajabally, et al. 2013</w:t>
            </w:r>
          </w:p>
          <w:p w14:paraId="5CE7B006" w14:textId="77777777" w:rsidR="0064635B" w:rsidRDefault="004A6570">
            <w:pPr>
              <w:spacing w:after="0" w:line="276" w:lineRule="auto"/>
              <w:rPr>
                <w:rFonts w:cs="Arial"/>
                <w:bCs/>
                <w:i/>
                <w:iCs/>
                <w:sz w:val="20"/>
                <w:szCs w:val="20"/>
                <w:lang w:val="da-DK"/>
              </w:rPr>
            </w:pPr>
            <w:r>
              <w:rPr>
                <w:rFonts w:cs="Arial"/>
                <w:bCs/>
                <w:i/>
                <w:iCs/>
                <w:sz w:val="20"/>
                <w:szCs w:val="20"/>
                <w:lang w:val="da-DK"/>
              </w:rPr>
              <w:t>(CIDP)</w:t>
            </w:r>
          </w:p>
        </w:tc>
        <w:tc>
          <w:tcPr>
            <w:tcW w:w="241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F58AB13" w14:textId="77777777" w:rsidR="0064635B" w:rsidRDefault="004A6570">
            <w:pPr>
              <w:spacing w:after="0" w:line="276" w:lineRule="auto"/>
              <w:rPr>
                <w:rFonts w:cs="Arial"/>
                <w:sz w:val="20"/>
                <w:szCs w:val="20"/>
              </w:rPr>
            </w:pPr>
            <w:r>
              <w:rPr>
                <w:rFonts w:cs="Arial"/>
                <w:sz w:val="20"/>
                <w:szCs w:val="20"/>
              </w:rPr>
              <w:t>Obs</w:t>
            </w:r>
            <w:r>
              <w:rPr>
                <w:rFonts w:cs="Arial"/>
                <w:sz w:val="20"/>
                <w:szCs w:val="20"/>
              </w:rPr>
              <w:t>ervational study of IVIg-stabilized patients</w:t>
            </w:r>
          </w:p>
        </w:tc>
        <w:tc>
          <w:tcPr>
            <w:tcW w:w="1276"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7A7CA06" w14:textId="77777777" w:rsidR="0064635B" w:rsidRDefault="004A6570">
            <w:pPr>
              <w:spacing w:after="0" w:line="276" w:lineRule="auto"/>
              <w:jc w:val="center"/>
              <w:rPr>
                <w:rFonts w:cs="Arial"/>
                <w:sz w:val="20"/>
                <w:szCs w:val="20"/>
              </w:rPr>
            </w:pPr>
            <w:r>
              <w:rPr>
                <w:rFonts w:cs="Arial"/>
                <w:sz w:val="20"/>
                <w:szCs w:val="20"/>
              </w:rPr>
              <w:t>15</w:t>
            </w:r>
          </w:p>
        </w:tc>
        <w:tc>
          <w:tcPr>
            <w:tcW w:w="4396"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FE2505" w14:textId="77777777" w:rsidR="0064635B" w:rsidRDefault="004A6570">
            <w:pPr>
              <w:spacing w:after="0" w:line="276" w:lineRule="auto"/>
              <w:rPr>
                <w:rFonts w:ascii="AGaramond-Regular" w:hAnsi="AGaramond-Regular" w:cs="AGaramond-Regular"/>
                <w:i/>
                <w:iCs/>
                <w:color w:val="231F20"/>
                <w:sz w:val="21"/>
                <w:szCs w:val="21"/>
              </w:rPr>
            </w:pPr>
            <w:r>
              <w:rPr>
                <w:rFonts w:ascii="AGaramond-Regular" w:hAnsi="AGaramond-Regular" w:cs="AGaramond-Regular"/>
                <w:i/>
                <w:iCs/>
                <w:color w:val="231F20"/>
                <w:sz w:val="21"/>
                <w:szCs w:val="21"/>
              </w:rPr>
              <w:t xml:space="preserve">IgG data not provided </w:t>
            </w:r>
          </w:p>
        </w:tc>
        <w:tc>
          <w:tcPr>
            <w:tcW w:w="411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EE650" w14:textId="77777777" w:rsidR="0064635B" w:rsidRDefault="004A6570">
            <w:pPr>
              <w:spacing w:after="0" w:line="276" w:lineRule="auto"/>
              <w:rPr>
                <w:rFonts w:cs="Arial"/>
                <w:sz w:val="20"/>
                <w:szCs w:val="20"/>
              </w:rPr>
            </w:pPr>
            <w:r>
              <w:rPr>
                <w:rFonts w:cs="Arial"/>
                <w:sz w:val="20"/>
                <w:szCs w:val="20"/>
              </w:rPr>
              <w:t>Consistent intra-patient IgG levels 14 days post IVIg, but large interpatient variation (no correlation with weight, BMI, BCR or IgG dose)</w:t>
            </w:r>
          </w:p>
        </w:tc>
      </w:tr>
      <w:tr w:rsidR="0064635B" w14:paraId="01FAEC5C" w14:textId="77777777">
        <w:tblPrEx>
          <w:tblCellMar>
            <w:top w:w="0" w:type="dxa"/>
            <w:bottom w:w="0" w:type="dxa"/>
          </w:tblCellMar>
        </w:tblPrEx>
        <w:tc>
          <w:tcPr>
            <w:tcW w:w="2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C355CF" w14:textId="77777777" w:rsidR="0064635B" w:rsidRDefault="004A6570">
            <w:pPr>
              <w:spacing w:after="0" w:line="276" w:lineRule="auto"/>
              <w:rPr>
                <w:rFonts w:cs="Arial"/>
                <w:b/>
                <w:sz w:val="20"/>
                <w:szCs w:val="20"/>
                <w:lang w:val="da-DK"/>
              </w:rPr>
            </w:pPr>
            <w:r>
              <w:rPr>
                <w:rFonts w:cs="Arial"/>
                <w:b/>
                <w:sz w:val="20"/>
                <w:szCs w:val="20"/>
                <w:lang w:val="da-DK"/>
              </w:rPr>
              <w:t>Hodkinson, et al. 2015</w:t>
            </w:r>
          </w:p>
          <w:p w14:paraId="1DBFBE8B" w14:textId="77777777" w:rsidR="0064635B" w:rsidRDefault="004A6570">
            <w:pPr>
              <w:spacing w:after="0" w:line="276" w:lineRule="auto"/>
              <w:rPr>
                <w:rFonts w:cs="Arial"/>
                <w:bCs/>
                <w:i/>
                <w:iCs/>
                <w:sz w:val="20"/>
                <w:szCs w:val="20"/>
                <w:lang w:val="da-DK"/>
              </w:rPr>
            </w:pPr>
            <w:r>
              <w:rPr>
                <w:rFonts w:cs="Arial"/>
                <w:bCs/>
                <w:i/>
                <w:iCs/>
                <w:sz w:val="20"/>
                <w:szCs w:val="20"/>
                <w:lang w:val="da-DK"/>
              </w:rPr>
              <w:t xml:space="preserve">(CIDP, MMN, </w:t>
            </w:r>
            <w:r>
              <w:rPr>
                <w:rFonts w:cs="Arial"/>
                <w:bCs/>
                <w:i/>
                <w:iCs/>
                <w:sz w:val="20"/>
                <w:szCs w:val="20"/>
                <w:lang w:val="da-DK"/>
              </w:rPr>
              <w:t>various PIDs)</w:t>
            </w:r>
          </w:p>
        </w:tc>
        <w:tc>
          <w:tcPr>
            <w:tcW w:w="241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FFD93E4" w14:textId="77777777" w:rsidR="0064635B" w:rsidRDefault="004A6570">
            <w:pPr>
              <w:spacing w:after="0" w:line="276" w:lineRule="auto"/>
              <w:rPr>
                <w:rFonts w:cs="Arial"/>
                <w:sz w:val="20"/>
                <w:szCs w:val="20"/>
              </w:rPr>
            </w:pPr>
            <w:r>
              <w:rPr>
                <w:rFonts w:cs="Arial"/>
                <w:sz w:val="20"/>
                <w:szCs w:val="20"/>
              </w:rPr>
              <w:t>Retrospective cohort study in lean and obese patients</w:t>
            </w:r>
          </w:p>
        </w:tc>
        <w:tc>
          <w:tcPr>
            <w:tcW w:w="1276"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E1F70EA" w14:textId="77777777" w:rsidR="0064635B" w:rsidRDefault="004A6570">
            <w:pPr>
              <w:spacing w:after="0" w:line="276" w:lineRule="auto"/>
              <w:jc w:val="center"/>
              <w:rPr>
                <w:rFonts w:cs="Arial"/>
                <w:sz w:val="20"/>
                <w:szCs w:val="20"/>
              </w:rPr>
            </w:pPr>
            <w:r>
              <w:rPr>
                <w:rFonts w:cs="Arial"/>
                <w:sz w:val="20"/>
                <w:szCs w:val="20"/>
              </w:rPr>
              <w:t>30*</w:t>
            </w:r>
          </w:p>
          <w:p w14:paraId="373B87BE" w14:textId="77777777" w:rsidR="0064635B" w:rsidRDefault="004A6570">
            <w:pPr>
              <w:spacing w:after="0" w:line="276" w:lineRule="auto"/>
              <w:jc w:val="center"/>
              <w:rPr>
                <w:rFonts w:cs="Arial"/>
                <w:i/>
                <w:iCs/>
                <w:sz w:val="20"/>
                <w:szCs w:val="20"/>
              </w:rPr>
            </w:pPr>
            <w:r>
              <w:rPr>
                <w:rFonts w:cs="Arial"/>
                <w:i/>
                <w:iCs/>
                <w:sz w:val="20"/>
                <w:szCs w:val="20"/>
              </w:rPr>
              <w:t>(8 CIDP &amp; 22 MMN)</w:t>
            </w:r>
          </w:p>
        </w:tc>
        <w:tc>
          <w:tcPr>
            <w:tcW w:w="4396"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1D3497C" w14:textId="77777777" w:rsidR="0064635B" w:rsidRDefault="004A6570">
            <w:pPr>
              <w:spacing w:after="0" w:line="276" w:lineRule="auto"/>
              <w:rPr>
                <w:rFonts w:cs="Arial"/>
                <w:sz w:val="20"/>
                <w:szCs w:val="20"/>
              </w:rPr>
            </w:pPr>
            <w:r>
              <w:rPr>
                <w:rFonts w:cs="Arial"/>
                <w:sz w:val="20"/>
                <w:szCs w:val="20"/>
              </w:rPr>
              <w:t>Mean IVIg dose 1.3 g/kg (range: 0.9–2.1) monthly (range: 14–84)</w:t>
            </w:r>
          </w:p>
          <w:p w14:paraId="21B6DC23" w14:textId="77777777" w:rsidR="0064635B" w:rsidRDefault="004A6570">
            <w:pPr>
              <w:spacing w:after="0" w:line="276" w:lineRule="auto"/>
              <w:rPr>
                <w:rFonts w:cs="Arial"/>
                <w:sz w:val="20"/>
                <w:szCs w:val="20"/>
              </w:rPr>
            </w:pPr>
            <w:r>
              <w:rPr>
                <w:rFonts w:cs="Arial"/>
                <w:sz w:val="20"/>
                <w:szCs w:val="20"/>
              </w:rPr>
              <w:t>Mean SCIg dose 0.26 g/kg (range: 0.2–0.4 g/kg weekly (range: 3.5–7)</w:t>
            </w:r>
          </w:p>
          <w:p w14:paraId="7F27E622" w14:textId="77777777" w:rsidR="0064635B" w:rsidRDefault="004A6570">
            <w:pPr>
              <w:spacing w:after="0" w:line="276" w:lineRule="auto"/>
              <w:rPr>
                <w:rFonts w:cs="Arial"/>
                <w:sz w:val="20"/>
                <w:szCs w:val="20"/>
              </w:rPr>
            </w:pPr>
            <w:r>
              <w:rPr>
                <w:rFonts w:cs="Arial"/>
                <w:sz w:val="20"/>
                <w:szCs w:val="20"/>
              </w:rPr>
              <w:t xml:space="preserve">Mean pre-treatment IgG 10.0 g/L </w:t>
            </w:r>
            <w:r>
              <w:rPr>
                <w:rFonts w:cs="Arial"/>
                <w:sz w:val="20"/>
                <w:szCs w:val="20"/>
              </w:rPr>
              <w:t>(range: 5.1– 13.4)</w:t>
            </w:r>
          </w:p>
          <w:p w14:paraId="38B498C5" w14:textId="77777777" w:rsidR="0064635B" w:rsidRDefault="004A6570">
            <w:pPr>
              <w:spacing w:after="0" w:line="276" w:lineRule="auto"/>
              <w:rPr>
                <w:rFonts w:cs="Arial"/>
                <w:sz w:val="20"/>
                <w:szCs w:val="20"/>
              </w:rPr>
            </w:pPr>
            <w:r>
              <w:rPr>
                <w:rFonts w:cs="Arial"/>
                <w:sz w:val="20"/>
                <w:szCs w:val="20"/>
              </w:rPr>
              <w:t>Mean IgG trough 18.5 g/L (range: 7.3–33.1)</w:t>
            </w:r>
          </w:p>
        </w:tc>
        <w:tc>
          <w:tcPr>
            <w:tcW w:w="411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57F22" w14:textId="77777777" w:rsidR="0064635B" w:rsidRDefault="004A6570">
            <w:pPr>
              <w:spacing w:after="0" w:line="276" w:lineRule="auto"/>
              <w:rPr>
                <w:rFonts w:cs="Arial"/>
                <w:sz w:val="20"/>
                <w:szCs w:val="20"/>
              </w:rPr>
            </w:pPr>
            <w:r>
              <w:rPr>
                <w:rFonts w:cs="Arial"/>
                <w:sz w:val="20"/>
                <w:szCs w:val="20"/>
              </w:rPr>
              <w:t xml:space="preserve">Obese pts achieved a higher IgG trough per unit dose of IgG compared with lean pts. It may be possible to reduce the dose in some obese pts without compromising clinical outcome. Dosing </w:t>
            </w:r>
            <w:r>
              <w:rPr>
                <w:rFonts w:cs="Arial"/>
                <w:sz w:val="20"/>
                <w:szCs w:val="20"/>
              </w:rPr>
              <w:t xml:space="preserve">should be based on clinical need rather than PK </w:t>
            </w:r>
          </w:p>
        </w:tc>
      </w:tr>
      <w:tr w:rsidR="0064635B" w14:paraId="5352F434" w14:textId="77777777">
        <w:tblPrEx>
          <w:tblCellMar>
            <w:top w:w="0" w:type="dxa"/>
            <w:bottom w:w="0" w:type="dxa"/>
          </w:tblCellMar>
        </w:tblPrEx>
        <w:tc>
          <w:tcPr>
            <w:tcW w:w="2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4A30F5" w14:textId="77777777" w:rsidR="0064635B" w:rsidRDefault="004A6570">
            <w:pPr>
              <w:spacing w:after="0" w:line="276" w:lineRule="auto"/>
              <w:rPr>
                <w:rFonts w:cs="Arial"/>
                <w:b/>
                <w:sz w:val="20"/>
                <w:szCs w:val="20"/>
                <w:lang w:val="da-DK"/>
              </w:rPr>
            </w:pPr>
            <w:r>
              <w:rPr>
                <w:rFonts w:cs="Arial"/>
                <w:b/>
                <w:sz w:val="20"/>
                <w:szCs w:val="20"/>
                <w:lang w:val="da-DK"/>
              </w:rPr>
              <w:t>Debs, et al. 2016</w:t>
            </w:r>
          </w:p>
          <w:p w14:paraId="4344EEF0" w14:textId="77777777" w:rsidR="0064635B" w:rsidRDefault="004A6570">
            <w:pPr>
              <w:spacing w:after="0" w:line="276" w:lineRule="auto"/>
              <w:rPr>
                <w:rFonts w:cs="Arial"/>
                <w:bCs/>
                <w:i/>
                <w:iCs/>
                <w:sz w:val="20"/>
                <w:szCs w:val="20"/>
                <w:lang w:val="da-DK"/>
              </w:rPr>
            </w:pPr>
            <w:r>
              <w:rPr>
                <w:rFonts w:cs="Arial"/>
                <w:bCs/>
                <w:i/>
                <w:iCs/>
                <w:sz w:val="20"/>
                <w:szCs w:val="20"/>
                <w:lang w:val="da-DK"/>
              </w:rPr>
              <w:t>(CIDP)</w:t>
            </w:r>
          </w:p>
        </w:tc>
        <w:tc>
          <w:tcPr>
            <w:tcW w:w="2553"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68F460D" w14:textId="77777777" w:rsidR="0064635B" w:rsidRDefault="004A6570">
            <w:pPr>
              <w:spacing w:after="0" w:line="276" w:lineRule="auto"/>
              <w:rPr>
                <w:rFonts w:cs="Arial"/>
                <w:sz w:val="20"/>
                <w:szCs w:val="20"/>
              </w:rPr>
            </w:pPr>
            <w:r>
              <w:rPr>
                <w:rFonts w:cs="Arial"/>
                <w:sz w:val="20"/>
                <w:szCs w:val="20"/>
              </w:rPr>
              <w:t xml:space="preserve">Case series in homogeneous patients with severe CIDP </w:t>
            </w:r>
          </w:p>
        </w:tc>
        <w:tc>
          <w:tcPr>
            <w:tcW w:w="1276"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17F4AE6" w14:textId="77777777" w:rsidR="0064635B" w:rsidRDefault="004A6570">
            <w:pPr>
              <w:spacing w:after="0" w:line="276" w:lineRule="auto"/>
              <w:jc w:val="center"/>
              <w:rPr>
                <w:rFonts w:cs="Arial"/>
                <w:sz w:val="20"/>
                <w:szCs w:val="20"/>
              </w:rPr>
            </w:pPr>
            <w:r>
              <w:rPr>
                <w:rFonts w:cs="Arial"/>
                <w:sz w:val="20"/>
                <w:szCs w:val="20"/>
              </w:rPr>
              <w:t>4</w:t>
            </w:r>
          </w:p>
        </w:tc>
        <w:tc>
          <w:tcPr>
            <w:tcW w:w="425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B691BCB" w14:textId="77777777" w:rsidR="0064635B" w:rsidRDefault="004A6570">
            <w:pPr>
              <w:spacing w:after="0" w:line="276" w:lineRule="auto"/>
              <w:rPr>
                <w:rFonts w:cs="Arial"/>
                <w:sz w:val="20"/>
                <w:szCs w:val="20"/>
              </w:rPr>
            </w:pPr>
            <w:r>
              <w:rPr>
                <w:rFonts w:cs="Arial"/>
                <w:sz w:val="20"/>
                <w:szCs w:val="20"/>
              </w:rPr>
              <w:t xml:space="preserve">Mean IVIg dose 3.5 g/kg (range: 2.7–4.4) </w:t>
            </w:r>
            <w:proofErr w:type="gramStart"/>
            <w:r>
              <w:rPr>
                <w:rFonts w:cs="Arial"/>
                <w:sz w:val="20"/>
                <w:szCs w:val="20"/>
              </w:rPr>
              <w:t>monthly</w:t>
            </w:r>
            <w:proofErr w:type="gramEnd"/>
          </w:p>
          <w:p w14:paraId="5A5C041A" w14:textId="77777777" w:rsidR="0064635B" w:rsidRDefault="004A6570">
            <w:pPr>
              <w:spacing w:after="0" w:line="276" w:lineRule="auto"/>
              <w:rPr>
                <w:rFonts w:cs="Arial"/>
                <w:sz w:val="20"/>
                <w:szCs w:val="20"/>
              </w:rPr>
            </w:pPr>
            <w:r>
              <w:rPr>
                <w:rFonts w:cs="Arial"/>
                <w:sz w:val="20"/>
                <w:szCs w:val="20"/>
              </w:rPr>
              <w:t>Mean optimum IgG: 32 g/L (range: 29–35)</w:t>
            </w:r>
          </w:p>
          <w:p w14:paraId="1716381F" w14:textId="77777777" w:rsidR="0064635B" w:rsidRDefault="004A6570">
            <w:pPr>
              <w:spacing w:after="0" w:line="276" w:lineRule="auto"/>
              <w:rPr>
                <w:rFonts w:cs="Arial"/>
                <w:sz w:val="20"/>
                <w:szCs w:val="20"/>
              </w:rPr>
            </w:pPr>
            <w:r>
              <w:rPr>
                <w:rFonts w:cs="Arial"/>
                <w:sz w:val="20"/>
                <w:szCs w:val="20"/>
              </w:rPr>
              <w:t xml:space="preserve">Mean relapse IgG: 24.5 g/L </w:t>
            </w:r>
            <w:r>
              <w:rPr>
                <w:rFonts w:cs="Arial"/>
                <w:sz w:val="20"/>
                <w:szCs w:val="20"/>
              </w:rPr>
              <w:t>(range: 19–28)</w:t>
            </w:r>
          </w:p>
        </w:tc>
        <w:tc>
          <w:tcPr>
            <w:tcW w:w="411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3B0D0" w14:textId="77777777" w:rsidR="0064635B" w:rsidRDefault="004A6570">
            <w:pPr>
              <w:spacing w:after="0" w:line="276" w:lineRule="auto"/>
            </w:pPr>
            <w:r>
              <w:rPr>
                <w:rFonts w:cs="Arial"/>
                <w:sz w:val="20"/>
                <w:szCs w:val="20"/>
              </w:rPr>
              <w:t>Pts with severe CIDP responded to high dose IVIg (&gt; 2g/kg) with fractionated doses.</w:t>
            </w:r>
            <w:r>
              <w:t xml:space="preserve"> </w:t>
            </w:r>
            <w:r>
              <w:rPr>
                <w:rFonts w:cs="Arial"/>
                <w:sz w:val="20"/>
                <w:szCs w:val="20"/>
              </w:rPr>
              <w:t>Monitoring serum IgG level and its correlation with clinical scores was essential to determine ‘optimum’ and ‘relapse’ IgG concentrations</w:t>
            </w:r>
          </w:p>
        </w:tc>
      </w:tr>
      <w:tr w:rsidR="0064635B" w14:paraId="40A4E706" w14:textId="77777777">
        <w:tblPrEx>
          <w:tblCellMar>
            <w:top w:w="0" w:type="dxa"/>
            <w:bottom w:w="0" w:type="dxa"/>
          </w:tblCellMar>
        </w:tblPrEx>
        <w:tc>
          <w:tcPr>
            <w:tcW w:w="2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6F4429" w14:textId="77777777" w:rsidR="0064635B" w:rsidRDefault="004A6570">
            <w:pPr>
              <w:spacing w:after="0" w:line="276" w:lineRule="auto"/>
              <w:rPr>
                <w:rFonts w:cs="Arial"/>
                <w:b/>
                <w:sz w:val="20"/>
                <w:szCs w:val="20"/>
              </w:rPr>
            </w:pPr>
            <w:proofErr w:type="spellStart"/>
            <w:r>
              <w:rPr>
                <w:rFonts w:cs="Arial"/>
                <w:b/>
                <w:sz w:val="20"/>
                <w:szCs w:val="20"/>
              </w:rPr>
              <w:t>Fokkink</w:t>
            </w:r>
            <w:proofErr w:type="spellEnd"/>
            <w:r>
              <w:rPr>
                <w:rFonts w:cs="Arial"/>
                <w:b/>
                <w:sz w:val="20"/>
                <w:szCs w:val="20"/>
              </w:rPr>
              <w:t>, et al. 20</w:t>
            </w:r>
            <w:r>
              <w:rPr>
                <w:rFonts w:cs="Arial"/>
                <w:b/>
                <w:sz w:val="20"/>
                <w:szCs w:val="20"/>
              </w:rPr>
              <w:t>17</w:t>
            </w:r>
          </w:p>
          <w:p w14:paraId="3796A77F" w14:textId="77777777" w:rsidR="0064635B" w:rsidRDefault="004A6570">
            <w:pPr>
              <w:spacing w:after="0" w:line="276" w:lineRule="auto"/>
              <w:rPr>
                <w:rFonts w:cs="Arial"/>
                <w:bCs/>
                <w:i/>
                <w:iCs/>
                <w:sz w:val="20"/>
                <w:szCs w:val="20"/>
              </w:rPr>
            </w:pPr>
            <w:r>
              <w:rPr>
                <w:rFonts w:cs="Arial"/>
                <w:bCs/>
                <w:i/>
                <w:iCs/>
                <w:sz w:val="20"/>
                <w:szCs w:val="20"/>
              </w:rPr>
              <w:t>(CIDP, MMN)</w:t>
            </w:r>
          </w:p>
        </w:tc>
        <w:tc>
          <w:tcPr>
            <w:tcW w:w="2553"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9A47B5F" w14:textId="77777777" w:rsidR="0064635B" w:rsidRDefault="004A6570">
            <w:pPr>
              <w:spacing w:after="0" w:line="276" w:lineRule="auto"/>
              <w:rPr>
                <w:rFonts w:cs="Arial"/>
                <w:sz w:val="20"/>
                <w:szCs w:val="20"/>
              </w:rPr>
            </w:pPr>
            <w:r>
              <w:rPr>
                <w:rFonts w:cs="Arial"/>
                <w:sz w:val="20"/>
                <w:szCs w:val="20"/>
              </w:rPr>
              <w:t>Observational study of IVIg-stabilized patients</w:t>
            </w:r>
          </w:p>
        </w:tc>
        <w:tc>
          <w:tcPr>
            <w:tcW w:w="1276"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61DA2E3" w14:textId="77777777" w:rsidR="0064635B" w:rsidRDefault="004A6570">
            <w:pPr>
              <w:spacing w:after="0" w:line="276" w:lineRule="auto"/>
              <w:jc w:val="center"/>
              <w:rPr>
                <w:rFonts w:cs="Arial"/>
                <w:sz w:val="20"/>
                <w:szCs w:val="20"/>
              </w:rPr>
            </w:pPr>
            <w:r>
              <w:rPr>
                <w:rFonts w:cs="Arial"/>
                <w:sz w:val="20"/>
                <w:szCs w:val="20"/>
              </w:rPr>
              <w:t>15</w:t>
            </w:r>
          </w:p>
          <w:p w14:paraId="59FE9ADB" w14:textId="77777777" w:rsidR="0064635B" w:rsidRDefault="004A6570">
            <w:pPr>
              <w:spacing w:after="0" w:line="276" w:lineRule="auto"/>
              <w:jc w:val="center"/>
              <w:rPr>
                <w:rFonts w:cs="Arial"/>
                <w:i/>
                <w:iCs/>
                <w:sz w:val="20"/>
                <w:szCs w:val="20"/>
              </w:rPr>
            </w:pPr>
            <w:r>
              <w:rPr>
                <w:rFonts w:cs="Arial"/>
                <w:i/>
                <w:iCs/>
                <w:sz w:val="20"/>
                <w:szCs w:val="20"/>
              </w:rPr>
              <w:t>(14 CIDP &amp; 1 MMN)</w:t>
            </w:r>
          </w:p>
        </w:tc>
        <w:tc>
          <w:tcPr>
            <w:tcW w:w="4254" w:type="dxa"/>
            <w:tcBorders>
              <w:top w:val="single" w:sz="4" w:space="0" w:color="000000"/>
              <w:bottom w:val="single" w:sz="4" w:space="0" w:color="000000"/>
            </w:tcBorders>
            <w:shd w:val="clear" w:color="auto" w:fill="auto"/>
            <w:tcMar>
              <w:top w:w="0" w:type="dxa"/>
              <w:left w:w="108" w:type="dxa"/>
              <w:bottom w:w="0" w:type="dxa"/>
              <w:right w:w="108" w:type="dxa"/>
            </w:tcMar>
          </w:tcPr>
          <w:p w14:paraId="1787ACD6" w14:textId="77777777" w:rsidR="0064635B" w:rsidRDefault="004A6570">
            <w:pPr>
              <w:spacing w:after="0" w:line="276" w:lineRule="auto"/>
              <w:rPr>
                <w:rFonts w:cs="Arial"/>
                <w:sz w:val="20"/>
                <w:szCs w:val="20"/>
              </w:rPr>
            </w:pPr>
            <w:r>
              <w:rPr>
                <w:rFonts w:cs="Arial"/>
                <w:sz w:val="20"/>
                <w:szCs w:val="20"/>
              </w:rPr>
              <w:t xml:space="preserve">Median IVIg dose 30 g (range: 15–70) every 14 days (range: 7–28) </w:t>
            </w:r>
          </w:p>
          <w:p w14:paraId="4AFE4916" w14:textId="77777777" w:rsidR="0064635B" w:rsidRDefault="004A6570">
            <w:pPr>
              <w:spacing w:after="0" w:line="276" w:lineRule="auto"/>
              <w:rPr>
                <w:rFonts w:cs="Arial"/>
                <w:sz w:val="20"/>
                <w:szCs w:val="20"/>
              </w:rPr>
            </w:pPr>
            <w:r>
              <w:rPr>
                <w:rFonts w:cs="Arial"/>
                <w:sz w:val="20"/>
                <w:szCs w:val="20"/>
              </w:rPr>
              <w:t>Median IgG peak 25.9 g/L (range: 16.7–41.0)</w:t>
            </w:r>
          </w:p>
          <w:p w14:paraId="1846A570" w14:textId="77777777" w:rsidR="0064635B" w:rsidRDefault="004A6570">
            <w:pPr>
              <w:spacing w:after="0" w:line="276" w:lineRule="auto"/>
              <w:rPr>
                <w:rFonts w:cs="Arial"/>
                <w:sz w:val="20"/>
                <w:szCs w:val="20"/>
              </w:rPr>
            </w:pPr>
            <w:r>
              <w:rPr>
                <w:rFonts w:cs="Arial"/>
                <w:sz w:val="20"/>
                <w:szCs w:val="20"/>
              </w:rPr>
              <w:t>Median IgG trough 16.1 g/L (range: 9.7– 23.6)</w:t>
            </w:r>
          </w:p>
          <w:p w14:paraId="6945885C" w14:textId="77777777" w:rsidR="0064635B" w:rsidRDefault="004A6570">
            <w:pPr>
              <w:spacing w:after="0" w:line="276" w:lineRule="auto"/>
              <w:rPr>
                <w:rFonts w:cs="Arial"/>
                <w:sz w:val="20"/>
                <w:szCs w:val="20"/>
              </w:rPr>
            </w:pPr>
            <w:r>
              <w:rPr>
                <w:rFonts w:cs="Arial"/>
                <w:sz w:val="20"/>
                <w:szCs w:val="20"/>
              </w:rPr>
              <w:t xml:space="preserve">Median IgG </w:t>
            </w:r>
            <w:r>
              <w:rPr>
                <w:rFonts w:cs="Arial"/>
                <w:sz w:val="20"/>
                <w:szCs w:val="20"/>
              </w:rPr>
              <w:t>half-life 23.1 days (range: 11–60)</w:t>
            </w:r>
          </w:p>
        </w:tc>
        <w:tc>
          <w:tcPr>
            <w:tcW w:w="411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D26FC" w14:textId="77777777" w:rsidR="0064635B" w:rsidRDefault="004A6570">
            <w:pPr>
              <w:spacing w:after="0" w:line="276" w:lineRule="auto"/>
              <w:rPr>
                <w:rFonts w:cs="Arial"/>
                <w:sz w:val="20"/>
                <w:szCs w:val="20"/>
              </w:rPr>
            </w:pPr>
            <w:r>
              <w:rPr>
                <w:rFonts w:cs="Arial"/>
                <w:sz w:val="20"/>
                <w:szCs w:val="20"/>
              </w:rPr>
              <w:t xml:space="preserve">PK parameters were constant between two subsequent IVIg infusions in individual pts, but varied greatly between pts. </w:t>
            </w:r>
          </w:p>
          <w:p w14:paraId="611D6B29" w14:textId="77777777" w:rsidR="0064635B" w:rsidRDefault="004A6570">
            <w:pPr>
              <w:spacing w:after="0" w:line="276" w:lineRule="auto"/>
              <w:rPr>
                <w:rFonts w:cs="Arial"/>
                <w:sz w:val="20"/>
                <w:szCs w:val="20"/>
              </w:rPr>
            </w:pPr>
            <w:r>
              <w:rPr>
                <w:rFonts w:cs="Arial"/>
                <w:sz w:val="20"/>
                <w:szCs w:val="20"/>
              </w:rPr>
              <w:t>IgG levels (1 week after infusion) correlated with grip strength</w:t>
            </w:r>
          </w:p>
        </w:tc>
      </w:tr>
      <w:tr w:rsidR="0064635B" w14:paraId="10CE82C3" w14:textId="77777777">
        <w:tblPrEx>
          <w:tblCellMar>
            <w:top w:w="0" w:type="dxa"/>
            <w:bottom w:w="0" w:type="dxa"/>
          </w:tblCellMar>
        </w:tblPrEx>
        <w:tc>
          <w:tcPr>
            <w:tcW w:w="226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113FB6EF" w14:textId="77777777" w:rsidR="0064635B" w:rsidRDefault="004A6570">
            <w:pPr>
              <w:spacing w:after="0" w:line="276" w:lineRule="auto"/>
              <w:rPr>
                <w:rFonts w:cs="Arial"/>
                <w:b/>
                <w:sz w:val="20"/>
                <w:szCs w:val="20"/>
              </w:rPr>
            </w:pPr>
            <w:r>
              <w:rPr>
                <w:rFonts w:cs="Arial"/>
                <w:b/>
                <w:sz w:val="20"/>
                <w:szCs w:val="20"/>
              </w:rPr>
              <w:t xml:space="preserve">SCIg studies </w:t>
            </w:r>
          </w:p>
        </w:tc>
        <w:tc>
          <w:tcPr>
            <w:tcW w:w="2553" w:type="dxa"/>
            <w:gridSpan w:val="2"/>
            <w:tcBorders>
              <w:top w:val="single" w:sz="4" w:space="0" w:color="000000"/>
              <w:bottom w:val="single" w:sz="4" w:space="0" w:color="000000"/>
            </w:tcBorders>
            <w:shd w:val="clear" w:color="auto" w:fill="D9D9D9"/>
            <w:tcMar>
              <w:top w:w="0" w:type="dxa"/>
              <w:left w:w="108" w:type="dxa"/>
              <w:bottom w:w="0" w:type="dxa"/>
              <w:right w:w="108" w:type="dxa"/>
            </w:tcMar>
          </w:tcPr>
          <w:p w14:paraId="5459BBED" w14:textId="77777777" w:rsidR="0064635B" w:rsidRDefault="0064635B">
            <w:pPr>
              <w:spacing w:after="0" w:line="276" w:lineRule="auto"/>
              <w:rPr>
                <w:rFonts w:cs="Arial"/>
                <w:sz w:val="20"/>
                <w:szCs w:val="20"/>
              </w:rPr>
            </w:pPr>
          </w:p>
        </w:tc>
        <w:tc>
          <w:tcPr>
            <w:tcW w:w="1276" w:type="dxa"/>
            <w:gridSpan w:val="2"/>
            <w:tcBorders>
              <w:top w:val="single" w:sz="4" w:space="0" w:color="000000"/>
              <w:bottom w:val="single" w:sz="4" w:space="0" w:color="000000"/>
            </w:tcBorders>
            <w:shd w:val="clear" w:color="auto" w:fill="D9D9D9"/>
            <w:tcMar>
              <w:top w:w="0" w:type="dxa"/>
              <w:left w:w="108" w:type="dxa"/>
              <w:bottom w:w="0" w:type="dxa"/>
              <w:right w:w="108" w:type="dxa"/>
            </w:tcMar>
          </w:tcPr>
          <w:p w14:paraId="118B496B" w14:textId="77777777" w:rsidR="0064635B" w:rsidRDefault="0064635B">
            <w:pPr>
              <w:spacing w:after="0" w:line="276" w:lineRule="auto"/>
              <w:rPr>
                <w:rFonts w:cs="Arial"/>
                <w:sz w:val="20"/>
                <w:szCs w:val="20"/>
              </w:rPr>
            </w:pPr>
          </w:p>
        </w:tc>
        <w:tc>
          <w:tcPr>
            <w:tcW w:w="4254" w:type="dxa"/>
            <w:tcBorders>
              <w:top w:val="single" w:sz="4" w:space="0" w:color="000000"/>
              <w:bottom w:val="single" w:sz="4" w:space="0" w:color="000000"/>
            </w:tcBorders>
            <w:shd w:val="clear" w:color="auto" w:fill="D9D9D9"/>
            <w:tcMar>
              <w:top w:w="0" w:type="dxa"/>
              <w:left w:w="108" w:type="dxa"/>
              <w:bottom w:w="0" w:type="dxa"/>
              <w:right w:w="108" w:type="dxa"/>
            </w:tcMar>
          </w:tcPr>
          <w:p w14:paraId="278C4AF1" w14:textId="77777777" w:rsidR="0064635B" w:rsidRDefault="0064635B">
            <w:pPr>
              <w:spacing w:after="0" w:line="276" w:lineRule="auto"/>
              <w:jc w:val="center"/>
              <w:rPr>
                <w:rFonts w:cs="Arial"/>
                <w:sz w:val="20"/>
                <w:szCs w:val="20"/>
              </w:rPr>
            </w:pPr>
          </w:p>
        </w:tc>
        <w:tc>
          <w:tcPr>
            <w:tcW w:w="4113"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23B473" w14:textId="77777777" w:rsidR="0064635B" w:rsidRDefault="0064635B">
            <w:pPr>
              <w:spacing w:after="0" w:line="276" w:lineRule="auto"/>
              <w:rPr>
                <w:rFonts w:cs="Arial"/>
                <w:sz w:val="20"/>
                <w:szCs w:val="20"/>
              </w:rPr>
            </w:pPr>
          </w:p>
        </w:tc>
      </w:tr>
      <w:tr w:rsidR="0064635B" w14:paraId="302EF8D3" w14:textId="77777777">
        <w:tblPrEx>
          <w:tblCellMar>
            <w:top w:w="0" w:type="dxa"/>
            <w:bottom w:w="0" w:type="dxa"/>
          </w:tblCellMar>
        </w:tblPrEx>
        <w:tc>
          <w:tcPr>
            <w:tcW w:w="2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7B244B" w14:textId="77777777" w:rsidR="0064635B" w:rsidRDefault="004A6570">
            <w:pPr>
              <w:spacing w:after="0" w:line="276" w:lineRule="auto"/>
              <w:rPr>
                <w:rFonts w:cs="Arial"/>
                <w:b/>
                <w:sz w:val="20"/>
                <w:szCs w:val="20"/>
              </w:rPr>
            </w:pPr>
            <w:proofErr w:type="spellStart"/>
            <w:r>
              <w:rPr>
                <w:rFonts w:cs="Arial"/>
                <w:b/>
                <w:sz w:val="20"/>
                <w:szCs w:val="20"/>
              </w:rPr>
              <w:lastRenderedPageBreak/>
              <w:t>Markvardsen</w:t>
            </w:r>
            <w:proofErr w:type="spellEnd"/>
            <w:r>
              <w:rPr>
                <w:rFonts w:cs="Arial"/>
                <w:b/>
                <w:sz w:val="20"/>
                <w:szCs w:val="20"/>
              </w:rPr>
              <w:t xml:space="preserve">, et al. 2013 </w:t>
            </w:r>
          </w:p>
          <w:p w14:paraId="582C2697" w14:textId="77777777" w:rsidR="0064635B" w:rsidRDefault="004A6570">
            <w:pPr>
              <w:spacing w:after="0" w:line="276" w:lineRule="auto"/>
            </w:pPr>
            <w:r>
              <w:rPr>
                <w:rFonts w:cs="Arial"/>
                <w:bCs/>
                <w:i/>
                <w:iCs/>
                <w:sz w:val="20"/>
                <w:szCs w:val="20"/>
              </w:rPr>
              <w:t>(CIDP)</w:t>
            </w:r>
          </w:p>
        </w:tc>
        <w:tc>
          <w:tcPr>
            <w:tcW w:w="2553"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0D1446D" w14:textId="77777777" w:rsidR="0064635B" w:rsidRDefault="004A6570">
            <w:pPr>
              <w:spacing w:after="0" w:line="276" w:lineRule="auto"/>
              <w:rPr>
                <w:rFonts w:cs="Arial"/>
                <w:sz w:val="20"/>
                <w:szCs w:val="20"/>
              </w:rPr>
            </w:pPr>
            <w:r>
              <w:rPr>
                <w:rFonts w:cs="Arial"/>
                <w:sz w:val="20"/>
                <w:szCs w:val="20"/>
              </w:rPr>
              <w:t>Randomized, double-blind, placebo-controlled</w:t>
            </w:r>
          </w:p>
        </w:tc>
        <w:tc>
          <w:tcPr>
            <w:tcW w:w="1276"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73ACDB5" w14:textId="77777777" w:rsidR="0064635B" w:rsidRDefault="004A6570">
            <w:pPr>
              <w:spacing w:after="0" w:line="276" w:lineRule="auto"/>
              <w:jc w:val="center"/>
            </w:pPr>
            <w:r>
              <w:rPr>
                <w:rFonts w:cs="Arial"/>
                <w:sz w:val="20"/>
                <w:szCs w:val="20"/>
              </w:rPr>
              <w:t xml:space="preserve">29 </w:t>
            </w:r>
            <w:r>
              <w:rPr>
                <w:rFonts w:cs="Arial"/>
                <w:sz w:val="20"/>
                <w:szCs w:val="20"/>
              </w:rPr>
              <w:br/>
            </w:r>
            <w:r>
              <w:rPr>
                <w:rFonts w:cs="Arial"/>
                <w:i/>
                <w:iCs/>
                <w:sz w:val="20"/>
                <w:szCs w:val="20"/>
              </w:rPr>
              <w:t>(14 on SCIg)</w:t>
            </w:r>
          </w:p>
        </w:tc>
        <w:tc>
          <w:tcPr>
            <w:tcW w:w="425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5F276DD" w14:textId="77777777" w:rsidR="0064635B" w:rsidRDefault="004A6570">
            <w:pPr>
              <w:spacing w:after="0" w:line="276" w:lineRule="auto"/>
            </w:pPr>
            <w:r>
              <w:rPr>
                <w:rFonts w:cs="Arial"/>
                <w:sz w:val="20"/>
                <w:szCs w:val="20"/>
              </w:rPr>
              <w:t xml:space="preserve">Pre-infusion (- 2 weeks) 13.7 </w:t>
            </w:r>
            <w:r>
              <w:rPr>
                <w:rFonts w:cs="Calibri"/>
                <w:sz w:val="20"/>
                <w:szCs w:val="20"/>
              </w:rPr>
              <w:t xml:space="preserve">± 2.7 </w:t>
            </w:r>
            <w:r>
              <w:rPr>
                <w:rFonts w:cs="Arial"/>
                <w:sz w:val="20"/>
                <w:szCs w:val="20"/>
              </w:rPr>
              <w:t>g/L</w:t>
            </w:r>
          </w:p>
          <w:p w14:paraId="51C6DB85" w14:textId="77777777" w:rsidR="0064635B" w:rsidRDefault="004A6570">
            <w:pPr>
              <w:spacing w:after="0" w:line="276" w:lineRule="auto"/>
            </w:pPr>
            <w:r>
              <w:rPr>
                <w:rFonts w:cs="Arial"/>
                <w:sz w:val="20"/>
                <w:szCs w:val="20"/>
              </w:rPr>
              <w:t xml:space="preserve">Post-final IVIg infusion 21.5 </w:t>
            </w:r>
            <w:r>
              <w:rPr>
                <w:rFonts w:cs="Calibri"/>
                <w:sz w:val="20"/>
                <w:szCs w:val="20"/>
              </w:rPr>
              <w:t xml:space="preserve">± 4.5 </w:t>
            </w:r>
            <w:r>
              <w:rPr>
                <w:rFonts w:cs="Arial"/>
                <w:sz w:val="20"/>
                <w:szCs w:val="20"/>
              </w:rPr>
              <w:t>g/L</w:t>
            </w:r>
          </w:p>
          <w:p w14:paraId="54E051FC" w14:textId="77777777" w:rsidR="0064635B" w:rsidRDefault="004A6570">
            <w:pPr>
              <w:spacing w:after="0" w:line="276" w:lineRule="auto"/>
            </w:pPr>
            <w:r>
              <w:rPr>
                <w:rFonts w:cs="Arial"/>
                <w:sz w:val="20"/>
                <w:szCs w:val="20"/>
              </w:rPr>
              <w:t xml:space="preserve">Study end IgG (Week 12) 18.4 </w:t>
            </w:r>
            <w:r>
              <w:rPr>
                <w:rFonts w:cs="Calibri"/>
                <w:sz w:val="20"/>
                <w:szCs w:val="20"/>
              </w:rPr>
              <w:t>±</w:t>
            </w:r>
            <w:r>
              <w:rPr>
                <w:rFonts w:cs="Arial"/>
                <w:sz w:val="20"/>
                <w:szCs w:val="20"/>
              </w:rPr>
              <w:t xml:space="preserve"> 5.2g/L</w:t>
            </w:r>
          </w:p>
        </w:tc>
        <w:tc>
          <w:tcPr>
            <w:tcW w:w="411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61421" w14:textId="77777777" w:rsidR="0064635B" w:rsidRDefault="004A6570">
            <w:pPr>
              <w:spacing w:after="0" w:line="276" w:lineRule="auto"/>
            </w:pPr>
            <w:r>
              <w:rPr>
                <w:rFonts w:cs="Arial"/>
                <w:sz w:val="20"/>
                <w:szCs w:val="20"/>
              </w:rPr>
              <w:t xml:space="preserve">There was no relationship between </w:t>
            </w:r>
            <w:r>
              <w:rPr>
                <w:rFonts w:cs="Arial"/>
                <w:sz w:val="20"/>
                <w:szCs w:val="20"/>
              </w:rPr>
              <w:t>plasma levels of IgG and isokinetic strength. However, declines in strength observed between IVIg infusions were eliminated with SCIg. Study suggests 1:1 dose conversion for IVIg to SCIg is effective</w:t>
            </w:r>
          </w:p>
        </w:tc>
      </w:tr>
      <w:tr w:rsidR="0064635B" w14:paraId="6704B93D" w14:textId="77777777">
        <w:tblPrEx>
          <w:tblCellMar>
            <w:top w:w="0" w:type="dxa"/>
            <w:bottom w:w="0" w:type="dxa"/>
          </w:tblCellMar>
        </w:tblPrEx>
        <w:tc>
          <w:tcPr>
            <w:tcW w:w="2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0C9165" w14:textId="77777777" w:rsidR="0064635B" w:rsidRDefault="004A6570">
            <w:pPr>
              <w:spacing w:after="0" w:line="276" w:lineRule="auto"/>
              <w:rPr>
                <w:rFonts w:cs="Arial"/>
                <w:b/>
                <w:sz w:val="20"/>
                <w:szCs w:val="20"/>
              </w:rPr>
            </w:pPr>
            <w:proofErr w:type="spellStart"/>
            <w:r>
              <w:rPr>
                <w:rFonts w:cs="Arial"/>
                <w:b/>
                <w:sz w:val="20"/>
                <w:szCs w:val="20"/>
              </w:rPr>
              <w:t>Markvardsen</w:t>
            </w:r>
            <w:proofErr w:type="spellEnd"/>
            <w:r>
              <w:rPr>
                <w:rFonts w:cs="Arial"/>
                <w:b/>
                <w:sz w:val="20"/>
                <w:szCs w:val="20"/>
              </w:rPr>
              <w:t>, et al. 2017</w:t>
            </w:r>
          </w:p>
          <w:p w14:paraId="1E3281E5" w14:textId="77777777" w:rsidR="0064635B" w:rsidRDefault="004A6570">
            <w:pPr>
              <w:spacing w:after="0" w:line="276" w:lineRule="auto"/>
            </w:pPr>
            <w:r>
              <w:rPr>
                <w:rFonts w:cs="Arial"/>
                <w:bCs/>
                <w:i/>
                <w:iCs/>
                <w:sz w:val="20"/>
                <w:szCs w:val="20"/>
              </w:rPr>
              <w:t xml:space="preserve">(CIDP) </w:t>
            </w:r>
          </w:p>
        </w:tc>
        <w:tc>
          <w:tcPr>
            <w:tcW w:w="2553"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2ADFC7F" w14:textId="77777777" w:rsidR="0064635B" w:rsidRDefault="004A6570">
            <w:pPr>
              <w:spacing w:after="0" w:line="276" w:lineRule="auto"/>
            </w:pPr>
            <w:r>
              <w:rPr>
                <w:rFonts w:cs="Arial"/>
                <w:sz w:val="20"/>
                <w:szCs w:val="20"/>
                <w:lang w:val="en-US"/>
              </w:rPr>
              <w:t>Randomized, single bli</w:t>
            </w:r>
            <w:r>
              <w:rPr>
                <w:rFonts w:cs="Arial"/>
                <w:sz w:val="20"/>
                <w:szCs w:val="20"/>
                <w:lang w:val="en-US"/>
              </w:rPr>
              <w:t>nd, cross-over study in treatment-naïve pts</w:t>
            </w:r>
          </w:p>
        </w:tc>
        <w:tc>
          <w:tcPr>
            <w:tcW w:w="1276"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7BC407F" w14:textId="77777777" w:rsidR="0064635B" w:rsidRDefault="004A6570">
            <w:pPr>
              <w:spacing w:after="0" w:line="276" w:lineRule="auto"/>
              <w:jc w:val="center"/>
              <w:rPr>
                <w:rFonts w:cs="Arial"/>
                <w:sz w:val="20"/>
                <w:szCs w:val="20"/>
              </w:rPr>
            </w:pPr>
            <w:r>
              <w:rPr>
                <w:rFonts w:cs="Arial"/>
                <w:sz w:val="20"/>
                <w:szCs w:val="20"/>
              </w:rPr>
              <w:t>19</w:t>
            </w:r>
          </w:p>
        </w:tc>
        <w:tc>
          <w:tcPr>
            <w:tcW w:w="425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C030FFE" w14:textId="77777777" w:rsidR="0064635B" w:rsidRDefault="004A6570">
            <w:pPr>
              <w:spacing w:after="0" w:line="276" w:lineRule="auto"/>
              <w:rPr>
                <w:rFonts w:cs="Arial"/>
                <w:sz w:val="20"/>
                <w:szCs w:val="20"/>
              </w:rPr>
            </w:pPr>
            <w:r>
              <w:rPr>
                <w:rFonts w:cs="Arial"/>
                <w:sz w:val="20"/>
                <w:szCs w:val="20"/>
              </w:rPr>
              <w:t>By Week 10</w:t>
            </w:r>
          </w:p>
          <w:p w14:paraId="2C896488" w14:textId="77777777" w:rsidR="0064635B" w:rsidRDefault="004A6570">
            <w:pPr>
              <w:spacing w:after="0" w:line="276" w:lineRule="auto"/>
            </w:pPr>
            <w:r>
              <w:rPr>
                <w:rFonts w:cs="Arial"/>
                <w:sz w:val="20"/>
                <w:szCs w:val="20"/>
              </w:rPr>
              <w:t xml:space="preserve">Mean IgG (IVIg) 13.5 </w:t>
            </w:r>
            <w:r>
              <w:rPr>
                <w:rFonts w:cs="Calibri"/>
                <w:sz w:val="20"/>
                <w:szCs w:val="20"/>
              </w:rPr>
              <w:t xml:space="preserve">± 2.7 </w:t>
            </w:r>
            <w:r>
              <w:rPr>
                <w:rFonts w:cs="Arial"/>
                <w:sz w:val="20"/>
                <w:szCs w:val="20"/>
              </w:rPr>
              <w:t>g/</w:t>
            </w:r>
            <w:proofErr w:type="gramStart"/>
            <w:r>
              <w:rPr>
                <w:rFonts w:cs="Arial"/>
                <w:sz w:val="20"/>
                <w:szCs w:val="20"/>
              </w:rPr>
              <w:t>L</w:t>
            </w:r>
            <w:proofErr w:type="gramEnd"/>
          </w:p>
          <w:p w14:paraId="2DE28668" w14:textId="77777777" w:rsidR="0064635B" w:rsidRDefault="004A6570">
            <w:pPr>
              <w:spacing w:after="0" w:line="276" w:lineRule="auto"/>
            </w:pPr>
            <w:r>
              <w:rPr>
                <w:rFonts w:cs="Arial"/>
                <w:sz w:val="20"/>
                <w:szCs w:val="20"/>
              </w:rPr>
              <w:t>Mean IgG (SCIg)</w:t>
            </w:r>
            <w:r>
              <w:rPr>
                <w:rFonts w:cs="Calibri"/>
                <w:sz w:val="20"/>
                <w:szCs w:val="20"/>
              </w:rPr>
              <w:t xml:space="preserve"> 12.2 ± 2.8 </w:t>
            </w:r>
            <w:r>
              <w:rPr>
                <w:rFonts w:cs="Arial"/>
                <w:sz w:val="20"/>
                <w:szCs w:val="20"/>
              </w:rPr>
              <w:t>g/L</w:t>
            </w:r>
          </w:p>
        </w:tc>
        <w:tc>
          <w:tcPr>
            <w:tcW w:w="411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B04D1" w14:textId="77777777" w:rsidR="0064635B" w:rsidRDefault="004A6570">
            <w:pPr>
              <w:spacing w:after="0" w:line="276" w:lineRule="auto"/>
            </w:pPr>
            <w:r>
              <w:rPr>
                <w:rFonts w:cs="Arial"/>
                <w:sz w:val="20"/>
                <w:szCs w:val="20"/>
              </w:rPr>
              <w:t xml:space="preserve"> A lower baseline level of IgG was associated with a better response to IgG therapy. No </w:t>
            </w:r>
            <w:proofErr w:type="gramStart"/>
            <w:r>
              <w:rPr>
                <w:rFonts w:cs="Arial"/>
                <w:sz w:val="20"/>
                <w:szCs w:val="20"/>
              </w:rPr>
              <w:t>correlation  between</w:t>
            </w:r>
            <w:proofErr w:type="gramEnd"/>
            <w:r>
              <w:rPr>
                <w:rFonts w:cs="Arial"/>
                <w:sz w:val="20"/>
                <w:szCs w:val="20"/>
              </w:rPr>
              <w:t xml:space="preserve"> increasing IgG and </w:t>
            </w:r>
            <w:r>
              <w:rPr>
                <w:rFonts w:cs="Arial"/>
                <w:sz w:val="20"/>
                <w:szCs w:val="20"/>
              </w:rPr>
              <w:t xml:space="preserve">muscle strength was observed </w:t>
            </w:r>
          </w:p>
        </w:tc>
      </w:tr>
      <w:tr w:rsidR="0064635B" w14:paraId="2E944905" w14:textId="77777777">
        <w:tblPrEx>
          <w:tblCellMar>
            <w:top w:w="0" w:type="dxa"/>
            <w:bottom w:w="0" w:type="dxa"/>
          </w:tblCellMar>
        </w:tblPrEx>
        <w:tc>
          <w:tcPr>
            <w:tcW w:w="2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4347E8" w14:textId="77777777" w:rsidR="0064635B" w:rsidRDefault="004A6570">
            <w:pPr>
              <w:spacing w:after="0" w:line="276" w:lineRule="auto"/>
              <w:rPr>
                <w:rFonts w:cs="Arial"/>
                <w:b/>
                <w:sz w:val="20"/>
                <w:szCs w:val="20"/>
              </w:rPr>
            </w:pPr>
            <w:r>
              <w:rPr>
                <w:rFonts w:cs="Arial"/>
                <w:b/>
                <w:sz w:val="20"/>
                <w:szCs w:val="20"/>
              </w:rPr>
              <w:t>Christiansen, et al. 2018</w:t>
            </w:r>
          </w:p>
          <w:p w14:paraId="1F2A5498" w14:textId="77777777" w:rsidR="0064635B" w:rsidRDefault="004A6570">
            <w:pPr>
              <w:spacing w:after="0" w:line="276" w:lineRule="auto"/>
              <w:rPr>
                <w:rFonts w:cs="Arial"/>
                <w:bCs/>
                <w:i/>
                <w:iCs/>
                <w:sz w:val="20"/>
                <w:szCs w:val="20"/>
              </w:rPr>
            </w:pPr>
            <w:r>
              <w:rPr>
                <w:rFonts w:cs="Arial"/>
                <w:bCs/>
                <w:i/>
                <w:iCs/>
                <w:sz w:val="20"/>
                <w:szCs w:val="20"/>
              </w:rPr>
              <w:t>(CIDP, MMN)</w:t>
            </w:r>
          </w:p>
        </w:tc>
        <w:tc>
          <w:tcPr>
            <w:tcW w:w="2553"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5FBFF5F" w14:textId="77777777" w:rsidR="0064635B" w:rsidRDefault="004A6570">
            <w:pPr>
              <w:spacing w:after="0" w:line="276" w:lineRule="auto"/>
              <w:rPr>
                <w:rFonts w:cs="Arial"/>
                <w:sz w:val="20"/>
                <w:szCs w:val="20"/>
              </w:rPr>
            </w:pPr>
            <w:r>
              <w:rPr>
                <w:rFonts w:cs="Arial"/>
                <w:sz w:val="20"/>
                <w:szCs w:val="20"/>
              </w:rPr>
              <w:t>Prospective open label follow-up trial</w:t>
            </w:r>
          </w:p>
        </w:tc>
        <w:tc>
          <w:tcPr>
            <w:tcW w:w="1276"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F80A32D" w14:textId="77777777" w:rsidR="0064635B" w:rsidRDefault="004A6570">
            <w:pPr>
              <w:spacing w:after="0" w:line="276" w:lineRule="auto"/>
              <w:jc w:val="center"/>
              <w:rPr>
                <w:rFonts w:cs="Arial"/>
                <w:sz w:val="20"/>
                <w:szCs w:val="20"/>
              </w:rPr>
            </w:pPr>
            <w:r>
              <w:rPr>
                <w:rFonts w:cs="Arial"/>
                <w:sz w:val="20"/>
                <w:szCs w:val="20"/>
              </w:rPr>
              <w:t xml:space="preserve">17 </w:t>
            </w:r>
          </w:p>
          <w:p w14:paraId="2500A9A6" w14:textId="77777777" w:rsidR="0064635B" w:rsidRDefault="004A6570">
            <w:pPr>
              <w:spacing w:after="0" w:line="276" w:lineRule="auto"/>
              <w:jc w:val="center"/>
            </w:pPr>
            <w:r>
              <w:rPr>
                <w:rFonts w:cs="Arial"/>
                <w:i/>
                <w:iCs/>
                <w:sz w:val="20"/>
                <w:szCs w:val="20"/>
              </w:rPr>
              <w:t>(12 CIDP, 2 MADSAM, &amp; 3 MMN)</w:t>
            </w:r>
          </w:p>
        </w:tc>
        <w:tc>
          <w:tcPr>
            <w:tcW w:w="425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57916E7" w14:textId="77777777" w:rsidR="0064635B" w:rsidRDefault="004A6570">
            <w:pPr>
              <w:spacing w:after="0" w:line="276" w:lineRule="auto"/>
              <w:rPr>
                <w:rFonts w:cs="Arial"/>
                <w:sz w:val="20"/>
                <w:szCs w:val="20"/>
              </w:rPr>
            </w:pPr>
            <w:r>
              <w:rPr>
                <w:rFonts w:cs="Arial"/>
                <w:sz w:val="20"/>
                <w:szCs w:val="20"/>
              </w:rPr>
              <w:t>Average IgG (IVIg) 21.3 g/L (CI: 19.5–23.2)</w:t>
            </w:r>
          </w:p>
          <w:p w14:paraId="31706E57" w14:textId="77777777" w:rsidR="0064635B" w:rsidRDefault="004A6570">
            <w:pPr>
              <w:spacing w:after="0" w:line="276" w:lineRule="auto"/>
              <w:rPr>
                <w:rFonts w:cs="Arial"/>
                <w:sz w:val="20"/>
                <w:szCs w:val="20"/>
              </w:rPr>
            </w:pPr>
            <w:r>
              <w:rPr>
                <w:rFonts w:cs="Arial"/>
                <w:sz w:val="20"/>
                <w:szCs w:val="20"/>
              </w:rPr>
              <w:t>Average IgG (SCIg) 19.3 g/L (CI: 17.8–20.7)</w:t>
            </w:r>
          </w:p>
        </w:tc>
        <w:tc>
          <w:tcPr>
            <w:tcW w:w="411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5D1F4" w14:textId="77777777" w:rsidR="0064635B" w:rsidRDefault="004A6570">
            <w:pPr>
              <w:spacing w:after="0" w:line="276" w:lineRule="auto"/>
              <w:rPr>
                <w:rFonts w:cs="Calibri"/>
                <w:sz w:val="20"/>
                <w:szCs w:val="20"/>
              </w:rPr>
            </w:pPr>
            <w:r>
              <w:rPr>
                <w:rFonts w:cs="Calibri"/>
                <w:sz w:val="20"/>
                <w:szCs w:val="20"/>
              </w:rPr>
              <w:t xml:space="preserve">Transition to SCIg </w:t>
            </w:r>
            <w:r>
              <w:rPr>
                <w:rFonts w:cs="Calibri"/>
                <w:sz w:val="20"/>
                <w:szCs w:val="20"/>
              </w:rPr>
              <w:t xml:space="preserve">preserved overall strength, disability and QoL, but reduced fluctuations in physical </w:t>
            </w:r>
            <w:proofErr w:type="gramStart"/>
            <w:r>
              <w:rPr>
                <w:rFonts w:cs="Calibri"/>
                <w:sz w:val="20"/>
                <w:szCs w:val="20"/>
              </w:rPr>
              <w:t>performances  (</w:t>
            </w:r>
            <w:proofErr w:type="gramEnd"/>
            <w:r>
              <w:rPr>
                <w:rFonts w:cs="Calibri"/>
                <w:sz w:val="20"/>
                <w:szCs w:val="20"/>
              </w:rPr>
              <w:t>40-MWT &amp; 9-HPT)</w:t>
            </w:r>
          </w:p>
        </w:tc>
      </w:tr>
      <w:tr w:rsidR="0064635B" w14:paraId="01B82EE4" w14:textId="77777777">
        <w:tblPrEx>
          <w:tblCellMar>
            <w:top w:w="0" w:type="dxa"/>
            <w:bottom w:w="0" w:type="dxa"/>
          </w:tblCellMar>
        </w:tblPrEx>
        <w:tc>
          <w:tcPr>
            <w:tcW w:w="2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C21452" w14:textId="77777777" w:rsidR="0064635B" w:rsidRDefault="004A6570">
            <w:pPr>
              <w:spacing w:after="0" w:line="276" w:lineRule="auto"/>
              <w:rPr>
                <w:rFonts w:cs="Arial"/>
                <w:b/>
                <w:sz w:val="20"/>
                <w:szCs w:val="20"/>
              </w:rPr>
            </w:pPr>
            <w:r>
              <w:rPr>
                <w:rFonts w:cs="Arial"/>
                <w:b/>
                <w:sz w:val="20"/>
                <w:szCs w:val="20"/>
              </w:rPr>
              <w:t>van Schaik, et al. 2018</w:t>
            </w:r>
          </w:p>
          <w:p w14:paraId="7592368C" w14:textId="77777777" w:rsidR="0064635B" w:rsidRDefault="004A6570">
            <w:pPr>
              <w:spacing w:after="0" w:line="276" w:lineRule="auto"/>
              <w:rPr>
                <w:rFonts w:cs="Arial"/>
                <w:bCs/>
                <w:i/>
                <w:iCs/>
                <w:sz w:val="20"/>
                <w:szCs w:val="20"/>
              </w:rPr>
            </w:pPr>
            <w:r>
              <w:rPr>
                <w:rFonts w:cs="Arial"/>
                <w:bCs/>
                <w:i/>
                <w:iCs/>
                <w:sz w:val="20"/>
                <w:szCs w:val="20"/>
              </w:rPr>
              <w:t>(CIDP)</w:t>
            </w:r>
          </w:p>
        </w:tc>
        <w:tc>
          <w:tcPr>
            <w:tcW w:w="2553"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54391DF" w14:textId="77777777" w:rsidR="0064635B" w:rsidRDefault="004A6570">
            <w:pPr>
              <w:spacing w:after="0" w:line="276" w:lineRule="auto"/>
              <w:rPr>
                <w:rFonts w:cs="Arial"/>
                <w:sz w:val="20"/>
                <w:szCs w:val="20"/>
              </w:rPr>
            </w:pPr>
            <w:r>
              <w:rPr>
                <w:rFonts w:cs="Arial"/>
                <w:sz w:val="20"/>
                <w:szCs w:val="20"/>
              </w:rPr>
              <w:t>Randomized, double-blind, placebo-controlled</w:t>
            </w:r>
          </w:p>
        </w:tc>
        <w:tc>
          <w:tcPr>
            <w:tcW w:w="1276"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C3FD8FA" w14:textId="77777777" w:rsidR="0064635B" w:rsidRDefault="004A6570">
            <w:pPr>
              <w:spacing w:after="0" w:line="276" w:lineRule="auto"/>
              <w:jc w:val="center"/>
            </w:pPr>
            <w:r>
              <w:rPr>
                <w:rFonts w:cs="Arial"/>
                <w:sz w:val="20"/>
                <w:szCs w:val="20"/>
              </w:rPr>
              <w:t xml:space="preserve">172 </w:t>
            </w:r>
            <w:r>
              <w:rPr>
                <w:rFonts w:cs="Arial"/>
                <w:sz w:val="20"/>
                <w:szCs w:val="20"/>
              </w:rPr>
              <w:br/>
            </w:r>
            <w:r>
              <w:rPr>
                <w:rFonts w:cs="Arial"/>
                <w:i/>
                <w:iCs/>
                <w:sz w:val="20"/>
                <w:szCs w:val="20"/>
              </w:rPr>
              <w:t>(115 on SCIg)</w:t>
            </w:r>
          </w:p>
        </w:tc>
        <w:tc>
          <w:tcPr>
            <w:tcW w:w="425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873B4CF" w14:textId="77777777" w:rsidR="0064635B" w:rsidRDefault="004A6570">
            <w:pPr>
              <w:spacing w:after="0" w:line="276" w:lineRule="auto"/>
              <w:rPr>
                <w:rFonts w:cs="Arial"/>
                <w:sz w:val="20"/>
                <w:szCs w:val="20"/>
              </w:rPr>
            </w:pPr>
            <w:r>
              <w:rPr>
                <w:rFonts w:cs="Arial"/>
                <w:sz w:val="20"/>
                <w:szCs w:val="20"/>
              </w:rPr>
              <w:t>Last post-dose observational</w:t>
            </w:r>
          </w:p>
          <w:p w14:paraId="59EC0F56" w14:textId="77777777" w:rsidR="0064635B" w:rsidRDefault="004A6570">
            <w:pPr>
              <w:spacing w:after="0" w:line="276" w:lineRule="auto"/>
              <w:rPr>
                <w:rFonts w:cs="Arial"/>
                <w:sz w:val="20"/>
                <w:szCs w:val="20"/>
              </w:rPr>
            </w:pPr>
            <w:r>
              <w:rPr>
                <w:rFonts w:cs="Arial"/>
                <w:sz w:val="20"/>
                <w:szCs w:val="20"/>
              </w:rPr>
              <w:t>Mean IgG (low-d</w:t>
            </w:r>
            <w:r>
              <w:rPr>
                <w:rFonts w:cs="Arial"/>
                <w:sz w:val="20"/>
                <w:szCs w:val="20"/>
              </w:rPr>
              <w:t>ose SCIg) 15.4 ± 3.1 g/</w:t>
            </w:r>
            <w:proofErr w:type="gramStart"/>
            <w:r>
              <w:rPr>
                <w:rFonts w:cs="Arial"/>
                <w:sz w:val="20"/>
                <w:szCs w:val="20"/>
              </w:rPr>
              <w:t>L</w:t>
            </w:r>
            <w:proofErr w:type="gramEnd"/>
          </w:p>
          <w:p w14:paraId="5015418A" w14:textId="77777777" w:rsidR="0064635B" w:rsidRDefault="004A6570">
            <w:pPr>
              <w:spacing w:after="0" w:line="276" w:lineRule="auto"/>
              <w:rPr>
                <w:rFonts w:cs="Arial"/>
                <w:sz w:val="20"/>
                <w:szCs w:val="20"/>
              </w:rPr>
            </w:pPr>
            <w:r>
              <w:rPr>
                <w:rFonts w:cs="Arial"/>
                <w:sz w:val="20"/>
                <w:szCs w:val="20"/>
              </w:rPr>
              <w:t>Mean IgG (high-dose SCIg) 20.4 ± 3.2 g/L</w:t>
            </w:r>
          </w:p>
        </w:tc>
        <w:tc>
          <w:tcPr>
            <w:tcW w:w="411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292B" w14:textId="77777777" w:rsidR="0064635B" w:rsidRDefault="004A6570">
            <w:pPr>
              <w:spacing w:after="0" w:line="276" w:lineRule="auto"/>
            </w:pPr>
            <w:r>
              <w:rPr>
                <w:rFonts w:cs="Arial"/>
                <w:sz w:val="20"/>
                <w:szCs w:val="20"/>
              </w:rPr>
              <w:t>Compared with baseline, IgG levels increased in the high-dose group and remained stable in the low-dose group.</w:t>
            </w:r>
          </w:p>
        </w:tc>
      </w:tr>
      <w:tr w:rsidR="0064635B" w14:paraId="36744931" w14:textId="77777777">
        <w:tblPrEx>
          <w:tblCellMar>
            <w:top w:w="0" w:type="dxa"/>
            <w:bottom w:w="0" w:type="dxa"/>
          </w:tblCellMar>
        </w:tblPrEx>
        <w:tc>
          <w:tcPr>
            <w:tcW w:w="2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B9342" w14:textId="77777777" w:rsidR="0064635B" w:rsidRDefault="004A6570">
            <w:pPr>
              <w:spacing w:after="0" w:line="276" w:lineRule="auto"/>
              <w:rPr>
                <w:rFonts w:cs="Arial"/>
                <w:b/>
                <w:sz w:val="20"/>
                <w:szCs w:val="20"/>
              </w:rPr>
            </w:pPr>
            <w:r>
              <w:rPr>
                <w:rFonts w:cs="Arial"/>
                <w:b/>
                <w:sz w:val="20"/>
                <w:szCs w:val="20"/>
              </w:rPr>
              <w:t>Van Schaik, et al. 2019</w:t>
            </w:r>
          </w:p>
          <w:p w14:paraId="157D07D3" w14:textId="77777777" w:rsidR="0064635B" w:rsidRDefault="004A6570">
            <w:pPr>
              <w:spacing w:after="0" w:line="276" w:lineRule="auto"/>
              <w:rPr>
                <w:rFonts w:cs="Arial"/>
                <w:bCs/>
                <w:i/>
                <w:iCs/>
                <w:sz w:val="20"/>
                <w:szCs w:val="20"/>
              </w:rPr>
            </w:pPr>
            <w:r>
              <w:rPr>
                <w:rFonts w:cs="Arial"/>
                <w:bCs/>
                <w:i/>
                <w:iCs/>
                <w:sz w:val="20"/>
                <w:szCs w:val="20"/>
              </w:rPr>
              <w:t>(CIDP)</w:t>
            </w:r>
          </w:p>
        </w:tc>
        <w:tc>
          <w:tcPr>
            <w:tcW w:w="2553"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8A1E0A6" w14:textId="77777777" w:rsidR="0064635B" w:rsidRDefault="004A6570">
            <w:pPr>
              <w:spacing w:after="0" w:line="276" w:lineRule="auto"/>
            </w:pPr>
            <w:r>
              <w:rPr>
                <w:rFonts w:cs="Arial"/>
                <w:sz w:val="20"/>
                <w:szCs w:val="20"/>
                <w:lang w:val="en-US"/>
              </w:rPr>
              <w:t>Prospective, open-label extension study</w:t>
            </w:r>
          </w:p>
        </w:tc>
        <w:tc>
          <w:tcPr>
            <w:tcW w:w="1276"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5342694" w14:textId="77777777" w:rsidR="0064635B" w:rsidRDefault="004A6570">
            <w:pPr>
              <w:spacing w:after="0" w:line="276" w:lineRule="auto"/>
              <w:jc w:val="center"/>
              <w:rPr>
                <w:rFonts w:cs="Arial"/>
                <w:sz w:val="20"/>
                <w:szCs w:val="20"/>
              </w:rPr>
            </w:pPr>
            <w:r>
              <w:rPr>
                <w:rFonts w:cs="Arial"/>
                <w:sz w:val="20"/>
                <w:szCs w:val="20"/>
              </w:rPr>
              <w:t>82</w:t>
            </w:r>
          </w:p>
        </w:tc>
        <w:tc>
          <w:tcPr>
            <w:tcW w:w="425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CB8F9B8" w14:textId="77777777" w:rsidR="0064635B" w:rsidRDefault="004A6570">
            <w:pPr>
              <w:spacing w:after="0" w:line="276" w:lineRule="auto"/>
              <w:rPr>
                <w:rFonts w:cs="Arial"/>
                <w:sz w:val="20"/>
                <w:szCs w:val="20"/>
              </w:rPr>
            </w:pPr>
            <w:r>
              <w:rPr>
                <w:rFonts w:cs="Arial"/>
                <w:sz w:val="20"/>
                <w:szCs w:val="20"/>
              </w:rPr>
              <w:t>End of study (non-</w:t>
            </w:r>
            <w:proofErr w:type="spellStart"/>
            <w:r>
              <w:rPr>
                <w:rFonts w:cs="Arial"/>
                <w:sz w:val="20"/>
                <w:szCs w:val="20"/>
              </w:rPr>
              <w:t>relapsers</w:t>
            </w:r>
            <w:proofErr w:type="spellEnd"/>
            <w:r>
              <w:rPr>
                <w:rFonts w:cs="Arial"/>
                <w:sz w:val="20"/>
                <w:szCs w:val="20"/>
              </w:rPr>
              <w:t>)</w:t>
            </w:r>
          </w:p>
          <w:p w14:paraId="0F50EEB9" w14:textId="77777777" w:rsidR="0064635B" w:rsidRDefault="004A6570">
            <w:pPr>
              <w:spacing w:after="0" w:line="276" w:lineRule="auto"/>
              <w:rPr>
                <w:rFonts w:cs="Arial"/>
                <w:sz w:val="20"/>
                <w:szCs w:val="20"/>
              </w:rPr>
            </w:pPr>
            <w:r>
              <w:rPr>
                <w:rFonts w:cs="Arial"/>
                <w:sz w:val="20"/>
                <w:szCs w:val="20"/>
              </w:rPr>
              <w:t>Mean IgG (low-dose SCIg) 16.0 ± 2.6 g/</w:t>
            </w:r>
            <w:proofErr w:type="gramStart"/>
            <w:r>
              <w:rPr>
                <w:rFonts w:cs="Arial"/>
                <w:sz w:val="20"/>
                <w:szCs w:val="20"/>
              </w:rPr>
              <w:t>L</w:t>
            </w:r>
            <w:proofErr w:type="gramEnd"/>
          </w:p>
          <w:p w14:paraId="2EE2F1D2" w14:textId="77777777" w:rsidR="0064635B" w:rsidRDefault="004A6570">
            <w:pPr>
              <w:spacing w:after="0" w:line="276" w:lineRule="auto"/>
              <w:rPr>
                <w:rFonts w:cs="Arial"/>
                <w:sz w:val="20"/>
                <w:szCs w:val="20"/>
              </w:rPr>
            </w:pPr>
            <w:r>
              <w:rPr>
                <w:rFonts w:cs="Arial"/>
                <w:sz w:val="20"/>
                <w:szCs w:val="20"/>
              </w:rPr>
              <w:t>Mean IgG (high-dose SCIg) 20.3 ± 3.7 g/L</w:t>
            </w:r>
          </w:p>
        </w:tc>
        <w:tc>
          <w:tcPr>
            <w:tcW w:w="411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3CB1F" w14:textId="77777777" w:rsidR="0064635B" w:rsidRDefault="004A6570">
            <w:pPr>
              <w:spacing w:after="0" w:line="276" w:lineRule="auto"/>
            </w:pPr>
            <w:r>
              <w:rPr>
                <w:rFonts w:cs="Arial"/>
                <w:sz w:val="20"/>
                <w:szCs w:val="20"/>
              </w:rPr>
              <w:t xml:space="preserve">IgG trough levels declined in low-dose pts but were stable in high-dose patients. In pts that relapsed the decrease was greater in </w:t>
            </w:r>
            <w:r>
              <w:rPr>
                <w:rFonts w:cs="Arial"/>
                <w:sz w:val="20"/>
                <w:szCs w:val="20"/>
              </w:rPr>
              <w:t xml:space="preserve">low-dose pts. </w:t>
            </w:r>
          </w:p>
        </w:tc>
      </w:tr>
      <w:tr w:rsidR="0064635B" w14:paraId="5F7F3C79" w14:textId="77777777">
        <w:tblPrEx>
          <w:tblCellMar>
            <w:top w:w="0" w:type="dxa"/>
            <w:bottom w:w="0" w:type="dxa"/>
          </w:tblCellMar>
        </w:tblPrEx>
        <w:tc>
          <w:tcPr>
            <w:tcW w:w="2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28A9FB" w14:textId="77777777" w:rsidR="0064635B" w:rsidRDefault="004A6570">
            <w:pPr>
              <w:spacing w:after="0" w:line="276" w:lineRule="auto"/>
              <w:rPr>
                <w:rFonts w:cs="Arial"/>
                <w:b/>
                <w:sz w:val="20"/>
                <w:szCs w:val="20"/>
              </w:rPr>
            </w:pPr>
            <w:proofErr w:type="spellStart"/>
            <w:r>
              <w:rPr>
                <w:rFonts w:cs="Arial"/>
                <w:b/>
                <w:sz w:val="20"/>
                <w:szCs w:val="20"/>
              </w:rPr>
              <w:t>Markvardsen</w:t>
            </w:r>
            <w:proofErr w:type="spellEnd"/>
            <w:r>
              <w:rPr>
                <w:rFonts w:cs="Arial"/>
                <w:b/>
                <w:sz w:val="20"/>
                <w:szCs w:val="20"/>
              </w:rPr>
              <w:t>, et al 2019</w:t>
            </w:r>
          </w:p>
          <w:p w14:paraId="010DB91C" w14:textId="77777777" w:rsidR="0064635B" w:rsidRDefault="004A6570">
            <w:pPr>
              <w:spacing w:after="0" w:line="276" w:lineRule="auto"/>
              <w:rPr>
                <w:rFonts w:cs="Arial"/>
                <w:bCs/>
                <w:i/>
                <w:iCs/>
                <w:sz w:val="20"/>
                <w:szCs w:val="20"/>
              </w:rPr>
            </w:pPr>
            <w:r>
              <w:rPr>
                <w:rFonts w:cs="Arial"/>
                <w:bCs/>
                <w:i/>
                <w:iCs/>
                <w:sz w:val="20"/>
                <w:szCs w:val="20"/>
              </w:rPr>
              <w:t>(CIDP)</w:t>
            </w:r>
          </w:p>
          <w:p w14:paraId="0683201F" w14:textId="77777777" w:rsidR="0064635B" w:rsidRDefault="0064635B">
            <w:pPr>
              <w:spacing w:after="0" w:line="276" w:lineRule="auto"/>
              <w:rPr>
                <w:rFonts w:cs="Arial"/>
                <w:bCs/>
                <w:i/>
                <w:iCs/>
                <w:sz w:val="20"/>
                <w:szCs w:val="20"/>
              </w:rPr>
            </w:pPr>
          </w:p>
        </w:tc>
        <w:tc>
          <w:tcPr>
            <w:tcW w:w="2553"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F73FA89" w14:textId="77777777" w:rsidR="0064635B" w:rsidRDefault="004A6570">
            <w:pPr>
              <w:spacing w:after="0" w:line="276" w:lineRule="auto"/>
              <w:rPr>
                <w:rFonts w:cs="Arial"/>
                <w:sz w:val="20"/>
                <w:szCs w:val="20"/>
                <w:lang w:val="en-US"/>
              </w:rPr>
            </w:pPr>
            <w:r>
              <w:rPr>
                <w:rFonts w:cs="Arial"/>
                <w:sz w:val="20"/>
                <w:szCs w:val="20"/>
                <w:lang w:val="en-US"/>
              </w:rPr>
              <w:t>Retrospective correlational analysis [meta-analysis]</w:t>
            </w:r>
          </w:p>
        </w:tc>
        <w:tc>
          <w:tcPr>
            <w:tcW w:w="1276"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F5F44B9" w14:textId="77777777" w:rsidR="0064635B" w:rsidRDefault="004A6570">
            <w:pPr>
              <w:spacing w:after="0" w:line="276" w:lineRule="auto"/>
              <w:jc w:val="center"/>
              <w:rPr>
                <w:rFonts w:cs="Arial"/>
                <w:sz w:val="20"/>
                <w:szCs w:val="20"/>
              </w:rPr>
            </w:pPr>
            <w:r>
              <w:rPr>
                <w:rFonts w:cs="Arial"/>
                <w:sz w:val="20"/>
                <w:szCs w:val="20"/>
              </w:rPr>
              <w:t xml:space="preserve">96 </w:t>
            </w:r>
          </w:p>
          <w:p w14:paraId="14DC5DD4" w14:textId="77777777" w:rsidR="0064635B" w:rsidRDefault="004A6570">
            <w:pPr>
              <w:spacing w:after="0" w:line="276" w:lineRule="auto"/>
              <w:jc w:val="center"/>
              <w:rPr>
                <w:rFonts w:cs="Arial"/>
                <w:i/>
                <w:iCs/>
                <w:sz w:val="20"/>
                <w:szCs w:val="20"/>
              </w:rPr>
            </w:pPr>
            <w:r>
              <w:rPr>
                <w:rFonts w:cs="Arial"/>
                <w:i/>
                <w:iCs/>
                <w:sz w:val="20"/>
                <w:szCs w:val="20"/>
              </w:rPr>
              <w:t>(55 on IVIg; 41 on SCIg)</w:t>
            </w:r>
          </w:p>
        </w:tc>
        <w:tc>
          <w:tcPr>
            <w:tcW w:w="425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50841B7" w14:textId="77777777" w:rsidR="0064635B" w:rsidRDefault="004A6570">
            <w:pPr>
              <w:spacing w:after="0" w:line="276" w:lineRule="auto"/>
              <w:rPr>
                <w:rFonts w:cs="Arial"/>
                <w:sz w:val="20"/>
                <w:szCs w:val="20"/>
              </w:rPr>
            </w:pPr>
            <w:r>
              <w:rPr>
                <w:rFonts w:cs="Arial"/>
                <w:sz w:val="20"/>
                <w:szCs w:val="20"/>
              </w:rPr>
              <w:t xml:space="preserve">Combined IgG data from 5 previous studies converted into % difference </w:t>
            </w:r>
          </w:p>
        </w:tc>
        <w:tc>
          <w:tcPr>
            <w:tcW w:w="411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DF010" w14:textId="77777777" w:rsidR="0064635B" w:rsidRDefault="004A6570">
            <w:pPr>
              <w:spacing w:after="0" w:line="276" w:lineRule="auto"/>
              <w:rPr>
                <w:rFonts w:cs="Arial"/>
                <w:sz w:val="20"/>
                <w:szCs w:val="20"/>
              </w:rPr>
            </w:pPr>
            <w:r>
              <w:rPr>
                <w:rFonts w:cs="Arial"/>
                <w:sz w:val="20"/>
                <w:szCs w:val="20"/>
              </w:rPr>
              <w:t xml:space="preserve">No relationship between absolute IgG </w:t>
            </w:r>
            <w:r>
              <w:rPr>
                <w:rFonts w:cs="Arial"/>
                <w:sz w:val="20"/>
                <w:szCs w:val="20"/>
              </w:rPr>
              <w:t xml:space="preserve">concentration at given timepoint or </w:t>
            </w:r>
            <w:proofErr w:type="spellStart"/>
            <w:r>
              <w:rPr>
                <w:rFonts w:cs="Arial"/>
                <w:sz w:val="20"/>
                <w:szCs w:val="20"/>
              </w:rPr>
              <w:t>ΔIgG</w:t>
            </w:r>
            <w:proofErr w:type="spellEnd"/>
            <w:r>
              <w:rPr>
                <w:rFonts w:cs="Arial"/>
                <w:sz w:val="20"/>
                <w:szCs w:val="20"/>
              </w:rPr>
              <w:t xml:space="preserve"> and the % muscle strength (IKS).</w:t>
            </w:r>
          </w:p>
        </w:tc>
      </w:tr>
    </w:tbl>
    <w:p w14:paraId="2F3FE3AC" w14:textId="77777777" w:rsidR="0064635B" w:rsidRDefault="004A6570">
      <w:pPr>
        <w:spacing w:line="254" w:lineRule="auto"/>
      </w:pPr>
      <w:r>
        <w:rPr>
          <w:rFonts w:eastAsia="Times New Roman" w:cs="Calibri"/>
          <w:sz w:val="18"/>
          <w:szCs w:val="18"/>
          <w:lang w:val="en-US"/>
        </w:rPr>
        <w:t>*Data from patients with PIDs excluded from this table.  9-HPT, 9-hole peg test; 40-MWT, 40-meter walk test; BCR, best clinical response; BMI, body mass index, CI, confidence interv</w:t>
      </w:r>
      <w:r>
        <w:rPr>
          <w:rFonts w:eastAsia="Times New Roman" w:cs="Calibri"/>
          <w:sz w:val="18"/>
          <w:szCs w:val="18"/>
          <w:lang w:val="en-US"/>
        </w:rPr>
        <w:t xml:space="preserve">al; CIDP, chronic inflammatory demyelinating polyneuropathy; IgG, immunoglobulin </w:t>
      </w:r>
      <w:proofErr w:type="gramStart"/>
      <w:r>
        <w:rPr>
          <w:rFonts w:eastAsia="Times New Roman" w:cs="Calibri"/>
          <w:sz w:val="18"/>
          <w:szCs w:val="18"/>
          <w:lang w:val="en-US"/>
        </w:rPr>
        <w:t>G;  IVIg</w:t>
      </w:r>
      <w:proofErr w:type="gramEnd"/>
      <w:r>
        <w:rPr>
          <w:rFonts w:eastAsia="Times New Roman" w:cs="Calibri"/>
          <w:sz w:val="18"/>
          <w:szCs w:val="18"/>
          <w:lang w:val="en-US"/>
        </w:rPr>
        <w:t>, intravenous immunoglobulin; MADSAM,</w:t>
      </w:r>
      <w:r>
        <w:rPr>
          <w:rFonts w:eastAsia="Times New Roman" w:cs="Calibri"/>
          <w:b/>
          <w:bCs/>
          <w:sz w:val="18"/>
          <w:szCs w:val="18"/>
          <w:lang w:val="en-US"/>
        </w:rPr>
        <w:t xml:space="preserve"> </w:t>
      </w:r>
      <w:r>
        <w:rPr>
          <w:rFonts w:cs="Calibri"/>
          <w:sz w:val="18"/>
          <w:szCs w:val="18"/>
        </w:rPr>
        <w:t xml:space="preserve">Multifocal acquired demyelinating sensory and motor polyneuropathy; </w:t>
      </w:r>
      <w:r>
        <w:rPr>
          <w:rFonts w:eastAsia="Times New Roman" w:cs="Calibri"/>
          <w:sz w:val="18"/>
          <w:szCs w:val="18"/>
          <w:lang w:val="en-US"/>
        </w:rPr>
        <w:t xml:space="preserve">MMN, multifocal motor neuropathy; MRC, Medical </w:t>
      </w:r>
      <w:r>
        <w:rPr>
          <w:rFonts w:eastAsia="Times New Roman" w:cs="Calibri"/>
          <w:sz w:val="18"/>
          <w:szCs w:val="18"/>
          <w:lang w:val="en-US"/>
        </w:rPr>
        <w:t>Research Council;  PID, primary immunodeficiency; PK, pharmacokinetic; pts, patients, SCIg, subcutaneous  immunoglobulin. Studies were identified from a PubMed literature search using the following terms: (immunoglobulin G OR IgG) AND (chronic inflammatory</w:t>
      </w:r>
      <w:r>
        <w:rPr>
          <w:rFonts w:eastAsia="Times New Roman" w:cs="Calibri"/>
          <w:sz w:val="18"/>
          <w:szCs w:val="18"/>
          <w:lang w:val="en-US"/>
        </w:rPr>
        <w:t xml:space="preserve"> demyelinating polyneuropathy OR CIDP) AND ((pharmacokinetic OR PK) OR (pharmacodynamic OR PD)) and (immunoglobulin G OR IgG) AND ((multi-focal motor neuropathy OR MMN) OR (Guillain-Barré syndrome OR GBS) OR (myasthenia gravis OR MG)) AND ((pharmacokinetic</w:t>
      </w:r>
      <w:r>
        <w:rPr>
          <w:rFonts w:eastAsia="Times New Roman" w:cs="Calibri"/>
          <w:sz w:val="18"/>
          <w:szCs w:val="18"/>
          <w:lang w:val="en-US"/>
        </w:rPr>
        <w:t xml:space="preserve"> OR PK) OR (pharmacodynamic OR PD)); reviews were excluded. Studies collated to provide overview of published PK data and any comparisons drawn between studies should be made with caution due to differing neurologic disease states, study designs, and </w:t>
      </w:r>
      <w:proofErr w:type="gramStart"/>
      <w:r>
        <w:rPr>
          <w:rFonts w:eastAsia="Times New Roman" w:cs="Calibri"/>
          <w:sz w:val="18"/>
          <w:szCs w:val="18"/>
          <w:lang w:val="en-US"/>
        </w:rPr>
        <w:t>popul</w:t>
      </w:r>
      <w:r>
        <w:rPr>
          <w:rFonts w:eastAsia="Times New Roman" w:cs="Calibri"/>
          <w:sz w:val="18"/>
          <w:szCs w:val="18"/>
          <w:lang w:val="en-US"/>
        </w:rPr>
        <w:t>ation</w:t>
      </w:r>
      <w:proofErr w:type="gramEnd"/>
    </w:p>
    <w:p w14:paraId="410DFEAC" w14:textId="77777777" w:rsidR="0064635B" w:rsidRDefault="0064635B"/>
    <w:sectPr w:rsidR="0064635B">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684C6" w14:textId="77777777" w:rsidR="00000000" w:rsidRDefault="004A6570">
      <w:pPr>
        <w:spacing w:after="0" w:line="240" w:lineRule="auto"/>
      </w:pPr>
      <w:r>
        <w:separator/>
      </w:r>
    </w:p>
  </w:endnote>
  <w:endnote w:type="continuationSeparator" w:id="0">
    <w:p w14:paraId="63324C4B" w14:textId="77777777" w:rsidR="00000000" w:rsidRDefault="004A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Regular">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FE75F" w14:textId="77777777" w:rsidR="00000000" w:rsidRDefault="004A6570">
      <w:pPr>
        <w:spacing w:after="0" w:line="240" w:lineRule="auto"/>
      </w:pPr>
      <w:r>
        <w:rPr>
          <w:color w:val="000000"/>
        </w:rPr>
        <w:separator/>
      </w:r>
    </w:p>
  </w:footnote>
  <w:footnote w:type="continuationSeparator" w:id="0">
    <w:p w14:paraId="7E027582" w14:textId="77777777" w:rsidR="00000000" w:rsidRDefault="004A6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4635B"/>
    <w:rsid w:val="004A6570"/>
    <w:rsid w:val="00646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EA45"/>
  <w15:docId w15:val="{B4327710-C2E7-4356-BA2C-1F187919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Cleasby</dc:creator>
  <dc:description/>
  <cp:lastModifiedBy>Alexa Cleasby</cp:lastModifiedBy>
  <cp:revision>2</cp:revision>
  <dcterms:created xsi:type="dcterms:W3CDTF">2021-02-22T17:56:00Z</dcterms:created>
  <dcterms:modified xsi:type="dcterms:W3CDTF">2021-02-22T17:56:00Z</dcterms:modified>
</cp:coreProperties>
</file>